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et al., 2021; Pedersen et al., 2021). Evidence from mutual funds shows that investors respond strongly to newly published sustainability ratings (Hartzmark &amp;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(Harris &amp; Gurel, 1986; Shleifer, 1986), part of the effect reverses within weeks (Harris &amp; Gurel, 1986), and a permanent component has been attributed to greater investor awareness (Chen et 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et al. (2024) find that firms covered by more ESG rating agencies commit fewer ESG violations, and the same authors document dividend changes after the initiation of coverage by non-financial rating agencies (Tsang et al.,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&amp; Ljungqvist, 2012), and the first analyst report on a neglected stock earns a positive announcement return that is driven by favorable coverage rather than by coverage as such (Demiroglu &amp;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(Baker et al., 2022; Goodman-Bacon, 2021).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et al., 2022), disagreement rises with disclosure (Christensen et al., 2022), and it carries a return premium and affects demand (Avramov et al., 2022; Gibson Brandon et al., 2021). The historical scores of the provider we study have been rewritten on a large scale (Berg et al., 2020), and its recent scores remain subject to revision (Sahin et al.,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et al., 2021; Pedersen et al.,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&amp; Sussman, 2019), and the holdings of ESG funds in the United States respond to the ratings of one provider more than to those of others (Berg, Heeb, et al., 2022). Scores from different providers disagree (Berg, Kölbel, et al., 2022), and disagreement is priced (Avramov et al., 2022; Gibson Brandon et al., 2021).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et al., 2024), which can make scoring feasible. The size of a firm also affects the score it receives: larger firms receive higher scores from the provider we study (Dobrick et al.,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et al.,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&amp; Ljungqvist, 2012), while the first coverage of a neglected stock raises its price only when the coverage is favorable (Demiroglu &amp;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et al., 2021; Pedersen et al., 2021). The selection view predicts no effect after coverage, together with relative growth before coverage, as for firms that are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et al., 2021) and the evidence on favorable first coverage (Demiroglu &amp;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et al.,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(Nguyen, Nguyen, &amp; Nguyen, </w:t>
      </w:r>
      <w:r>
        <w:rPr>
          <w:i/>
        </w:rPr>
        <w:t>GRI adoption and corporate brownwashing: Board governance evidence from ASEAN-5</w:t>
      </w:r>
      <w:r>
        <w:rPr/>
        <w:t xml:space="preserve">, manuscript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et al.,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&amp;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et 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et al.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et al.,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(Krueger et al., 2024; Singapore Exchange, 2016)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et al.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(Baker et al., 2022; Goodman-Bacon, 2021).</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et al.,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et 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et al. (2021) and Pedersen et al.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(Bikmetova &amp; Pirinsky, 2026; Tsang et al., 2024, 2025);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(Chen et al., 2004; Harris &amp; Gurel, 1986; Shleifer, 1986)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&amp;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et al.,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&amp;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et al.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(Krueger et al., 2024; Singapore Exchange, 2016),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(Chen et al., 2004; Merton, 1987), and not to temporary price pressure (Harris &amp;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(Chen et al., 2004; Merton, 1987).</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(Rambachan &amp; Roth, 2023; Roth, 2022).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(Chen et al., 2004; Harris &amp; Gurel, 1986).</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(Krueger et al., 2024; Singapore Exchange, 2016)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&amp; Ljungqvist, 2012), and the first report on a neglected stock raises prices when it is favorable (Demiroglu &amp;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et al., 2022), coverage by a different provider may matter little for demand, and the dispersion of scores across providers (Berg, Kölbel, et al., 2022; Christensen et al., 2022) weakens the information content of any single score. Price effects of index additions, which the pre-coverage growth resembles, are concentrated around the announcement; part of them lasts (Chen et al., 2004; Shleifer, 1986) and part reverses (Harris &amp; Gurel, 1986), and annual data cannot isolate an effect of that kind. Our evidence complements the U.S. findings that coverage changes firm conduct (Bikmetova &amp; Pirinsky, 2026; Tsang et al., 2024)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&amp;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et al.,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 xml:space="preserve">ATT is the average effect over event years 0 to 3 (Eq. 6), with bootstrap standard errors and unadjusted 95% intervals; </w:t>
      </w:r>
      <w:r>
        <w:rPr>
          <w:i/>
          <w:sz w:val="20"/>
        </w:rPr>
        <w:t>p</w:t>
      </w:r>
      <w:r>
        <w:rPr>
          <w:sz w:val="20"/>
        </w:rPr>
        <w:t xml:space="preserve">-values of the three secondary outcomes are Holm-adjusted. MDE is the minimum detectable effect at 80% power, and pre-trend </w:t>
      </w:r>
      <w:r>
        <w:rPr>
          <w:i/>
          <w:sz w:val="20"/>
        </w:rPr>
        <w:t>p</w:t>
      </w:r>
      <w:r>
        <w:rPr>
          <w:sz w:val="20"/>
        </w:rPr>
        <w:t xml:space="preserve">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 xml:space="preserve">Cells show the average effect over event years 0 to 3, with bootstrap standard errors in parentheses (firm-clustered in R6); R1 to R6 are pre-specified and R7 to R11 exploratory. *, **, and *** denote significance at 10%, 5%, and 1% (unadjusted </w:t>
      </w:r>
      <w:r>
        <w:rPr>
          <w:i/>
          <w:sz w:val="20"/>
        </w:rPr>
        <w:t>p</w:t>
      </w:r>
      <w:r>
        <w:rPr>
          <w:sz w:val="20"/>
        </w:rPr>
        <w:t>-values).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