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Indonesia, Malaysia, the Philippines, Singapore, and Thailand, and 2,613 never-scored firms, we estimate heterogeneity-robust difference-in-differences effects on market-to-book ratios. Scored firms grew faster than comparable firms before their first scored year. Afterwards, market-to-book ratios did not rise: the estimate is 0.002 (95% interval −0.046 to 0.048) under parallel trends and −0.068 when coverage is dated one year later. The first score arrives near a valuation peak, not before a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accounting and market data (Compustat Global) are licensed and cannot be redistributed by the authors. Researchers with access to these databases can rebuild the sample with the replication code; the code and all output files are available as supporting material and will be deposited upon acceptance.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Stambaugh, and Taylor, 2021; Pedersen, Fitzgibbons, and Pomorski, 2021). Evidence from mutual funds shows that investors respond strongly to newly published sustainability ratings (Hartzmark and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usually enters a provider's universe after it has become large, liquid, or visible enough to matter to the provider's clients, for example because it has joined an index. Coverage decisions of this kind resemble index additions. Additions to a major index raise prices around the announcement (Shleifer, 1986; Harris and Gurel, 1986), part of the effect reverses within weeks (Harris and Gurel, 1986), and a permanent component has been attributed to greater investor awareness (Chen, Noronha, and Singal,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Evidence on the consequences of rating coverage comes mainly from U.S. firms. Tsang, Wang, Xiang, and Yu (2024) find that firms covered by more ESG rating agencies commit fewer ESG violations, and the same authors document dividend changes after the initiation of coverage by non-financial rating agencies (Tsang, Wang, Xiang, and Yu,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and Ljungqvist, 2012), and the first analyst report on a neglected stock earns a positive announcement return that is driven by favorable coverage rather than by coverage as such (Demiroglu and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which provides a large pool of comparison firms from the same exchanges and years.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(Goodman-Bacon, 2021; Baker, Larcker, and Wang, 2022). The primary outcome is the natural logarithm of the market-to-book (MTB) ratio. We recorded the hypotheses, sample rules, estimator, and robustness checks in a pre-analysis plan before estimating any effect,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Relative to that base year, their market capitalization was −0.132 log points lower five years earlier, and their MTB ratio was −0.095 log points lower.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Valuations therefore peak around the first scored year and do not gain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What the data support is an ordering of events: the first score follows a period of relative growth and coincides with a valuation peak, and no specification shows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and Rigobon, 2022), disagreement rises with disclosure (Christensen, Serafeim, and Sikochi, 2022), and it carries a return premium and affects demand (Gibson Brandon, Krueger, and Schmidt, 2021; Avramov, Cheng, Lioui, and Tarelli, 2022). The historical scores of the provider we study have been rewritten on a large scale (Berg, Fabisik, and Sautner, 2020), and its recent scores remain subject to revision (Sahin, Bax, Paterlini, and Czado, 2023). We add evidence from emerging markets on the extensive margin of coverage, measured against a large group of never-scored firms, and we show that the selection of firms into coverage is itself a first-order fact for anyone who compares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empirical design.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Stambaugh, and Taylor, 2021; Pedersen, Fitzgibbons, and Pomorski,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and Sussman, 2019), and the holdings of ESG funds in the United States respond to the ratings of one provider more than to those of others (Berg, Heeb, and Kölbel, 2022). Scores from different providers disagree (Berg, Kölbel, and Rigobon, 2022), and disagreement is priced (Gibson Brandon, Krueger, and Schmidt, 2021; Avramov, Cheng, Lioui, and Tarelli, 2022).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Providers extend coverage to firms that belong to the indices their clients track and that disclose enough information to be scored. Mandatory sustainability reporting raises the amount of information available about listed firms (Krueger, Sautner, Tang, and Zhong, 2024), which can make scoring feasible. The size of a firm also affects the score it receives: larger firms receive higher scores from the provider we study (Dobrick, Klein, and Zwergel,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In markets where public information about listed firms is scarce, an additional source of standardized information should matter more for prices and liquidity. Krueger, Sautner, Tang, and Zhong (2024) find that mandatory ESG disclosure raises stock liquidity, and that the effect is strongest for firms with weaker information environments. By the same logic, a first ESG score could matter more in emerging markets than in the United States. The opposite is also possible: if providers score only firms that are already large and closely followed, the firms that receive a first score are the ones for which the score adds least. Which force dominates is an empirical question that the comparison of scored and never-scored firms in the same markets can address.</w:t>
      </w:r>
    </w:p>
    <w:p>
      <w:pPr>
        <w:spacing w:line="360" w:lineRule="auto" w:after="120" w:before="0"/>
        <w:ind w:firstLine="432"/>
        <w:jc w:val="both"/>
      </w:pPr>
      <w:r>
        <w:rPr/>
        <w:t>The analogy with sell-side coverage is instructive. Losing analyst coverage raises information asymmetry and lowers prices (Kelly and Ljungqvist, 2012), while the first coverage of a neglected stock raises its price only when the coverage is favorable (Demiroglu and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(Merton, 1987; Pástor, Stambaugh, and Taylor, 2021; Pedersen, Fitzgibbons, and Pomorski, 2021). The selection view predicts no effect after coverage, together with relative growth before coverage, as for firms that are added to an index after a period of growth (Chen, Noronha, and Singal,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 as the preference channel (Pedersen, Fitzgibbons, and Pomorski, 2021) and the evidence on favorable first coverage (Demiroglu and Ryngaert, 2010)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The report must be issued with the annual report, or within five months of the financial year-end when the issuer obtains external assurance.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Figure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 changes in disclosure rules (Singapore Exchange, 2016), which raise the information available about listed firms (Krueger, Sautner, Tang, and Zhong, 2024), and changes in index membership are possible reasons that we cannot observe.</w:t>
      </w:r>
    </w:p>
    <w:p>
      <w:pPr>
        <w:keepNext/>
        <w:spacing w:line="360" w:lineRule="auto" w:after="120" w:before="120"/>
      </w:pPr>
      <w:r>
        <w:rPr>
          <w:b/>
          <w:i/>
          <w:sz w:val="24"/>
        </w:rPr>
        <w:t>3.2. Sample and coverage timing</w:t>
      </w:r>
    </w:p>
    <w:p>
      <w:pPr>
        <w:spacing w:line="360" w:lineRule="auto" w:after="120" w:before="0"/>
        <w:ind w:firstLine="432"/>
        <w:jc w:val="both"/>
      </w:pPr>
      <w:r>
        <w:rPr/>
        <w:t xml:space="preserve">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This data set also underlies a companion study with a different research question (Nguyen Thanh Binh, Nguyen Van Trung, and Nguyen Anh Tuan, "GRI Adoption and Corporate Brownwashing: Board Governance Evidence from ASEAN-5," under review at the </w:t>
      </w:r>
      <w:r>
        <w:rPr>
          <w:i/>
        </w:rPr>
        <w:t>International Journal of Management and Sustainability</w:t>
      </w:r>
      <w:r>
        <w:rPr/>
        <w:t>).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which is the staggered-adoption setting of Callaway and Sant'Anna (2021). We drop the 135 firms that were already scored in 2014 because they have no pre-coverage year. The estimation sample has 3,288 firms and 36,168 firm-years: 675 firms first scored between 2015 and 2024 and 2,613 firms never scored. Table IA4 of the Internet Appendix reports the number of firm-years available for each outcome. Never-scored firms are, on average, much smaller than scored firms, and many of them are small firms with thin trading. They remain in the sample for all years in which their outcomes are observed and serve as the pool from which each cohort's counterfactual change is estimated. Because the comparison rests on changes adjusted for size, country, and industry, it does not require the two groups to have similar levels, but it does require enough never-scored firms of comparable size. The robustness check that drops never-scored firms below the size range of scored firms (Section 4.5) addresses this requirement.</w:t>
      </w:r>
    </w:p>
    <w:p>
      <w:pPr>
        <w:spacing w:line="360" w:lineRule="auto" w:after="120" w:before="0"/>
        <w:ind w:firstLine="432"/>
        <w:jc w:val="both"/>
      </w:pPr>
      <w:r>
        <w:rPr/>
        <w:t xml:space="preserve">The treatment year is the first fiscal year for which the downloaded data contain a score, which need not be the year in which investors could first see a score. Two features of the data create a gap.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Fabisik, and Sautner,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than our treatment year, never earlier. They cannot place a recorded score in a year before the treatment year, so they do 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Empirical Design</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We follow the notation of Callaway and Sant'Anna (2021). 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and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among firms with the same covariates, the outcome of scored firms would have changed from year </w:t>
      </w:r>
      <w:r>
        <w:rPr>
          <w:i/>
        </w:rPr>
        <w:t>g</w:t>
      </w:r>
      <w:r>
        <w:rPr/>
        <w:t xml:space="preserve"> − 1 to year </w:t>
      </w:r>
      <w:r>
        <w:rPr>
          <w:i/>
        </w:rPr>
        <w:t>t</w:t>
      </w:r>
      <w:r>
        <w:rPr/>
        <w:t xml:space="preserve"> as the outcome of never-scored firms did. The assumption concerns changes, not levels, so the large differences in size between scored and unscored firms in Table 1 do not violate it by themselves. It is violated when scored firms were on a different path before coverage, as would happen if coverage followed a period of growth of the kind that precedes index additions (Chen, Noronha, and Singal, 2004). We test this implication with the pre-coverage estimates, and we do not rely on the test alone, because pre-trend tests can have low power and conditioning on them can distort inference (Roth, 2022).</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This is the outcome-regression version of the group-time estimator of Callaway and Sant'Anna (2021); the doubly robust version of Sant'Anna and Zhao (2020) adds a propensity-score model, which we do not use because scored and never-scored firms overlap poorly in size. 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Following the aggregation scheme of Callaway and Sant'Anna (2021), we average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 a variant of the simple aggregation in Callaway and Sant'Anna (2021):</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a problem that Callaway and Sant'Anna (2021) and Baker, Larcker, and Wang (2022) discuss for event-study aggregations.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one of the two comparison groups proposed by Callaway and Sant'Anna (2021). Firms that are scored later are themselves likely to be growing toward the provider's universe, so using them as controls for earlier cohorts would compare two groups on similar upward paths; we report estimates that add them to the control group as a robustness check. Second, all comparisons use the year before coverage as the base year, including those for the years before coverage, so that pre-coverage and post-coverage estimates are measured against the same reference point, as the pre-trend analysis of Roth (2022) presumes. The pre-coverage estimates θ̂(</w:t>
      </w:r>
      <w:r>
        <w:rPr>
          <w:i/>
        </w:rPr>
        <w:t>e</w:t>
      </w:r>
      <w:r>
        <w:rPr/>
        <w:t xml:space="preserve">) for </w:t>
      </w:r>
      <w:r>
        <w:rPr>
          <w:i/>
        </w:rPr>
        <w:t>e</w:t>
      </w:r>
      <w:r>
        <w:rPr/>
        <w:t xml:space="preserve"> ≤ −2 therefore measure the difference between the change of scored firms and the change of comparable never-scored firms from year </w:t>
      </w:r>
      <w:r>
        <w:rPr>
          <w:i/>
        </w:rPr>
        <w:t>g</w:t>
      </w:r>
      <w:r>
        <w:rPr/>
        <w:t xml:space="preserve"> + </w:t>
      </w:r>
      <w:r>
        <w:rPr>
          <w:i/>
        </w:rPr>
        <w:t>e</w:t>
      </w:r>
      <w:r>
        <w:rPr/>
        <w:t xml:space="preserve"> to year </w:t>
      </w:r>
      <w:r>
        <w:rPr>
          <w:i/>
        </w:rPr>
        <w:t>g</w:t>
      </w:r>
      <w:r>
        <w:rPr/>
        <w:t xml:space="preserve"> − 1. A negative value means that scored firms grew faster over that interval. Third, the covariates are measured in the base year, at the end of any run-up. Because the provider's scores rise with firm size (Dobrick, Klein, and Zwergel, 2023), size is the covariate most closely related to selection into coverage.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as recommended by Callaway and Sant'Anna (2021) for aggregated group-time effects. We resample firms with replacement, which keeps each firm's time series intact. We draw 999 bootstrap samples with a fixed seed and use the same draws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w:t>
      </w:r>
      <w:r>
        <w:rPr>
          <w:i/>
        </w:rPr>
        <w:t>p</w:t>
      </w:r>
      <w:r>
        <w:rPr/>
        <w:t xml:space="preserve">-values rely on the normal approximation to the bootstrap distribution, whereas the confidence intervals are percentile intervals; when the bootstrap distribution is asymmetric, a </w:t>
      </w:r>
      <w:r>
        <w:rPr>
          <w:i/>
        </w:rPr>
        <w:t>p</w:t>
      </w:r>
      <w:r>
        <w:rPr/>
        <w:t xml:space="preserve">-value near the 5% threshold and an interval whose end lies close to zero can therefore disagree slightly. We read the evidence from the intervals and the event-time profile rather than from any single threshold. The joint test of parallel pre-trends uses the event-time estimates for </w:t>
      </w:r>
      <w:r>
        <w:rPr>
          <w:i/>
        </w:rPr>
        <w:t>e</w:t>
      </w:r>
      <w:r>
        <w:rPr/>
        <w:t xml:space="preserve"> = −5 to −2 and their bootstrap covariance matrix; following Roth (2022), we report it as a diagnostic and do not condition the analysis on its outcome: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 Market-level differences in disclosure rules (Singapore Exchange, 2016; Krueger, Sautner, Tang, and Zhong, 2024) are one reason why common shocks within a market are plausible.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and because a pre-trend test that fails to reject is weak evidence for parallel trends (Roth, 2022),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the static two-way fixed effects regression that Goodman-Bacon (2021) and Baker, Larcker, and Wang (2022) analyze,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with staggered timing it also uses already-scored firms as controls for later cohorts, which biases β when effects change over time (Goodman-Bacon, 2021; Baker, Larcker, and Wang, 2022).</w:t>
      </w:r>
    </w:p>
    <w:p>
      <w:pPr>
        <w:spacing w:line="360" w:lineRule="auto" w:after="120" w:before="0"/>
        <w:ind w:firstLine="432"/>
        <w:jc w:val="both"/>
      </w:pPr>
      <w:r>
        <w:rPr/>
        <w:t xml:space="preserve">The pre-analysis plan fixed five robustness checks: adding not-yet-scored firms to the controls, the alternative comparison group of Callaway and Sant'Anna (2021), dropping the covariates, excluding the 2020 and 2021 cohorts, keeping only control firms whose log total assets in year </w:t>
      </w:r>
      <w:r>
        <w:rPr>
          <w:i/>
        </w:rPr>
        <w:t>g</w:t>
      </w:r>
      <w:r>
        <w:rPr/>
        <w:t xml:space="preserve"> − 1 are at or above the 10th percentile of the scored firms in the cohort (a lower bound only), and a placebo that dates coverage three years before the first score and uses only years before the actual score. Besides the checks in Section 4.4, we added four exploratory analyses: dating coverage one year later,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fit the view that providers extend coverage to large and visible firms (Section 2.2), and the size gap matters for the scores themselves, because larger firms receive higher scores from this provider (Dobrick, Klein, and Zwergel, 2023). They motivate the comparison of changes and the adjustment for size, country, and industry in Eq. (3).</w:t>
      </w:r>
    </w:p>
    <w:p>
      <w:pPr>
        <w:spacing w:line="360" w:lineRule="auto" w:after="120" w:before="0"/>
        <w:ind w:firstLine="432"/>
        <w:jc w:val="both"/>
      </w:pPr>
      <w:r>
        <w:rPr/>
        <w:t>The medians tell a similar story. The median MTB ratio of scored firms in the year before coverage is 1.26, against 0.95 for never-scored firm-years, and the median leverage of the two groups is almost the same (0.217 and 0.205). Scored firms are therefore not more levered than unscored firms, but they are larger and valued more highly by the market in the year before coverage. Return on assets is available for far fewer firm-years than the other variables (Table 1), so we use it only descriptively and do not include it among the covariates or outcomes. The difference in MTB levels is consistent with the pre-coverage growth documented in Section 5.3: firms that enter coverage have recently gained market value relative to their book value, as firms do before they are added to an index (Chen, Noronha, and Singal, 2004).</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so an effect of about 7.0 percent on the MTB ratio would be detected with 80% probability, and effects of a few percent cannot be ruled out.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 The MTB estimate is thus far from the positive effect that the recognition channel of Merton (1987) and the preference channel of Pástor, Stambaugh, and Taylor (2021) and Pedersen, Fitzgibbons, and Pomorski (2021) predict, and it contrasts with the strong response of fund flows to newly published sustainability ratings documented by Hartzmark and Sussman (2019). The absence of a significant change in leverage and assets also differs from the U.S. evidence that coverage is followed by changes in firm conduct and financial policy (Tsang et al., 2024; Tsang et al., 2025; Bikmetova and Pirinsky, 2026), although our outcomes are not the ones those studies examine.</w:t>
      </w:r>
    </w:p>
    <w:p>
      <w:pPr>
        <w:keepNext/>
        <w:spacing w:line="360" w:lineRule="auto" w:after="120" w:before="120"/>
      </w:pPr>
      <w:r>
        <w:rPr>
          <w:b/>
          <w:i/>
          <w:sz w:val="24"/>
        </w:rPr>
        <w:t>5.3. Dynamics before and after the first score</w:t>
      </w:r>
    </w:p>
    <w:p>
      <w:pPr>
        <w:spacing w:line="360" w:lineRule="auto" w:after="120" w:before="0"/>
        <w:ind w:firstLine="432"/>
        <w:jc w:val="both"/>
      </w:pPr>
      <w:r>
        <w:rPr/>
        <w:t>Figure 1 plots the event-time estimates of Eq. (5) for all four outcomes. Before the first score, the coefficients for market capitalization and MTB are negative and rise toward zero. For market capitalization, the estimates are −0.132 five years and −0.125 four years before the base year; for MTB, they are −0.095 and −0.082. A negative pre-coverage coefficient means that the scored firms' outcome was lower, relative to its base-year level, than the path of comparable never-scored firms implies; equivalently, scored firms grew faster than comparable firms in the years before the base year. This run-up resembles the growth that precedes additions to a major index (Shleifer, 1986; Harris and Gurel, 1986; Chen, Noronha, and Singal, 2004) and is the pattern the selection view in Section 2.2 predicts.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 As Roth (2022) cautions, a joint test that does not reject at the 5% level, as for MTB, is not evidence that pre-trends are absent.</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the earliest cohorts reach, the MTB estimate is −0.077 (</w:t>
      </w:r>
      <w:r>
        <w:rPr>
          <w:i/>
        </w:rPr>
        <w:t>p</w:t>
      </w:r>
      <w:r>
        <w:rPr/>
        <w:t xml:space="preserve"> = 0.209).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There is no sign of the price decline that follows a loss of analyst coverage (Kelly and Ljungqvist, 2012) or of a mirror-image increase after coverage begins. The paths of the balance-sheet outcomes are consistent with firms that raise equity or grow their assets before they enter coverage: leverage declines toward the base year, and total assets rise both before and after.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The market capitalization effect is −0.073 (</w:t>
      </w:r>
      <w:r>
        <w:rPr>
          <w:i/>
        </w:rPr>
        <w:t>p</w:t>
      </w:r>
      <w:r>
        <w:rPr/>
        <w:t xml:space="preserve"> = 0.016), and the asset effect is −0.006. Valuations therefore reach their relative peak in the first scored year and decline in the following years. This pattern is what one would expect if the provider selects firms after a period of unusually high valuation and part of that valuation later reverses, and it is also what one would expect if coverage lowered valuations. The two readings cannot be separated with these data, but neither implies a valuation gain. The decline also fits the timing problems in the data: because historical scores were rewritten (Berg, Fabisik, and Sautner, 2020) and recent scores remain subject to revision (Sahin et al., 2023), the first scored fiscal year can lie before publication, and dating coverage later moves the base year closer to the end of the run-up.</w:t>
      </w:r>
    </w:p>
    <w:p>
      <w:pPr>
        <w:spacing w:line="360" w:lineRule="auto" w:after="120" w:before="0"/>
        <w:ind w:firstLine="432"/>
        <w:jc w:val="both"/>
      </w:pPr>
      <w:r>
        <w:rPr/>
        <w:t>Restricting the sample to cohorts first scored no later than 2021, which are observed through event year 3 (row R11), gives an MTB effect of −0.008 (</w:t>
      </w:r>
      <w:r>
        <w:rPr>
          <w:i/>
        </w:rPr>
        <w:t>p</w:t>
      </w:r>
      <w:r>
        <w:rPr/>
        <w:t xml:space="preserve"> = 0.806), so the changing composition of cohorts across event years does not drive the headline estimate. Removing a linear pre-trend with Eq. (9) (row R7) changes the MTB effect to −0.052 (95% interval −0.118 to 0.014). The estimate is negative because a continued linear run-up would have raised valuations further, but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 If part of the pre-coverage growth reflected temporary demand of the kind documented around index additions, whose price effects partly reverse (Harris and Gurel, 1986), this comparison nets out the reversal and still shows no significant gain.</w:t>
      </w:r>
    </w:p>
    <w:p>
      <w:pPr>
        <w:spacing w:line="360" w:lineRule="auto" w:after="120" w:before="0"/>
        <w:ind w:firstLine="432"/>
        <w:jc w:val="both"/>
      </w:pPr>
      <w:r>
        <w:rPr/>
        <w:t>Table IA5 of the Internet Appendix reports the bounds of Eq. (10), which follow the logic of the relative-magnitudes restriction of Rambachan and Roth (2023).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post-coverage null is therefore conditional on assumption (2), whereas the absence of a positive effect in every specification, including row R10, does not depend on that assumption holding exactly.</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including the change of comparison group proposed by Callaway and Sant'Anna (2021) and the removal of the outcome-regression covariates of Sant'Anna and Zhao (2020).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Figure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 The gap between rows R6 and the baseline is an example of the biases of static two-way fixed effects regressions under staggered timing described by Goodman-Bacon (2021) and Baker, Larcker, and Wang (2022).</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 The Singaporean estimate is of interest because Singapore required sustainability reports from financial year 2017 (Singapore Exchange, 2016), and mandatory disclosure changes the information environment on its own (Krueger, Sautner, Tang, and Zhong, 2024); it is small and imprecise.</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Pedersen, Fitzgibbons, and Pomorski (2021) predict that a high score raises prices through investor preferences, and the analyst literature finds that favorable first coverage raises prices (Demiroglu and Ryngaert, 2010); a weak signal is one explanation for the absence of such a difference, given that scores from different providers disagree (Berg, Kölbel, and Rigobon, 2022; Christensen, Serafeim, and Sikochi, 2022).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The confidence interval of the headline estimate is informative about persistent revaluation but not about short-lived price effects. Under assumption (2), the upper end of the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valuation ratios measured at fiscal year-end would not detect an announcement effect of that size that reverses within weeks. Our estimates therefore speak to whether a first score leaves a lasting mark on valuation, and they say little about trading around the day on which a score is published. A lasting effect would be expected from a permanent increase in investor recognition (Merton, 1987; Chen, Noronha, and Singal, 2004), while price pressure from index demand is temporary (Harris and Gurel, 1986).</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A lasting valuation effect as large as half of this run-up would lie at the upper end of the headline interval, and an effect as large as the run-up itself lies outside the interval under assumption (2). Relative to the growth that precedes coverage, any valuation effect of the first score is small, which is consistent with a provider that covers firms after they have become visible to investors (Merton, 1987; Chen, Noronha, and Singal, 2004).</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event study admits three readings of the flat MTB path after the first score, which correspond to different assumptions about how the pre-coverage trend would have evolved (Roth, 2022; Rambachan and Roth, 2023). If scored and never-scored firms would have followed parallel paths from the base year onward, coverage had no effect on valuation within the interval reported in Section 5.2. If the pre-coverage run-up would have continued without coverage, the flat path implies that coverage lowered valuations relative to that trend, which is the reading of the trend-adjusted estimate. If instead the run-up was partly transitory and would have reversed, the flat path is consistent with a positive effect of coverage that offset the reversal. The last reading deserves weight, because firms that enter coverage after a period of relative growth are likely to be selected on transitory as well as permanent components of value, as the partial reversal of index-addition effects illustrates (Harris and Gurel, 1986; Chen, Noronha, and Singal, 2004).</w:t>
      </w:r>
    </w:p>
    <w:p>
      <w:pPr>
        <w:spacing w:line="360" w:lineRule="auto" w:after="120" w:before="0"/>
        <w:ind w:firstLine="432"/>
        <w:jc w:val="both"/>
      </w:pPr>
      <w:r>
        <w:rPr/>
        <w:t>Three pieces of evidence speak to the reversal reading. First, when coverage is dated one year later, MTB ratios decline after the first scored year, which is what a reversal would produce and gives no sign of an offsetting gain. Second, when scored firms are compared with never-scored firms that grew at a similar rate before coverage, and that are therefore subject to similar reversal, the MTB effect is small and insignificant. Third, the bounds in Section 5.4, built on the relative-magnitudes idea of Rambachan and Roth (2023), include zero for every value of M̄ we consider, but they also include effects of several percent in both directions. The evidence therefore does not show that coverage has no effect. It shows that no specification detects a valuation gain after the first score,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enough scored firms for precise estimates, Malaysia and Thailand, both show MTB effects close to zero, and no market shows a significant positive effect. The coverage waves differ in timing across markets: the Thai and Singaporean waves came in 2019 and 2020, the Malaysian wave in 2021 and 2022. A common market-wide shock is therefore unlikely to explain the pattern, although the waves may reflect market-specific changes in disclosure rules (Singapore Exchange, 2016; Krueger, Sautner, Tang, and Zhong, 2024)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absence of a detectable valuation gain differs from the evidence on sell-side coverage, where the loss of coverage lowers prices (Kelly and Ljungqvist, 2012) and the first report on a neglected stock raises prices when it is favorable (Demiroglu and Ryngaert, 2010). Two features of ESG scores may explain the difference.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w:t>
      </w:r>
    </w:p>
    <w:p>
      <w:pPr>
        <w:spacing w:line="360" w:lineRule="auto" w:after="120" w:before="0"/>
        <w:ind w:firstLine="432"/>
        <w:jc w:val="both"/>
      </w:pPr>
      <w:r>
        <w:rPr/>
        <w:t>The results also fit the evidence on rating disagreement and investor demand. If ESG funds follow one provider more than others (Berg, Heeb, and Kölbel, 2022), coverage by a different provider may matter little for demand, and the dispersion of scores across providers (Berg, Kölbel, and Rigobon, 2022; Christensen, Serafeim, and Sikochi, 2022) weakens the information content of any single score. The pre-coverage growth resembles the conditions under which firms join an index. Price effects of index additions concentrate around the announcement and partly reverse (Shleifer, 1986; Harris and Gurel, 1986; Chen, Noronha, and Singal, 2004), and annual data cannot isolate an effect of that kind. Our evidence complements the U.S. findings that coverage changes firm conduct (Tsang et al., 2024; Bikmetova and Pirinsky, 2026)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and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through investor recognition or preferences (Merton, 1987; Pástor, Stambaugh, and Taylor, 2021), although they cannot rule out effects smaller than about 7.0 percent. For investors and exchanges, the results imply that the set of scored firms is a selected group whose valuation history differs from that of unscored firms, which matters for index construction and for any comparison of the two groups. Whether the same ordering holds in other emerging markets, or for other rating providers, is a hypothesis that these data cannot test.</w:t>
      </w:r>
    </w:p>
    <w:p>
      <w:pPr>
        <w:keepNext/>
        <w:spacing w:line="360" w:lineRule="auto" w:after="120" w:before="240"/>
      </w:pPr>
      <w:r>
        <w:rPr>
          <w:b/>
          <w:sz w:val="24"/>
        </w:rPr>
        <w:t>7. Limitations</w:t>
      </w:r>
    </w:p>
    <w:p>
      <w:pPr>
        <w:spacing w:line="360" w:lineRule="auto" w:after="120" w:before="0"/>
        <w:ind w:firstLine="432"/>
        <w:jc w:val="both"/>
      </w:pPr>
      <w:r>
        <w:rPr/>
        <w:t>The study has seven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and return on assets is available for a minority of firm-years. Sixth, Malaysian and Thai firms account for 84.3 percent of scored firms, so the pooled estimates weight those markets heavily. Seventh, the minimum detectable effect on log MTB is 0.067, so the design cannot rule out valuation effects smaller than about 7.0 percent even under parallel trends.</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grew faster than comparable never-scored firms before their first scored year and that their market-to-book ratios did not rise afterwards. The headline effect is 0.002 under parallel trends, and dating coverage one year later gives −0.068. The first LSEG score therefore arrives near a valuation peak rather than before a gain.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Doron, Si Cheng, Abraham Lioui, and Andrea Tarelli, 2022, Sustainable investing with ESG rating uncertainty, </w:t>
      </w:r>
      <w:r>
        <w:rPr>
          <w:i/>
        </w:rPr>
        <w:t>Journal of Financial Economics</w:t>
      </w:r>
      <w:r>
        <w:rPr/>
        <w:t xml:space="preserve"> 145(2), 642–664. https://doi.org/10.1016/j.jfineco.2021.09.009</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Berg, Florian, Florian Heeb, and Julian F. Kölbel, 2022, The economic impact of ESG ratings, SAFE Working Paper No. 439. https://ssrn.com/abstract=4088545</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Bernama, 2022, Bursa Malaysia signs sustainability MoU with London Stock Exchange Group, Bernama news report, 2 November 2022. https://www.bernama.com/en/news.php?id=2134522</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Chen, Honghui, Gregory Noronha, and Vijay Singal, 2004, The price response to S&amp;P 500 index additions and deletions: Evidence of asymmetry and a new explanation, </w:t>
      </w:r>
      <w:r>
        <w:rPr>
          <w:i/>
        </w:rPr>
        <w:t>Journal of Finance</w:t>
      </w:r>
      <w:r>
        <w:rPr/>
        <w:t xml:space="preserve"> 59(4), 1901–1929. https://doi.org/10.1111/j.1540-6261.2004.00683.x</w:t>
      </w:r>
    </w:p>
    <w:p>
      <w:pPr>
        <w:spacing w:line="360" w:lineRule="auto" w:after="80" w:before="0"/>
        <w:ind w:left="432" w:hanging="432"/>
      </w:pPr>
      <w:r>
        <w:rPr/>
        <w:t xml:space="preserve">Christensen, Dane M., George Serafeim, and Anywhere Sikochi, 2022, Why is corporate virtue in the eye of the beholder? The case of ESG ratings, </w:t>
      </w:r>
      <w:r>
        <w:rPr>
          <w:i/>
        </w:rPr>
        <w:t>The Accounting Review</w:t>
      </w:r>
      <w:r>
        <w:rPr/>
        <w:t xml:space="preserve"> 97(1), 147–175. https://doi.org/10.2308/TAR-2019-0506</w:t>
      </w:r>
    </w:p>
    <w:p>
      <w:pPr>
        <w:spacing w:line="360" w:lineRule="auto" w:after="80" w:before="0"/>
        <w:ind w:left="432" w:hanging="432"/>
      </w:pPr>
      <w:r>
        <w:rPr/>
        <w:t xml:space="preserve">Demiroglu, Cem, and Michael D. Ryngaert, 2010, The first analyst coverage of neglected stocks, </w:t>
      </w:r>
      <w:r>
        <w:rPr>
          <w:i/>
        </w:rPr>
        <w:t>Financial Management</w:t>
      </w:r>
      <w:r>
        <w:rPr/>
        <w:t xml:space="preserve"> 39(2), 555–584. https://doi.org/10.1111/j.1755-053X.2010.01084.x</w:t>
      </w:r>
    </w:p>
    <w:p>
      <w:pPr>
        <w:spacing w:line="360" w:lineRule="auto" w:after="80" w:before="0"/>
        <w:ind w:left="432" w:hanging="432"/>
      </w:pPr>
      <w:r>
        <w:rPr/>
        <w:t xml:space="preserve">Dobrick, Juris, Christian Klein, and Bernhard Zwergel, 2023, Size bias in Refinitiv ESG data, </w:t>
      </w:r>
      <w:r>
        <w:rPr>
          <w:i/>
        </w:rPr>
        <w:t>Finance Research Letters</w:t>
      </w:r>
      <w:r>
        <w:rPr/>
        <w:t xml:space="preserve"> 55, 104014.</w:t>
      </w:r>
    </w:p>
    <w:p>
      <w:pPr>
        <w:spacing w:line="360" w:lineRule="auto" w:after="80" w:before="0"/>
        <w:ind w:left="432" w:hanging="432"/>
      </w:pPr>
      <w:r>
        <w:rPr/>
        <w:t xml:space="preserve">Gibson Brandon, Rajna, Philipp Krueger, and Peter Steffen Schmidt, 2021, ESG rating disagreement and stock returns, </w:t>
      </w:r>
      <w:r>
        <w:rPr>
          <w:i/>
        </w:rPr>
        <w:t>Financial Analysts Journal</w:t>
      </w:r>
      <w:r>
        <w:rPr/>
        <w:t xml:space="preserve"> 77(4), 104–127. https://doi.org/10.1080/0015198X.2021.1963186</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 xml:space="preserve">Krueger, Philipp, Zacharias Sautner, Dragon Yongjun Tang, and Rui Zhong, 2024, The effects of mandatory ESG disclosure around the world, </w:t>
      </w:r>
      <w:r>
        <w:rPr>
          <w:i/>
        </w:rPr>
        <w:t>Journal of Accounting Research</w:t>
      </w:r>
      <w:r>
        <w:rPr/>
        <w:t xml:space="preserve"> 62(5), 1795–1847. https://doi.org/10.1111/1475-679X.12548</w:t>
      </w:r>
    </w:p>
    <w:p>
      <w:pPr>
        <w:spacing w:line="360" w:lineRule="auto" w:after="80" w:before="0"/>
        <w:ind w:left="432" w:hanging="432"/>
      </w:pPr>
      <w:r>
        <w:rPr/>
        <w:t>LSEG, 2025, LSEG ESG Scores (ESG score field),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Sahin, Özge, Karoline Bax, Sandra Paterlini, and Claudia Czado, 2023, The pitfalls of (non-definitive) environmental, social, and governance scoring methodology, </w:t>
      </w:r>
      <w:r>
        <w:rPr>
          <w:i/>
        </w:rPr>
        <w:t>Global Finance Journal</w:t>
      </w:r>
      <w:r>
        <w:rPr/>
        <w:t xml:space="preserve"> 56, 100780. https://doi.org/10.1016/j.gfj.2022.100780</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Singapore Exchange, 2016, SGX Mainboard Rules 711A and 711B: Sustainability report, applicable to financial years ending on or after 31 December 2017. https://rulebook.sgx.com/rulebook/711a</w:t>
      </w:r>
    </w:p>
    <w:p>
      <w:pPr>
        <w:spacing w:line="360" w:lineRule="auto" w:after="80" w:before="0"/>
        <w:ind w:left="432" w:hanging="432"/>
      </w:pPr>
      <w:r>
        <w:rPr/>
        <w:t xml:space="preserve">Tsang, Albert, Yujie Wang, Yi Xiang, and Li Yu, 2024, The rise of ESG rating agencies and management of corporate ESG violations, </w:t>
      </w:r>
      <w:r>
        <w:rPr>
          <w:i/>
        </w:rPr>
        <w:t>Journal of Banking &amp; Finance</w:t>
      </w:r>
      <w:r>
        <w:rPr/>
        <w:t xml:space="preserve"> 169, 107312. https://doi.org/10.1016/j.jbankfin.2024.107312</w:t>
      </w:r>
    </w:p>
    <w:p>
      <w:pPr>
        <w:spacing w:line="360" w:lineRule="auto" w:after="80" w:before="0"/>
        <w:ind w:left="432" w:hanging="432"/>
      </w:pPr>
      <w:r>
        <w:rPr/>
        <w:t xml:space="preserve">Tsang, Albert, Yujie Wang, Yi Xiang, and Li Yu, 2025, ESG ratings and dividend changes: Evidence from the initiation of nonfinancial agency coverage, </w:t>
      </w:r>
      <w:r>
        <w:rPr>
          <w:i/>
        </w:rPr>
        <w:t>Corporate Governance: An International Review</w:t>
      </w:r>
      <w:r>
        <w:rPr/>
        <w:t xml:space="preserve"> 33,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from Eq. (6) with bootstrap standard errors and percentile 95% confidence intervals; p-values for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the estimates of Eq. (5) relative to the year before the first score (event year −1, set to zero) and bars show bootstrap 95% confidence intervals; open circles with dotted bars are years before the first score and filled circles with solid bars are the year of the first score and later years.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Layout w:type="fixed"/>
      </w:tblPr>
      <w:tblGrid>
        <w:gridCol w:w="3311"/>
        <w:gridCol w:w="1512"/>
        <w:gridCol w:w="1512"/>
        <w:gridCol w:w="1512"/>
        <w:gridCol w:w="1512"/>
      </w:tblGrid>
      <w:tr>
        <w:tc>
          <w:tcPr>
            <w:tcW w:type="dxa" w:w="3312"/>
            <w:tcBorders>
              <w:top w:val="single" w:sz="6" w:color="000000"/>
              <w:bottom w:val="single" w:sz="6" w:color="000000"/>
            </w:tcBorders>
          </w:tcPr>
          <w:p>
            <w:pPr>
              <w:spacing w:after="0" w:line="240" w:lineRule="auto"/>
            </w:pPr>
            <w:r/>
            <w:r>
              <w:rPr>
                <w:b/>
                <w:sz w:val="18"/>
              </w:rPr>
              <w:t>Specification</w:t>
            </w:r>
          </w:p>
        </w:tc>
        <w:tc>
          <w:tcPr>
            <w:tcW w:type="dxa" w:w="1512"/>
            <w:tcBorders>
              <w:top w:val="single" w:sz="6" w:color="000000"/>
              <w:bottom w:val="single" w:sz="6" w:color="000000"/>
            </w:tcBorders>
          </w:tcPr>
          <w:p>
            <w:pPr>
              <w:spacing w:after="0" w:line="240" w:lineRule="auto"/>
              <w:jc w:val="center"/>
            </w:pPr>
            <w:r/>
            <w:r>
              <w:rPr>
                <w:b/>
                <w:sz w:val="18"/>
              </w:rPr>
              <w:t>ln(MTB)</w:t>
            </w:r>
          </w:p>
        </w:tc>
        <w:tc>
          <w:tcPr>
            <w:tcW w:type="dxa" w:w="1512"/>
            <w:tcBorders>
              <w:top w:val="single" w:sz="6" w:color="000000"/>
              <w:bottom w:val="single" w:sz="6" w:color="000000"/>
            </w:tcBorders>
          </w:tcPr>
          <w:p>
            <w:pPr>
              <w:spacing w:after="0" w:line="240" w:lineRule="auto"/>
              <w:jc w:val="center"/>
            </w:pPr>
            <w:r/>
            <w:r>
              <w:rPr>
                <w:b/>
                <w:sz w:val="18"/>
              </w:rPr>
              <w:t>ln(market capitalization)</w:t>
            </w:r>
          </w:p>
        </w:tc>
        <w:tc>
          <w:tcPr>
            <w:tcW w:type="dxa" w:w="1512"/>
            <w:tcBorders>
              <w:top w:val="single" w:sz="6" w:color="000000"/>
              <w:bottom w:val="single" w:sz="6" w:color="000000"/>
            </w:tcBorders>
          </w:tcPr>
          <w:p>
            <w:pPr>
              <w:spacing w:after="0" w:line="240" w:lineRule="auto"/>
              <w:jc w:val="center"/>
            </w:pPr>
            <w:r/>
            <w:r>
              <w:rPr>
                <w:b/>
                <w:sz w:val="18"/>
              </w:rPr>
              <w:t>Book leverage</w:t>
            </w:r>
          </w:p>
        </w:tc>
        <w:tc>
          <w:tcPr>
            <w:tcW w:type="dxa" w:w="1512"/>
            <w:tcBorders>
              <w:top w:val="single" w:sz="6" w:color="000000"/>
              <w:bottom w:val="single" w:sz="6" w:color="000000"/>
            </w:tcBorders>
          </w:tcPr>
          <w:p>
            <w:pPr>
              <w:spacing w:after="0" w:line="240" w:lineRule="auto"/>
              <w:jc w:val="center"/>
            </w:pPr>
            <w:r/>
            <w:r>
              <w:rPr>
                <w:b/>
                <w:sz w:val="18"/>
              </w:rPr>
              <w:t>ln(total assets)</w:t>
            </w:r>
          </w:p>
        </w:tc>
      </w:tr>
      <w:tr>
        <w:tc>
          <w:tcPr>
            <w:tcW w:type="dxa" w:w="3312"/>
          </w:tcPr>
          <w:p>
            <w:pPr>
              <w:spacing w:after="0" w:line="240" w:lineRule="auto"/>
            </w:pPr>
            <w:r/>
            <w:r>
              <w:rPr>
                <w:sz w:val="18"/>
              </w:rPr>
              <w:t>Baseline (never-scored controls, covariates)</w:t>
            </w:r>
          </w:p>
        </w:tc>
        <w:tc>
          <w:tcPr>
            <w:tcW w:type="dxa" w:w="1512"/>
          </w:tcPr>
          <w:p>
            <w:pPr>
              <w:spacing w:after="0" w:line="240" w:lineRule="auto"/>
              <w:jc w:val="center"/>
            </w:pPr>
            <w:r/>
            <w:r>
              <w:rPr>
                <w:sz w:val="18"/>
              </w:rPr>
              <w:t>0.002 (0.024)</w:t>
            </w:r>
          </w:p>
        </w:tc>
        <w:tc>
          <w:tcPr>
            <w:tcW w:type="dxa" w:w="1512"/>
          </w:tcPr>
          <w:p>
            <w:pPr>
              <w:spacing w:after="0" w:line="240" w:lineRule="auto"/>
              <w:jc w:val="center"/>
            </w:pPr>
            <w:r/>
            <w:r>
              <w:rPr>
                <w:sz w:val="18"/>
              </w:rPr>
              <w:t>−0.055* (0.030)</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0.044** (0.018)</w:t>
            </w:r>
          </w:p>
        </w:tc>
      </w:tr>
      <w:tr>
        <w:tc>
          <w:tcPr>
            <w:tcW w:type="dxa" w:w="3312"/>
          </w:tcPr>
          <w:p>
            <w:pPr>
              <w:spacing w:after="0" w:line="240" w:lineRule="auto"/>
            </w:pPr>
            <w:r/>
            <w:r>
              <w:rPr>
                <w:sz w:val="18"/>
              </w:rPr>
              <w:t>R1 Not-yet-scored firms added to controls</w:t>
            </w:r>
          </w:p>
        </w:tc>
        <w:tc>
          <w:tcPr>
            <w:tcW w:type="dxa" w:w="1512"/>
          </w:tcPr>
          <w:p>
            <w:pPr>
              <w:spacing w:after="0" w:line="240" w:lineRule="auto"/>
              <w:jc w:val="center"/>
            </w:pPr>
            <w:r/>
            <w:r>
              <w:rPr>
                <w:sz w:val="18"/>
              </w:rPr>
              <w:t>−0.001 (0.024)</w:t>
            </w:r>
          </w:p>
        </w:tc>
        <w:tc>
          <w:tcPr>
            <w:tcW w:type="dxa" w:w="1512"/>
          </w:tcPr>
          <w:p>
            <w:pPr>
              <w:spacing w:after="0" w:line="240" w:lineRule="auto"/>
              <w:jc w:val="center"/>
            </w:pPr>
            <w:r/>
            <w:r>
              <w:rPr>
                <w:sz w:val="18"/>
              </w:rPr>
              <w:t>−0.053* (0.029)</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0.040** (0.017)</w:t>
            </w:r>
          </w:p>
        </w:tc>
      </w:tr>
      <w:tr>
        <w:tc>
          <w:tcPr>
            <w:tcW w:type="dxa" w:w="3312"/>
          </w:tcPr>
          <w:p>
            <w:pPr>
              <w:spacing w:after="0" w:line="240" w:lineRule="auto"/>
            </w:pPr>
            <w:r/>
            <w:r>
              <w:rPr>
                <w:sz w:val="18"/>
              </w:rPr>
              <w:t>R2 No covariates</w:t>
            </w:r>
          </w:p>
        </w:tc>
        <w:tc>
          <w:tcPr>
            <w:tcW w:type="dxa" w:w="1512"/>
          </w:tcPr>
          <w:p>
            <w:pPr>
              <w:spacing w:after="0" w:line="240" w:lineRule="auto"/>
              <w:jc w:val="center"/>
            </w:pPr>
            <w:r/>
            <w:r>
              <w:rPr>
                <w:sz w:val="18"/>
              </w:rPr>
              <w:t>0.025 (0.022)</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0.012*** (0.004)</w:t>
            </w:r>
          </w:p>
        </w:tc>
        <w:tc>
          <w:tcPr>
            <w:tcW w:type="dxa" w:w="1512"/>
          </w:tcPr>
          <w:p>
            <w:pPr>
              <w:spacing w:after="0" w:line="240" w:lineRule="auto"/>
              <w:jc w:val="center"/>
            </w:pPr>
            <w:r/>
            <w:r>
              <w:rPr>
                <w:sz w:val="18"/>
              </w:rPr>
              <w:t>0.011 (0.015)</w:t>
            </w:r>
          </w:p>
        </w:tc>
      </w:tr>
      <w:tr>
        <w:tc>
          <w:tcPr>
            <w:tcW w:type="dxa" w:w="3312"/>
          </w:tcPr>
          <w:p>
            <w:pPr>
              <w:spacing w:after="0" w:line="240" w:lineRule="auto"/>
            </w:pPr>
            <w:r/>
            <w:r>
              <w:rPr>
                <w:sz w:val="18"/>
              </w:rPr>
              <w:t>R3 Excluding 2020 and 2021 cohorts</w:t>
            </w:r>
          </w:p>
        </w:tc>
        <w:tc>
          <w:tcPr>
            <w:tcW w:type="dxa" w:w="1512"/>
          </w:tcPr>
          <w:p>
            <w:pPr>
              <w:spacing w:after="0" w:line="240" w:lineRule="auto"/>
              <w:jc w:val="center"/>
            </w:pPr>
            <w:r/>
            <w:r>
              <w:rPr>
                <w:sz w:val="18"/>
              </w:rPr>
              <w:t>0.031 (0.027)</w:t>
            </w:r>
          </w:p>
        </w:tc>
        <w:tc>
          <w:tcPr>
            <w:tcW w:type="dxa" w:w="1512"/>
          </w:tcPr>
          <w:p>
            <w:pPr>
              <w:spacing w:after="0" w:line="240" w:lineRule="auto"/>
              <w:jc w:val="center"/>
            </w:pPr>
            <w:r/>
            <w:r>
              <w:rPr>
                <w:sz w:val="18"/>
              </w:rPr>
              <w:t>−0.029 (0.036)</w:t>
            </w:r>
          </w:p>
        </w:tc>
        <w:tc>
          <w:tcPr>
            <w:tcW w:type="dxa" w:w="1512"/>
          </w:tcPr>
          <w:p>
            <w:pPr>
              <w:spacing w:after="0" w:line="240" w:lineRule="auto"/>
              <w:jc w:val="center"/>
            </w:pPr>
            <w:r/>
            <w:r>
              <w:rPr>
                <w:sz w:val="18"/>
              </w:rPr>
              <w:t>0.004 (0.005)</w:t>
            </w:r>
          </w:p>
        </w:tc>
        <w:tc>
          <w:tcPr>
            <w:tcW w:type="dxa" w:w="1512"/>
          </w:tcPr>
          <w:p>
            <w:pPr>
              <w:spacing w:after="0" w:line="240" w:lineRule="auto"/>
              <w:jc w:val="center"/>
            </w:pPr>
            <w:r/>
            <w:r>
              <w:rPr>
                <w:sz w:val="18"/>
              </w:rPr>
              <w:t>0.020 (0.019)</w:t>
            </w:r>
          </w:p>
        </w:tc>
      </w:tr>
      <w:tr>
        <w:tc>
          <w:tcPr>
            <w:tcW w:type="dxa" w:w="3312"/>
          </w:tcPr>
          <w:p>
            <w:pPr>
              <w:spacing w:after="0" w:line="240" w:lineRule="auto"/>
            </w:pPr>
            <w:r/>
            <w:r>
              <w:rPr>
                <w:sz w:val="18"/>
              </w:rPr>
              <w:t>R4 Controls on treated size support</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−0.007 (0.031)</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0.101*** (0.017)</w:t>
            </w:r>
          </w:p>
        </w:tc>
      </w:tr>
      <w:tr>
        <w:tc>
          <w:tcPr>
            <w:tcW w:type="dxa" w:w="3312"/>
          </w:tcPr>
          <w:p>
            <w:pPr>
              <w:spacing w:after="0" w:line="240" w:lineRule="auto"/>
            </w:pPr>
            <w:r/>
            <w:r>
              <w:rPr>
                <w:sz w:val="18"/>
              </w:rPr>
              <w:t>R5 Placebo: coverage dated three years early</w:t>
            </w:r>
          </w:p>
        </w:tc>
        <w:tc>
          <w:tcPr>
            <w:tcW w:type="dxa" w:w="1512"/>
          </w:tcPr>
          <w:p>
            <w:pPr>
              <w:spacing w:after="0" w:line="240" w:lineRule="auto"/>
              <w:jc w:val="center"/>
            </w:pPr>
            <w:r/>
            <w:r>
              <w:rPr>
                <w:sz w:val="18"/>
              </w:rPr>
              <w:t>0.059*** (0.023)</w:t>
            </w:r>
          </w:p>
        </w:tc>
        <w:tc>
          <w:tcPr>
            <w:tcW w:type="dxa" w:w="1512"/>
          </w:tcPr>
          <w:p>
            <w:pPr>
              <w:spacing w:after="0" w:line="240" w:lineRule="auto"/>
              <w:jc w:val="center"/>
            </w:pPr>
            <w:r/>
            <w:r>
              <w:rPr>
                <w:sz w:val="18"/>
              </w:rPr>
              <w:t>0.134*** (0.028)</w:t>
            </w:r>
          </w:p>
        </w:tc>
        <w:tc>
          <w:tcPr>
            <w:tcW w:type="dxa" w:w="1512"/>
          </w:tcPr>
          <w:p>
            <w:pPr>
              <w:spacing w:after="0" w:line="240" w:lineRule="auto"/>
              <w:jc w:val="center"/>
            </w:pPr>
            <w:r/>
            <w:r>
              <w:rPr>
                <w:sz w:val="18"/>
              </w:rPr>
              <w:t>−0.002 (0.005)</w:t>
            </w:r>
          </w:p>
        </w:tc>
        <w:tc>
          <w:tcPr>
            <w:tcW w:type="dxa" w:w="1512"/>
          </w:tcPr>
          <w:p>
            <w:pPr>
              <w:spacing w:after="0" w:line="240" w:lineRule="auto"/>
              <w:jc w:val="center"/>
            </w:pPr>
            <w:r/>
            <w:r>
              <w:rPr>
                <w:sz w:val="18"/>
              </w:rPr>
              <w:t>0.115*** (0.015)</w:t>
            </w:r>
          </w:p>
        </w:tc>
      </w:tr>
      <w:tr>
        <w:tc>
          <w:tcPr>
            <w:tcW w:type="dxa" w:w="3312"/>
          </w:tcPr>
          <w:p>
            <w:pPr>
              <w:spacing w:after="0" w:line="240" w:lineRule="auto"/>
            </w:pPr>
            <w:r/>
            <w:r>
              <w:rPr>
                <w:sz w:val="18"/>
              </w:rPr>
              <w:t>R6 Static two-way fixed effects</w:t>
            </w:r>
          </w:p>
        </w:tc>
        <w:tc>
          <w:tcPr>
            <w:tcW w:type="dxa" w:w="1512"/>
          </w:tcPr>
          <w:p>
            <w:pPr>
              <w:spacing w:after="0" w:line="240" w:lineRule="auto"/>
              <w:jc w:val="center"/>
            </w:pPr>
            <w:r/>
            <w:r>
              <w:rPr>
                <w:sz w:val="18"/>
              </w:rPr>
              <w:t>0.064** (0.026)</w:t>
            </w:r>
          </w:p>
        </w:tc>
        <w:tc>
          <w:tcPr>
            <w:tcW w:type="dxa" w:w="1512"/>
          </w:tcPr>
          <w:p>
            <w:pPr>
              <w:spacing w:after="0" w:line="240" w:lineRule="auto"/>
              <w:jc w:val="center"/>
            </w:pPr>
            <w:r/>
            <w:r>
              <w:rPr>
                <w:sz w:val="18"/>
              </w:rPr>
              <w:t>0.185*** (0.032)</w:t>
            </w:r>
          </w:p>
        </w:tc>
        <w:tc>
          <w:tcPr>
            <w:tcW w:type="dxa" w:w="1512"/>
          </w:tcPr>
          <w:p>
            <w:pPr>
              <w:spacing w:after="0" w:line="240" w:lineRule="auto"/>
              <w:jc w:val="center"/>
            </w:pPr>
            <w:r/>
            <w:r>
              <w:rPr>
                <w:sz w:val="18"/>
              </w:rPr>
              <w:t>0.005 (0.005)</w:t>
            </w:r>
          </w:p>
        </w:tc>
        <w:tc>
          <w:tcPr>
            <w:tcW w:type="dxa" w:w="1512"/>
          </w:tcPr>
          <w:p>
            <w:pPr>
              <w:spacing w:after="0" w:line="240" w:lineRule="auto"/>
              <w:jc w:val="center"/>
            </w:pPr>
            <w:r/>
            <w:r>
              <w:rPr>
                <w:sz w:val="18"/>
              </w:rPr>
              <w:t>0.117*** (0.022)</w:t>
            </w:r>
          </w:p>
        </w:tc>
      </w:tr>
      <w:tr>
        <w:tc>
          <w:tcPr>
            <w:tcW w:type="dxa" w:w="3312"/>
          </w:tcPr>
          <w:p>
            <w:pPr>
              <w:spacing w:after="0" w:line="240" w:lineRule="auto"/>
            </w:pPr>
            <w:r/>
            <w:r>
              <w:rPr>
                <w:sz w:val="18"/>
              </w:rPr>
              <w:t>R7 Linear pre-trend removed</w:t>
            </w:r>
          </w:p>
        </w:tc>
        <w:tc>
          <w:tcPr>
            <w:tcW w:type="dxa" w:w="1512"/>
          </w:tcPr>
          <w:p>
            <w:pPr>
              <w:spacing w:after="0" w:line="240" w:lineRule="auto"/>
              <w:jc w:val="center"/>
            </w:pPr>
            <w:r/>
            <w:r>
              <w:rPr>
                <w:sz w:val="18"/>
              </w:rPr>
              <w:t>−0.052 (0.034)</w:t>
            </w:r>
          </w:p>
        </w:tc>
        <w:tc>
          <w:tcPr>
            <w:tcW w:type="dxa" w:w="1512"/>
          </w:tcPr>
          <w:p>
            <w:pPr>
              <w:spacing w:after="0" w:line="240" w:lineRule="auto"/>
              <w:jc w:val="center"/>
            </w:pPr>
            <w:r/>
            <w:r>
              <w:rPr>
                <w:sz w:val="18"/>
              </w:rPr>
              <w:t>−0.134*** (0.042)</w:t>
            </w:r>
          </w:p>
        </w:tc>
        <w:tc>
          <w:tcPr>
            <w:tcW w:type="dxa" w:w="1512"/>
          </w:tcPr>
          <w:p>
            <w:pPr>
              <w:spacing w:after="0" w:line="240" w:lineRule="auto"/>
              <w:jc w:val="center"/>
            </w:pPr>
            <w:r/>
            <w:r>
              <w:rPr>
                <w:sz w:val="18"/>
              </w:rPr>
              <w:t>0.023*** (0.006)</w:t>
            </w:r>
          </w:p>
        </w:tc>
        <w:tc>
          <w:tcPr>
            <w:tcW w:type="dxa" w:w="1512"/>
          </w:tcPr>
          <w:p>
            <w:pPr>
              <w:spacing w:after="0" w:line="240" w:lineRule="auto"/>
              <w:jc w:val="center"/>
            </w:pPr>
            <w:r/>
            <w:r>
              <w:rPr>
                <w:sz w:val="18"/>
              </w:rPr>
              <w:t>0.011 (0.023)</w:t>
            </w:r>
          </w:p>
        </w:tc>
      </w:tr>
      <w:tr>
        <w:tc>
          <w:tcPr>
            <w:tcW w:type="dxa" w:w="3312"/>
          </w:tcPr>
          <w:p>
            <w:pPr>
              <w:spacing w:after="0" w:line="240" w:lineRule="auto"/>
            </w:pPr>
            <w:r/>
            <w:r>
              <w:rPr>
                <w:sz w:val="18"/>
              </w:rPr>
              <w:t>R8 Controlling for pre-coverage growth</w:t>
            </w:r>
          </w:p>
        </w:tc>
        <w:tc>
          <w:tcPr>
            <w:tcW w:type="dxa" w:w="1512"/>
          </w:tcPr>
          <w:p>
            <w:pPr>
              <w:spacing w:after="0" w:line="240" w:lineRule="auto"/>
              <w:jc w:val="center"/>
            </w:pPr>
            <w:r/>
            <w:r>
              <w:rPr>
                <w:sz w:val="18"/>
              </w:rPr>
              <w:t>0.028 (0.025)</w:t>
            </w:r>
          </w:p>
        </w:tc>
        <w:tc>
          <w:tcPr>
            <w:tcW w:type="dxa" w:w="1512"/>
          </w:tcPr>
          <w:p>
            <w:pPr>
              <w:spacing w:after="0" w:line="240" w:lineRule="auto"/>
              <w:jc w:val="center"/>
            </w:pPr>
            <w:r/>
            <w:r>
              <w:rPr>
                <w:sz w:val="18"/>
              </w:rPr>
              <w:t>−0.034 (0.032)</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0.043** (0.018)</w:t>
            </w:r>
          </w:p>
        </w:tc>
      </w:tr>
      <w:tr>
        <w:tc>
          <w:tcPr>
            <w:tcW w:type="dxa" w:w="3312"/>
          </w:tcPr>
          <w:p>
            <w:pPr>
              <w:spacing w:after="0" w:line="240" w:lineRule="auto"/>
            </w:pPr>
            <w:r/>
            <w:r>
              <w:rPr>
                <w:sz w:val="18"/>
              </w:rPr>
              <w:t>R9 Excluding Malaysia</w:t>
            </w:r>
          </w:p>
        </w:tc>
        <w:tc>
          <w:tcPr>
            <w:tcW w:type="dxa" w:w="1512"/>
          </w:tcPr>
          <w:p>
            <w:pPr>
              <w:spacing w:after="0" w:line="240" w:lineRule="auto"/>
              <w:jc w:val="center"/>
            </w:pPr>
            <w:r/>
            <w:r>
              <w:rPr>
                <w:sz w:val="18"/>
              </w:rPr>
              <w:t>−0.003 (0.035)</w:t>
            </w:r>
          </w:p>
        </w:tc>
        <w:tc>
          <w:tcPr>
            <w:tcW w:type="dxa" w:w="1512"/>
          </w:tcPr>
          <w:p>
            <w:pPr>
              <w:spacing w:after="0" w:line="240" w:lineRule="auto"/>
              <w:jc w:val="center"/>
            </w:pPr>
            <w:r/>
            <w:r>
              <w:rPr>
                <w:sz w:val="18"/>
              </w:rPr>
              <w:t>0.037 (0.038)</w:t>
            </w:r>
          </w:p>
        </w:tc>
        <w:tc>
          <w:tcPr>
            <w:tcW w:type="dxa" w:w="1512"/>
          </w:tcPr>
          <w:p>
            <w:pPr>
              <w:spacing w:after="0" w:line="240" w:lineRule="auto"/>
              <w:jc w:val="center"/>
            </w:pPr>
            <w:r/>
            <w:r>
              <w:rPr>
                <w:sz w:val="18"/>
              </w:rPr>
              <w:t>0.022*** (0.008)</w:t>
            </w:r>
          </w:p>
        </w:tc>
        <w:tc>
          <w:tcPr>
            <w:tcW w:type="dxa" w:w="1512"/>
          </w:tcPr>
          <w:p>
            <w:pPr>
              <w:spacing w:after="0" w:line="240" w:lineRule="auto"/>
              <w:jc w:val="center"/>
            </w:pPr>
            <w:r/>
            <w:r>
              <w:rPr>
                <w:sz w:val="18"/>
              </w:rPr>
              <w:t>0.046 (0.029)</w:t>
            </w:r>
          </w:p>
        </w:tc>
      </w:tr>
      <w:tr>
        <w:tc>
          <w:tcPr>
            <w:tcW w:type="dxa" w:w="3312"/>
          </w:tcPr>
          <w:p>
            <w:pPr>
              <w:spacing w:after="0" w:line="240" w:lineRule="auto"/>
            </w:pPr>
            <w:r/>
            <w:r>
              <w:rPr>
                <w:sz w:val="18"/>
              </w:rPr>
              <w:t>R10 Treatment dated one year later</w:t>
            </w:r>
          </w:p>
        </w:tc>
        <w:tc>
          <w:tcPr>
            <w:tcW w:type="dxa" w:w="1512"/>
          </w:tcPr>
          <w:p>
            <w:pPr>
              <w:spacing w:after="0" w:line="240" w:lineRule="auto"/>
              <w:jc w:val="center"/>
            </w:pPr>
            <w:r/>
            <w:r>
              <w:rPr>
                <w:sz w:val="18"/>
              </w:rPr>
              <w:t>−0.068*** (0.024)</w:t>
            </w:r>
          </w:p>
        </w:tc>
        <w:tc>
          <w:tcPr>
            <w:tcW w:type="dxa" w:w="1512"/>
          </w:tcPr>
          <w:p>
            <w:pPr>
              <w:spacing w:after="0" w:line="240" w:lineRule="auto"/>
              <w:jc w:val="center"/>
            </w:pPr>
            <w:r/>
            <w:r>
              <w:rPr>
                <w:sz w:val="18"/>
              </w:rPr>
              <w:t>−0.073** (0.030)</w:t>
            </w:r>
          </w:p>
        </w:tc>
        <w:tc>
          <w:tcPr>
            <w:tcW w:type="dxa" w:w="1512"/>
          </w:tcPr>
          <w:p>
            <w:pPr>
              <w:spacing w:after="0" w:line="240" w:lineRule="auto"/>
              <w:jc w:val="center"/>
            </w:pPr>
            <w:r/>
            <w:r>
              <w:rPr>
                <w:sz w:val="18"/>
              </w:rPr>
              <w:t>0.007 (0.005)</w:t>
            </w:r>
          </w:p>
        </w:tc>
        <w:tc>
          <w:tcPr>
            <w:tcW w:type="dxa" w:w="1512"/>
          </w:tcPr>
          <w:p>
            <w:pPr>
              <w:spacing w:after="0" w:line="240" w:lineRule="auto"/>
              <w:jc w:val="center"/>
            </w:pPr>
            <w:r/>
            <w:r>
              <w:rPr>
                <w:sz w:val="18"/>
              </w:rPr>
              <w:t>−0.006 (0.017)</w:t>
            </w:r>
          </w:p>
        </w:tc>
      </w:tr>
      <w:tr>
        <w:tc>
          <w:tcPr>
            <w:tcW w:type="dxa" w:w="3312"/>
          </w:tcPr>
          <w:p>
            <w:pPr>
              <w:spacing w:after="0" w:line="240" w:lineRule="auto"/>
            </w:pPr>
            <w:r/>
            <w:r>
              <w:rPr>
                <w:sz w:val="18"/>
              </w:rPr>
              <w:t>R11 Cohorts observed through event year 3</w:t>
            </w:r>
          </w:p>
        </w:tc>
        <w:tc>
          <w:tcPr>
            <w:tcW w:type="dxa" w:w="1512"/>
          </w:tcPr>
          <w:p>
            <w:pPr>
              <w:spacing w:after="0" w:line="240" w:lineRule="auto"/>
              <w:jc w:val="center"/>
            </w:pPr>
            <w:r/>
            <w:r>
              <w:rPr>
                <w:sz w:val="18"/>
              </w:rPr>
              <w:t>−0.008 (0.033)</w:t>
            </w:r>
          </w:p>
        </w:tc>
        <w:tc>
          <w:tcPr>
            <w:tcW w:type="dxa" w:w="1512"/>
          </w:tcPr>
          <w:p>
            <w:pPr>
              <w:spacing w:after="0" w:line="240" w:lineRule="auto"/>
              <w:jc w:val="center"/>
            </w:pPr>
            <w:r/>
            <w:r>
              <w:rPr>
                <w:sz w:val="18"/>
              </w:rPr>
              <w:t>−0.030 (0.037)</w:t>
            </w:r>
          </w:p>
        </w:tc>
        <w:tc>
          <w:tcPr>
            <w:tcW w:type="dxa" w:w="1512"/>
          </w:tcPr>
          <w:p>
            <w:pPr>
              <w:spacing w:after="0" w:line="240" w:lineRule="auto"/>
              <w:jc w:val="center"/>
            </w:pPr>
            <w:r/>
            <w:r>
              <w:rPr>
                <w:sz w:val="18"/>
              </w:rPr>
              <w:t>0.013* (0.007)</w:t>
            </w:r>
          </w:p>
        </w:tc>
        <w:tc>
          <w:tcPr>
            <w:tcW w:type="dxa" w:w="1512"/>
          </w:tcPr>
          <w:p>
            <w:pPr>
              <w:spacing w:after="0" w:line="240" w:lineRule="auto"/>
              <w:jc w:val="center"/>
            </w:pPr>
            <w:r/>
            <w:r>
              <w:rPr>
                <w:sz w:val="18"/>
              </w:rPr>
              <w:t>0.082*** (0.027)</w:t>
            </w:r>
          </w:p>
        </w:tc>
      </w:tr>
      <w:tr>
        <w:tc>
          <w:tcPr>
            <w:tcW w:type="dxa" w:w="3312"/>
          </w:tcPr>
          <w:p>
            <w:pPr>
              <w:spacing w:after="0" w:line="240" w:lineRule="auto"/>
            </w:pPr>
            <w:r/>
            <w:r>
              <w:rPr>
                <w:sz w:val="18"/>
              </w:rPr>
              <w:t>High initial ESG score</w:t>
            </w:r>
          </w:p>
        </w:tc>
        <w:tc>
          <w:tcPr>
            <w:tcW w:type="dxa" w:w="1512"/>
          </w:tcPr>
          <w:p>
            <w:pPr>
              <w:spacing w:after="0" w:line="240" w:lineRule="auto"/>
              <w:jc w:val="center"/>
            </w:pPr>
            <w:r/>
            <w:r>
              <w:rPr>
                <w:sz w:val="18"/>
              </w:rPr>
              <w:t>−0.019 (0.030)</w:t>
            </w:r>
          </w:p>
        </w:tc>
        <w:tc>
          <w:tcPr>
            <w:tcW w:type="dxa" w:w="1512"/>
          </w:tcPr>
          <w:p>
            <w:pPr>
              <w:spacing w:after="0" w:line="240" w:lineRule="auto"/>
              <w:jc w:val="center"/>
            </w:pPr>
            <w:r/>
            <w:r>
              <w:rPr>
                <w:sz w:val="18"/>
              </w:rPr>
              <w:t>−0.029 (0.034)</w:t>
            </w:r>
          </w:p>
        </w:tc>
        <w:tc>
          <w:tcPr>
            <w:tcW w:type="dxa" w:w="1512"/>
          </w:tcPr>
          <w:p>
            <w:pPr>
              <w:spacing w:after="0" w:line="240" w:lineRule="auto"/>
              <w:jc w:val="center"/>
            </w:pPr>
            <w:r/>
            <w:r>
              <w:rPr>
                <w:sz w:val="18"/>
              </w:rPr>
              <w:t>0.009 (0.006)</w:t>
            </w:r>
          </w:p>
        </w:tc>
        <w:tc>
          <w:tcPr>
            <w:tcW w:type="dxa" w:w="1512"/>
          </w:tcPr>
          <w:p>
            <w:pPr>
              <w:spacing w:after="0" w:line="240" w:lineRule="auto"/>
              <w:jc w:val="center"/>
            </w:pPr>
            <w:r/>
            <w:r>
              <w:rPr>
                <w:sz w:val="18"/>
              </w:rPr>
              <w:t>0.038* (0.022)</w:t>
            </w:r>
          </w:p>
        </w:tc>
      </w:tr>
      <w:tr>
        <w:tc>
          <w:tcPr>
            <w:tcW w:type="dxa" w:w="3312"/>
          </w:tcPr>
          <w:p>
            <w:pPr>
              <w:spacing w:after="0" w:line="240" w:lineRule="auto"/>
            </w:pPr>
            <w:r/>
            <w:r>
              <w:rPr>
                <w:sz w:val="18"/>
              </w:rPr>
              <w:t>Low initial ESG score</w:t>
            </w:r>
          </w:p>
        </w:tc>
        <w:tc>
          <w:tcPr>
            <w:tcW w:type="dxa" w:w="1512"/>
          </w:tcPr>
          <w:p>
            <w:pPr>
              <w:spacing w:after="0" w:line="240" w:lineRule="auto"/>
              <w:jc w:val="center"/>
            </w:pPr>
            <w:r/>
            <w:r>
              <w:rPr>
                <w:sz w:val="18"/>
              </w:rPr>
              <w:t>0.022 (0.033)</w:t>
            </w:r>
          </w:p>
        </w:tc>
        <w:tc>
          <w:tcPr>
            <w:tcW w:type="dxa" w:w="1512"/>
          </w:tcPr>
          <w:p>
            <w:pPr>
              <w:spacing w:after="0" w:line="240" w:lineRule="auto"/>
              <w:jc w:val="center"/>
            </w:pPr>
            <w:r/>
            <w:r>
              <w:rPr>
                <w:sz w:val="18"/>
              </w:rPr>
              <w:t>−0.081* (0.042)</w:t>
            </w:r>
          </w:p>
        </w:tc>
        <w:tc>
          <w:tcPr>
            <w:tcW w:type="dxa" w:w="1512"/>
          </w:tcPr>
          <w:p>
            <w:pPr>
              <w:spacing w:after="0" w:line="240" w:lineRule="auto"/>
              <w:jc w:val="center"/>
            </w:pPr>
            <w:r/>
            <w:r>
              <w:rPr>
                <w:sz w:val="18"/>
              </w:rPr>
              <w:t>0.007 (0.006)</w:t>
            </w:r>
          </w:p>
        </w:tc>
        <w:tc>
          <w:tcPr>
            <w:tcW w:type="dxa" w:w="1512"/>
          </w:tcPr>
          <w:p>
            <w:pPr>
              <w:spacing w:after="0" w:line="240" w:lineRule="auto"/>
              <w:jc w:val="center"/>
            </w:pPr>
            <w:r/>
            <w:r>
              <w:rPr>
                <w:sz w:val="18"/>
              </w:rPr>
              <w:t>0.049** (0.022)</w:t>
            </w:r>
          </w:p>
        </w:tc>
      </w:tr>
      <w:tr>
        <w:tc>
          <w:tcPr>
            <w:tcW w:type="dxa" w:w="3312"/>
            <w:tcBorders>
              <w:bottom w:val="single" w:sz="6" w:color="000000"/>
            </w:tcBorders>
          </w:tcPr>
          <w:p>
            <w:pPr>
              <w:spacing w:after="0" w:line="240" w:lineRule="auto"/>
            </w:pPr>
            <w:r/>
            <w:r>
              <w:rPr>
                <w:sz w:val="18"/>
              </w:rPr>
              <w:t>Difference, high minus low</w:t>
            </w:r>
          </w:p>
        </w:tc>
        <w:tc>
          <w:tcPr>
            <w:tcW w:type="dxa" w:w="1512"/>
            <w:tcBorders>
              <w:bottom w:val="single" w:sz="6" w:color="000000"/>
            </w:tcBorders>
          </w:tcPr>
          <w:p>
            <w:pPr>
              <w:spacing w:after="0" w:line="240" w:lineRule="auto"/>
              <w:jc w:val="center"/>
            </w:pPr>
            <w:r/>
            <w:r>
              <w:rPr>
                <w:sz w:val="18"/>
              </w:rPr>
              <w:t>−0.041 (0.040)</w:t>
            </w:r>
          </w:p>
        </w:tc>
        <w:tc>
          <w:tcPr>
            <w:tcW w:type="dxa" w:w="1512"/>
            <w:tcBorders>
              <w:bottom w:val="single" w:sz="6" w:color="000000"/>
            </w:tcBorders>
          </w:tcPr>
          <w:p>
            <w:pPr>
              <w:spacing w:after="0" w:line="240" w:lineRule="auto"/>
              <w:jc w:val="center"/>
            </w:pPr>
            <w:r/>
            <w:r>
              <w:rPr>
                <w:sz w:val="18"/>
              </w:rPr>
              <w:t>0.052 (0.047)</w:t>
            </w:r>
          </w:p>
        </w:tc>
        <w:tc>
          <w:tcPr>
            <w:tcW w:type="dxa" w:w="1512"/>
            <w:tcBorders>
              <w:bottom w:val="single" w:sz="6" w:color="000000"/>
            </w:tcBorders>
          </w:tcPr>
          <w:p>
            <w:pPr>
              <w:spacing w:after="0" w:line="240" w:lineRule="auto"/>
              <w:jc w:val="center"/>
            </w:pPr>
            <w:r/>
            <w:r>
              <w:rPr>
                <w:sz w:val="18"/>
              </w:rPr>
              <w:t>0.002 (0.008)</w:t>
            </w:r>
          </w:p>
        </w:tc>
        <w:tc>
          <w:tcPr>
            <w:tcW w:type="dxa" w:w="1512"/>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rows R1 to R6 were pre-specified and rows R7 to R11 are exploratory.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