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before="0"/>
        <w:jc w:val="center"/>
      </w:pPr>
      <w:r>
        <w:rPr>
          <w:b/>
          <w:sz w:val="28"/>
        </w:rPr>
        <w:t>Who Gets an ESG Score? Coverage Selection and Firm Value in Five Southeast Asian Markets</w:t>
      </w:r>
    </w:p>
    <w:p>
      <w:pPr>
        <w:keepNext/>
        <w:spacing w:line="480" w:lineRule="auto" w:after="120" w:before="240"/>
      </w:pPr>
      <w:r>
        <w:rPr>
          <w:b/>
        </w:rPr>
        <w:t>Abstract</w:t>
      </w:r>
    </w:p>
    <w:p>
      <w:pPr>
        <w:spacing w:line="480" w:lineRule="auto" w:after="120" w:before="0"/>
        <w:jc w:val="both"/>
      </w:pPr>
      <w:r>
        <w:rPr/>
        <w:t>Most listed firms in Southeast Asia have no environmental, social, and governance (ESG) score, so they sit outside the universe that ESG-screened investors can hold. We ask which firms enter London Stock Exchange Group (LSEG) ESG coverage and whether entry changes their valuation. We compare 675 non-financial firms in Indonesia, Malaysia, the Philippines, Singapore, and Thailand that received a first score with 2,613 never-scored firms. Over the five years before the first score, the market-to-book (MTB) ratio of scored firms grew 10.0 percent more than that of never-scored firms, a run-up absent in a large Malaysian wave. Under parallel trends, we detect no MTB gain after the first score (estimate 0.002; 95% interval −0.046 to 0.048) and no difference between high- and low-score firms. ESG screens built on this provider's scores draw on firms that have often just outgrown their peers.</w:t>
      </w:r>
    </w:p>
    <w:p>
      <w:pPr>
        <w:spacing w:line="480" w:lineRule="auto" w:after="80" w:before="0"/>
      </w:pPr>
      <w:r>
        <w:rPr>
          <w:b/>
        </w:rPr>
        <w:t>Keywords:</w:t>
      </w:r>
      <w:r>
        <w:t xml:space="preserve"> Emerging markets, ESG ratings, Firm valuation, Rating coverage, Sustainable finance</w:t>
      </w:r>
    </w:p>
    <w:p>
      <w:pPr>
        <w:spacing w:line="480" w:lineRule="auto" w:after="80" w:before="0"/>
      </w:pPr>
      <w:r>
        <w:rPr>
          <w:b/>
        </w:rPr>
        <w:t>JEL classification:</w:t>
      </w:r>
      <w:r>
        <w:t xml:space="preserve"> G14, G15, G32, M14, Q56</w:t>
      </w:r>
    </w:p>
    <w:p>
      <w:r>
        <w:br w:type="page"/>
      </w:r>
    </w:p>
    <w:p>
      <w:pPr>
        <w:keepNext/>
        <w:spacing w:line="480" w:lineRule="auto" w:after="120" w:before="240"/>
      </w:pPr>
      <w:r>
        <w:rPr>
          <w:b/>
        </w:rPr>
        <w:t>1. Introduction</w:t>
      </w:r>
    </w:p>
    <w:p>
      <w:pPr>
        <w:spacing w:line="48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at any point between 2014 and 2024. Much of the academic literature on ESG ratings uses LSEG scores (Berg, Kölbel, et al., 2022; Dobrick et al., 2023). Entry into the scored universe therefore raises two questions for sustainable finance: which firms get scored, and does entry change how the market values them?</w:t>
      </w:r>
    </w:p>
    <w:p>
      <w:pPr>
        <w:spacing w:line="480" w:lineRule="auto" w:after="120" w:before="0"/>
        <w:ind w:firstLine="432"/>
        <w:jc w:val="both"/>
      </w:pPr>
      <w:r>
        <w:rPr/>
        <w:t>Theory gives no single answer to the second question. Under investor recognition, a first score makes a firm visible to ESG-screening investors, and a broader investor base raises its price (Merton, 1987). Under ESG preferences, investors pay more for green assets and less for brown ones (Pástor et al., 2021; Pedersen et al., 2021). A first score should then raise the value of firms it reveals as green and lower the value of those it reveals as brown. Evidence on ESG certification events is mixed. Additions to the Dow Jones Sustainability Index have little price effect once comparable firms serve as benchmarks (Durand et al., 2019; Hawn et al., 2018). Downgrades of existing ratings, by contrast, are followed by negative abnormal returns, and upgrades by weaker positive ones (Berg, Heeb, et al., 2022; Shanaev &amp; Ghimire, 2022). Fund investors respond to sustainability ratings when these are new and salient (Hartzmark &amp; Sussman, 2019).</w:t>
      </w:r>
    </w:p>
    <w:p>
      <w:pPr>
        <w:spacing w:line="480" w:lineRule="auto" w:after="120" w:before="0"/>
        <w:ind w:firstLine="432"/>
        <w:jc w:val="both"/>
      </w:pPr>
      <w:r>
        <w:rPr/>
        <w:t>The first question matters because providers choose whom to score. They are likely to add a firm once it is large, liquid, or disclosing enough to be scored, and their scores rise with firm size (Dobrick et al., 2023; Drempetic et al., 2020). If coverage follows growth in market value, a comparison of scored and unscored firms, or a regression that pools all years around coverage, attributes past growth to the score. U.S. studies of rating coverage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480" w:lineRule="auto" w:after="120" w:before="0"/>
        <w:ind w:firstLine="432"/>
        <w:jc w:val="both"/>
      </w:pPr>
      <w:r>
        <w:rPr/>
        <w:t>We study Indonesia, Malaysia, the Philippines, Singapore, and Thailand. LSEG, whose scores were earlier distributed as Refinitiv ESG and ASSET4, extended coverage in market-specific waves. Of the 675 non-financial firms that entered coverage between 2015 and 2024, 577 did so in 2020 to 2023, and 289 were Malaysian firms first scored in 2021 or 2022. We compare these firms with 2,613 never-scored firms, before and after each firm's first scored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exploratory.</w:t>
      </w:r>
    </w:p>
    <w:p>
      <w:pPr>
        <w:spacing w:line="480" w:lineRule="auto" w:after="120" w:before="0"/>
        <w:ind w:firstLine="432"/>
        <w:jc w:val="both"/>
      </w:pPr>
      <w:r>
        <w:rPr/>
        <w:t>The evidence has four parts. First, scored firms had outgrown never-scored firms of similar size, country, and industry before their first scored year (Figure 1). We call the year before the first score the base year. From five years before the first score to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The market capitalization run-up may partly reflect new shares. Second, the run-up differs across coverage waves (Figure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which tests the preference channel, is −0.041 (p = 0.307). With a minimum detectable difference of 0.113, we detect no difference but cannot exclude a moderate one. Fourth, a static two-way fixed effects regression on the same data attributes a 6.6 percent MTB increase to coverage.</w:t>
      </w:r>
    </w:p>
    <w:p>
      <w:pPr>
        <w:spacing w:line="480" w:lineRule="auto" w:after="120" w:before="120"/>
        <w:jc w:val="center"/>
      </w:pPr>
      <w:r>
        <w:rPr>
          <w:b/>
        </w:rPr>
        <w:t>[Insert Figure 1 here]</w:t>
      </w:r>
    </w:p>
    <w:p>
      <w:pPr>
        <w:spacing w:line="480" w:lineRule="auto" w:after="120" w:before="120"/>
        <w:jc w:val="center"/>
      </w:pPr>
      <w:r>
        <w:rPr>
          <w:b/>
        </w:rPr>
        <w:t>[Insert Figure 2 here]</w:t>
      </w:r>
    </w:p>
    <w:p>
      <w:pPr>
        <w:spacing w:line="480" w:lineRule="auto" w:after="120" w:before="0"/>
        <w:ind w:firstLine="432"/>
        <w:jc w:val="both"/>
      </w:pPr>
      <w:r>
        <w:rPr/>
        <w:t>We do not claim that coverage has no effect on valuation. With coverage dated one year later, to the first year investors could have seen a score, the MTB ratio changes by −6.6 percent relative to never-scored firms (95% interval −10.9 to −2.0 percent). We measure this decline from the end of the run-up, so it cannot separate a reversal of earlier growth from an effect of coverage. The decline loses significance if post-coverage departures from parallel trends may reach about a quarter of the largest pre-coverage year-to-year change (Rambachan &amp; Roth, 2023). At a quarter, the interval for the headline estimate widens to −0.071 to 0.073.</w:t>
      </w:r>
    </w:p>
    <w:p>
      <w:pPr>
        <w:spacing w:line="480" w:lineRule="auto" w:after="120" w:before="0"/>
        <w:ind w:firstLine="432"/>
        <w:jc w:val="both"/>
      </w:pPr>
      <w:r>
        <w:rPr/>
        <w:t>The paper makes three contributions to sustainable finance. First, it adds valuation and an emerging-market setting to the rating-coverage literature (Bikmetova &amp; Pirinsky, 2026; Tsang et al., 2024, 2025). It also documents which firms one provider brought into its scored universe: outside its largest wave, firms that had just outgrown their peers. Second, it adds the initiation of coverage to the evidence on ratings and certification as price-relevant information. Unlike a downgrade of an MSCI rating (Berg, Heeb, et al., 2022), entry into LSEG coverage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48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480" w:lineRule="auto" w:after="120" w:before="240"/>
      </w:pPr>
      <w:r>
        <w:rPr>
          <w:b/>
        </w:rPr>
        <w:t>2. Related Literature and Hypotheses</w:t>
      </w:r>
    </w:p>
    <w:p>
      <w:pPr>
        <w:keepNext/>
        <w:spacing w:line="480" w:lineRule="auto" w:after="120" w:before="120"/>
      </w:pPr>
      <w:r>
        <w:rPr>
          <w:i/>
        </w:rPr>
        <w:t>2.1 ESG ratings as information and certification</w:t>
      </w:r>
    </w:p>
    <w:p>
      <w:pPr>
        <w:spacing w:line="480" w:lineRule="auto" w:after="120" w:before="0"/>
        <w:ind w:firstLine="432"/>
        <w:jc w:val="both"/>
      </w:pPr>
      <w:r>
        <w:rPr/>
        <w:t>ESG ratings can move prices when they change what investors know or which investors may hold a stock. Evidence on rating changes points to both channels. U.S. funds with ESG mandates hold firms according to their MSCI rating. MSCI downgrades are followed by lower ownership by such funds and a one-year abnormal return of about −2.37 percent, with weaker effects for upgrades (Berg, Heeb, et al., 2022). Calendar-time portfolios of firms with rating changes show a similar asymmetry (Shanaev &amp; Ghimire, 2022). Consensus ratings predict future ESG news, but disagreement among providers weakens both this predictive power and the price reaction to the news (Serafeim &amp; Yoon, 2023). Hartzmark and Sussman (2019) show that publishing Morningstar sustainability ratings for mutual funds redirected fund flows. These ratings concern funds, so any effect on the stocks those funds hold is indirect.</w:t>
      </w:r>
    </w:p>
    <w:p>
      <w:pPr>
        <w:spacing w:line="480" w:lineRule="auto" w:after="120" w:before="0"/>
        <w:ind w:firstLine="432"/>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480" w:lineRule="auto" w:after="120" w:before="120"/>
      </w:pPr>
      <w:r>
        <w:rPr>
          <w:i/>
        </w:rPr>
        <w:t>2.2 ESG demand, recognition, and price pressure</w:t>
      </w:r>
    </w:p>
    <w:p>
      <w:pPr>
        <w:spacing w:line="48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those revealed as brown. A pooled average can therefore be close to zero when the two signs offset.</w:t>
      </w:r>
    </w:p>
    <w:p>
      <w:pPr>
        <w:spacing w:line="48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Likewise,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480" w:lineRule="auto" w:after="120" w:before="120"/>
      </w:pPr>
      <w:r>
        <w:rPr>
          <w:i/>
        </w:rPr>
        <w:t>2.3 Which firms providers score</w:t>
      </w:r>
    </w:p>
    <w:p>
      <w:pPr>
        <w:spacing w:line="48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and the disagreement is priced (Avramov et al., 2022; Gibson Brandon et al., 2021). The provider has also rewritten historical scores on a large scale (Berg et al., 2020). If providers select firms that have grown, a comparison of scored and unscored firms mixes the effect of coverage with the growth that led to it.</w:t>
      </w:r>
    </w:p>
    <w:p>
      <w:pPr>
        <w:keepNext/>
        <w:spacing w:line="480" w:lineRule="auto" w:after="120" w:before="120"/>
      </w:pPr>
      <w:r>
        <w:rPr>
          <w:i/>
        </w:rPr>
        <w:t>2.4 Hypotheses</w:t>
      </w:r>
    </w:p>
    <w:p>
      <w:pPr>
        <w:spacing w:line="480" w:lineRule="auto" w:after="120" w:before="0"/>
        <w:ind w:firstLine="432"/>
        <w:jc w:val="both"/>
      </w:pPr>
      <w:r>
        <w:rPr/>
        <w:t>The pre-analysis plan states three hypotheses, each tested two-sided.</w:t>
      </w:r>
    </w:p>
    <w:p>
      <w:pPr>
        <w:spacing w:line="48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transitory.</w:t>
      </w:r>
    </w:p>
    <w:p>
      <w:pPr>
        <w:spacing w:line="48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48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test separates the preference channel from recognition, because only the preference channel depends on what the score says.</w:t>
      </w:r>
    </w:p>
    <w:p>
      <w:pPr>
        <w:keepNext/>
        <w:spacing w:line="480" w:lineRule="auto" w:after="120" w:before="240"/>
      </w:pPr>
      <w:r>
        <w:rPr>
          <w:b/>
        </w:rPr>
        <w:t>3. Institutional Setting and Data</w:t>
      </w:r>
    </w:p>
    <w:p>
      <w:pPr>
        <w:keepNext/>
        <w:spacing w:line="480" w:lineRule="auto" w:after="120" w:before="120"/>
      </w:pPr>
      <w:r>
        <w:rPr>
          <w:i/>
        </w:rPr>
        <w:t>3.1 ESG disclosure and rating coverage in the five markets</w:t>
      </w:r>
    </w:p>
    <w:p>
      <w:pPr>
        <w:spacing w:line="480" w:lineRule="auto" w:after="120" w:before="0"/>
        <w:ind w:firstLine="432"/>
        <w:jc w:val="both"/>
      </w:pPr>
      <w:r>
        <w:rPr/>
        <w:t>The five markets introduced sustainability reporting rules for listed firms at different times during the sample period. Singapore requires every listed issuer to publish a comply-or-explain sustainability report for financial years ending on or after 31 December 2017 (Singapore Exchange, 2016). Bursa Malaysia required a sustainability statement in annual reports for financial years ending on or after 31 December 2016, phased in from the largest companies over the following two years (Bursa Malaysia, 2015). Philippine listed companies have attached a comply-or-explain sustainability report to their annual reports since the 2019 reports, filed in 2020 (Securities and Exchange Commission Philippines, 2019). Indonesian listed companies must publish sustainability reports under a 2017 regulation that applied to them from 2020 (Otoritas Jasa Keuangan, 2017). Thai listed companies have had to report sustainability information in the unified annual filing, the 56-1 One Report, since the fiscal year ending in 2021 (Tilleke &amp; Gibbins, 2020). We could not confirm the dates of earlier Thai guidance.</w:t>
      </w:r>
    </w:p>
    <w:p>
      <w:pPr>
        <w:spacing w:line="480" w:lineRule="auto" w:after="120" w:before="0"/>
        <w:ind w:firstLine="432"/>
        <w:jc w:val="both"/>
      </w:pPr>
      <w:r>
        <w:rPr/>
        <w:t>Several providers score firms in these markets. In Malaysia, FTSE Russell, another part of LSEG, scored only the constituents of the FTSE Bursa Malaysia EMAS index, about 30 percent of listed companies. In November 2022, Bursa Malaysia and LSEG agreed to extend these scores to all Main and ACE Market companies (Bernama, 2022). The LSEG ESG score we study, formerly Refinitiv ESG, is a separate product built from company-reported data. Some newly covered firms may thus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LSEG, publishes a score for the firm.</w:t>
      </w:r>
    </w:p>
    <w:p>
      <w:pPr>
        <w:spacing w:line="48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Malaysian and Thai firms together make up 84.3 percent. Because first scored years can precede publication (Section 3.2), we cannot tell whether the Malaysian wave was linked to the November 2022 agreement, which concerned FTSE Russell scores. The waves do not follow a single reporting rule: the Thai wave preceded the One Report requirement, and the Malaysian wave came several years after Bursa Malaysia had phased in its rule. Singapore, Indonesia, and the Philippines have too few first scores per year (Table S2) to relate them to their rules. The data do not record why the provider expanded coverage when it did. The pooled estimates are weighted toward Malaysia and Thailand, so we also report estimates by market and by wave.</w:t>
      </w:r>
    </w:p>
    <w:p>
      <w:pPr>
        <w:keepNext/>
        <w:spacing w:line="480" w:lineRule="auto" w:after="120" w:before="120"/>
      </w:pPr>
      <w:r>
        <w:rPr>
          <w:i/>
        </w:rPr>
        <w:t>3.2 Sample and coverage timing</w:t>
      </w:r>
    </w:p>
    <w:p>
      <w:pPr>
        <w:spacing w:line="48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480" w:lineRule="auto" w:after="120" w:before="0"/>
        <w:ind w:firstLine="432"/>
        <w:jc w:val="both"/>
      </w:pPr>
      <w:r>
        <w:rPr/>
        <w:t>We call firms without an LSEG score unscored and firms that never receive one in our sample never-scored; these firms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Of these, 675 firms were first scored between 2015 and 2024, and 2,613 are never-scored. A firm-year enters an estimate only if its outcome is observed in both the base year and the comparison year. Table S4 of the supplementary material reports firm-years by outcome, and Table S6 reports scored firms by event year; counts differ slightly across tables because of this requirement. We set MTB ratios at or below zero, which reflect negative book equity, to missing; 28.0 percent of never-scored firm-years and 12.7 percent of scored firm-years lack a log MTB ratio. Never-scored firms are smaller on average; a check in Section 4.5 restricts scored firms to the size range of the controls.</w:t>
      </w:r>
    </w:p>
    <w:p>
      <w:pPr>
        <w:spacing w:line="48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480" w:lineRule="auto" w:after="120" w:before="120"/>
      </w:pPr>
      <w:r>
        <w:rPr>
          <w:i/>
        </w:rPr>
        <w:t>3.3 Outcomes</w:t>
      </w:r>
    </w:p>
    <w:p>
      <w:pPr>
        <w:spacing w:line="48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total debt divided by total assets. Market capitalization moves with prices and with the number of shares, which we cannot separate because the data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480" w:lineRule="auto" w:after="120" w:before="240"/>
      </w:pPr>
      <w:r>
        <w:rPr>
          <w:b/>
        </w:rPr>
        <w:t>4. Methods</w:t>
      </w:r>
    </w:p>
    <w:p>
      <w:pPr>
        <w:keepNext/>
        <w:spacing w:line="480" w:lineRule="auto" w:after="120" w:before="120"/>
      </w:pPr>
      <w:r>
        <w:rPr>
          <w:i/>
        </w:rPr>
        <w:t>4.1 Target parameter and identification</w:t>
      </w:r>
    </w:p>
    <w:p>
      <w:pPr>
        <w:spacing w:line="48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48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48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48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48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480" w:lineRule="auto" w:after="120" w:before="120"/>
        <w:jc w:val="center"/>
      </w:pPr>
      <w:r>
        <w:rPr>
          <w:b/>
        </w:rPr>
        <w:t>[Insert Table 1 here]</w:t>
      </w:r>
    </w:p>
    <w:p>
      <w:pPr>
        <w:keepNext/>
        <w:spacing w:line="480" w:lineRule="auto" w:after="120" w:before="120"/>
      </w:pPr>
      <w:r>
        <w:rPr>
          <w:i/>
        </w:rPr>
        <w:t>4.2 Estimation</w:t>
      </w:r>
    </w:p>
    <w:p>
      <w:pPr>
        <w:spacing w:line="48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48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480" w:lineRule="auto" w:after="120" w:before="0"/>
        <w:ind w:firstLine="432"/>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48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48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48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480" w:lineRule="auto" w:after="120" w:before="0"/>
        <w:ind w:firstLine="432"/>
        <w:jc w:val="both"/>
      </w:pPr>
      <w:r>
        <w:rPr/>
        <w:t>where h indexes cohorts. The headline estimate averages, with the same weights, all cells from the first scored year to three years later:</w:t>
      </w:r>
    </w:p>
    <w:p>
      <w:pPr>
        <w:tabs>
          <w:tab w:pos="4680" w:val="center"/>
          <w:tab w:pos="9360" w:val="right"/>
        </w:tabs>
        <w:spacing w:line="48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480" w:lineRule="auto" w:after="120" w:before="0"/>
        <w:ind w:firstLine="432"/>
        <w:jc w:val="both"/>
      </w:pPr>
      <w:r>
        <w:rPr/>
        <w:t>We do not observe cohorts first scored after 2021 for all four post-coverage years, so cohort composition changes across event years. We therefore also report estimates for the cohorts observed through event year 3.</w:t>
      </w:r>
    </w:p>
    <w:p>
      <w:pPr>
        <w:spacing w:line="48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are relative to the base year. A negative estimate θ̂(e) for e ≤ −2 thus means that scored firms grew faster than never-scored firms with the same covariates from year g + e to the base year. Third, we measure the covariates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480" w:lineRule="auto" w:after="120" w:before="120"/>
      </w:pPr>
      <w:r>
        <w:rPr>
          <w:i/>
        </w:rPr>
        <w:t>4.3 Inference</w:t>
      </w:r>
    </w:p>
    <w:p>
      <w:pPr>
        <w:spacing w:line="48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48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48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We do not adjust the confidence intervals, so an interval that excludes zero can accompany an adjusted p-value above 5%, as for log total assets in Table 2. The joint test of parallel pre-coverage trends is</w:t>
      </w:r>
    </w:p>
    <w:p>
      <w:pPr>
        <w:spacing w:line="480" w:lineRule="auto" w:after="120" w:before="120"/>
        <w:jc w:val="center"/>
      </w:pPr>
      <w:r>
        <w:rPr>
          <w:b/>
        </w:rPr>
        <w:t>[Insert Table 2 here]</w:t>
      </w:r>
    </w:p>
    <w:p>
      <w:pPr>
        <w:tabs>
          <w:tab w:pos="4680" w:val="center"/>
          <w:tab w:pos="9360" w:val="right"/>
        </w:tabs>
        <w:spacing w:line="48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48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48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480" w:lineRule="auto" w:after="120" w:before="120"/>
      </w:pPr>
      <w:r>
        <w:rPr>
          <w:i/>
        </w:rPr>
        <w:t>4.4 Sensitivity to departures from parallel trends</w:t>
      </w:r>
    </w:p>
    <w:p>
      <w:pPr>
        <w:spacing w:line="480" w:lineRule="auto" w:after="120" w:before="0"/>
        <w:ind w:firstLine="432"/>
        <w:jc w:val="both"/>
      </w:pPr>
      <w:r>
        <w:rPr/>
        <w:t>Because the pre-coverage estimates cast doubt on assumption (2), we add two exploratory checks not in the pre-analysis plan. The first removes a linear pre-coverage trend that passes through zero in the base year:</w:t>
      </w:r>
    </w:p>
    <w:p>
      <w:pPr>
        <w:tabs>
          <w:tab w:pos="4680" w:val="center"/>
          <w:tab w:pos="9360" w:val="right"/>
        </w:tabs>
        <w:spacing w:line="48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48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48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480" w:lineRule="auto" w:after="120" w:before="0"/>
        <w:ind w:firstLine="432"/>
        <w:jc w:val="both"/>
      </w:pPr>
      <w:r>
        <w:rPr/>
        <w:t>where s indexes pre-coverage event years. The bias for event year e is then at most M̄Δ(e + 1), and we widen the headline confidence interval by the weighted average of this bound. Setting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this specification compares scored firms with never-scored firms of similar pre-coverage growth.</w:t>
      </w:r>
    </w:p>
    <w:p>
      <w:pPr>
        <w:keepNext/>
        <w:spacing w:line="480" w:lineRule="auto" w:after="120" w:before="120"/>
      </w:pPr>
      <w:r>
        <w:rPr>
          <w:i/>
        </w:rPr>
        <w:t>4.5 Benchmark regression and robustness checks</w:t>
      </w:r>
    </w:p>
    <w:p>
      <w:pPr>
        <w:spacing w:line="480" w:lineRule="auto" w:after="120" w:before="0"/>
        <w:ind w:firstLine="432"/>
        <w:jc w:val="both"/>
      </w:pPr>
      <w:r>
        <w:rPr/>
        <w:t>As a benchmark, we use scored and never-scored firms to estimate the static two-way fixed effects (TWFE) regression that Goodman-Bacon (2021) and Baker et al. (2022) analyze:</w:t>
      </w:r>
    </w:p>
    <w:p>
      <w:pPr>
        <w:tabs>
          <w:tab w:pos="4680" w:val="center"/>
          <w:tab w:pos="9360" w:val="right"/>
        </w:tabs>
        <w:spacing w:line="48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48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include no covariates, use all event years, and cluster standard errors by firm. The coefficient β compares all post-coverage with all pre-coverage years, so it averages over any run-up. With staggered timing, it also uses already-scored firms as controls for later cohorts.</w:t>
      </w:r>
    </w:p>
    <w:p>
      <w:pPr>
        <w:spacing w:line="480" w:lineRule="auto" w:after="120" w:before="0"/>
        <w:ind w:firstLine="432"/>
        <w:jc w:val="both"/>
      </w:pPr>
      <w:r>
        <w:rPr/>
        <w:t>The pre-analysis plan fixed rows R1 to R6 of Table 3: four robustness checks, a placebo, and the benchmark of Eq. (11). The first three checks add not-yet-scored firms to the controls, drop the covariates, and exclude the 2020 and 2021 cohorts. The fourth keeps only control firms whose base-year log total assets reach the 10th percentile among scored firms of the same cohort. The placebo dates coverage three years early and uses only years before the actual score. Rows R7 to R11 and all of Tables S7 and S8 of the supplementary material are exploratory. They include the checks of Section 4.4, coverage dated one or two years later, and the sample restricted to cohorts observed through event year 3. Others exclude or isolate one market at a time, estimate separately by coverage wave and by period of first score, or change the timing and functional form of the size covariate. The rest restrict scored firms to the size range of the controls, apply the cluster bootstrap, decompose the gap between Eq. (11) and Eq. (6), and split by initial score, with the score purged of size, country, and cohort.</w:t>
      </w:r>
    </w:p>
    <w:p>
      <w:pPr>
        <w:spacing w:line="480" w:lineRule="auto" w:after="120" w:before="120"/>
        <w:jc w:val="center"/>
      </w:pPr>
      <w:r>
        <w:rPr>
          <w:b/>
        </w:rPr>
        <w:t>[Insert Table 3 here]</w:t>
      </w:r>
    </w:p>
    <w:p>
      <w:pPr>
        <w:keepNext/>
        <w:spacing w:line="480" w:lineRule="auto" w:after="120" w:before="240"/>
      </w:pPr>
      <w:r>
        <w:rPr>
          <w:b/>
        </w:rPr>
        <w:t>5. Results</w:t>
      </w:r>
    </w:p>
    <w:p>
      <w:pPr>
        <w:keepNext/>
        <w:spacing w:line="480" w:lineRule="auto" w:after="120" w:before="120"/>
      </w:pPr>
      <w:r>
        <w:rPr>
          <w:i/>
        </w:rPr>
        <w:t>5.1 Which firms get scored</w:t>
      </w:r>
    </w:p>
    <w:p>
      <w:pPr>
        <w:spacing w:line="480" w:lineRule="auto" w:after="120" w:before="0"/>
        <w:ind w:firstLine="432"/>
        <w:jc w:val="both"/>
      </w:pPr>
      <w:r>
        <w:rPr/>
        <w:t>Table 1 compares scored firms in the base year with never-scored firm-years. Scored firms are larger: their median market capitalization is 203.2 million U.S. dollars against 42.2 million, and their median total assets are 4.3 times as large, with normalized differences of 0.69 and 0.61. Their MTB ratio is also higher, with a mean of 2.37 against 1.84 and a median of 1.26 against 0.95, while leverage differs little (normalized difference −0.04). Because scored firms are concentrated in base years 2019 to 2022 while never-scored firm-years span 2014 to 2024, these level differences mix calendar effects with selection. Return on assets covers fewer than half of the firm-years, so we use it only descriptively. The gaps fit a provider that covers large and visible firms (Section 2.3). In Malaysia, where the expansion was broadest, the 565 never-scored firms remained smaller than the scored ones: the median total assets of scored firms were 3.3 times those of never-scored firms. Because scores rise with total assets in this provider's data (Dobrick et al., 2023), we compare changes and adjust for size, country, and industry in Eq. (3).</w:t>
      </w:r>
    </w:p>
    <w:p>
      <w:pPr>
        <w:keepNext/>
        <w:spacing w:line="480" w:lineRule="auto" w:after="120" w:before="120"/>
      </w:pPr>
      <w:r>
        <w:rPr>
          <w:i/>
        </w:rPr>
        <w:t>5.2 Average effects of the first score</w:t>
      </w:r>
    </w:p>
    <w:p>
      <w:pPr>
        <w:spacing w:line="480" w:lineRule="auto" w:after="120" w:before="0"/>
        <w:ind w:firstLine="432"/>
        <w:jc w:val="both"/>
      </w:pPr>
      <w:r>
        <w:rPr/>
        <w:t>Table 2 reports the headline estimates of Eq. (6). The effect on log MTB is 0.002, with standard error 0.024 and 95% confidence interval −0.046 to 0.048. Under assumption (2), the data are compatible with changes in the MTB ratio from −4.5 to 4.9 percent, so increases of a few percent remain possible. The MDE from Eq. (7) is 0.067, about 7.0 percent. With the cluster bootstrap, the interval is −0.050 to 0.053.</w:t>
      </w:r>
    </w:p>
    <w:p>
      <w:pPr>
        <w:spacing w:line="480" w:lineRule="auto" w:after="120" w:before="0"/>
        <w:ind w:firstLine="432"/>
        <w:jc w:val="both"/>
      </w:pPr>
      <w:r>
        <w:rPr/>
        <w:t>After Holm adjustment, no secondary outcome changes significantly at the 5% level. Log market capitalization changes by −0.055 (p = 0.134), leverage by 0.8 percentage points (p = 0.134), and log total assets by 0.044 (p = 0.053, against an unadjusted p = 0.018). Under assumption (2), the MTB estimate shows no sign of the gain that the recognition channel predicts (Merton, 1987). Nor does it show the demand response to newly published sustainability ratings that Hartzmark and Sussman (2019) document for funds, although the interval admits gains of up to 4.9 percent.</w:t>
      </w:r>
    </w:p>
    <w:p>
      <w:pPr>
        <w:keepNext/>
        <w:spacing w:line="480" w:lineRule="auto" w:after="120" w:before="120"/>
      </w:pPr>
      <w:r>
        <w:rPr>
          <w:i/>
        </w:rPr>
        <w:t>5.3 Dynamics before and after the first score</w:t>
      </w:r>
    </w:p>
    <w:p>
      <w:pPr>
        <w:spacing w:line="48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We call this relative growth the run-up; with the cluster bootstrap, the 95% interval for the MTB run-up is 2.3 to 20.5 percent. The joint test of Eq. (8) rejects parallel pre-coverage trends for market capitalization (p = 0.022) but not at the 5% level for MTB (p = 0.074). With the cluster bootstrap, the two tests give p = 0.001 and p = 0.225. As Roth (2022) cautions, a non-rejection is not evidence that pre-coverage trends are parallel. Log total assets follow a weaker version of the pattern, and leverage falls toward the base year (pre-trend p = 0.002).</w:t>
      </w:r>
    </w:p>
    <w:p>
      <w:pPr>
        <w:spacing w:line="48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 Without data on share issuance, we cannot tell whether the pre-coverage growth in market capitalization reflects rising prices, new shares, or both, so we base statements about valuation on the MTB ratio.</w:t>
      </w:r>
    </w:p>
    <w:p>
      <w:pPr>
        <w:spacing w:line="480" w:lineRule="auto" w:after="120" w:before="0"/>
        <w:ind w:firstLine="432"/>
        <w:jc w:val="both"/>
      </w:pPr>
      <w:r>
        <w:rPr/>
        <w:t>Figure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including 109 firms first scored in 2023, fall in between. Their MTB ratio lies below that of never-scored firms by a similar amount in event years −5 and −2 (−0.103 and −0.108) and catches up in the base year (pre-trend p = 0.006).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480" w:lineRule="auto" w:after="120" w:before="120"/>
      </w:pPr>
      <w:r>
        <w:rPr>
          <w:i/>
        </w:rPr>
        <w:t>5.4 Timing of coverage and sensitivity to pre-trends</w:t>
      </w:r>
    </w:p>
    <w:p>
      <w:pPr>
        <w:spacing w:line="480" w:lineRule="auto" w:after="120" w:before="0"/>
        <w:ind w:firstLine="432"/>
        <w:jc w:val="both"/>
      </w:pPr>
      <w:r>
        <w:rPr/>
        <w:t>Table 3 reports the robustness checks. Rows R1 to R6 were pre-specified, and rows R7 to R11 are exploratory. Row R10 dates coverage one year after the first scored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With M̄ = 0.25 in Eq. (10), its interval runs from −0.138 to 0.002 and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480" w:lineRule="auto" w:after="120" w:before="0"/>
        <w:ind w:firstLine="432"/>
        <w:jc w:val="both"/>
      </w:pPr>
      <w:r>
        <w:rPr/>
        <w:t>Figure S2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point estimates for event years 3 and 4 are −0.083 and −0.167. These lie closer to the corresponding R10 estimates of −0.138 and −0.200 than the pooled baseline path suggests. We report the re-based values without standard errors, as a reconciliation of the two paths rather than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48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(95% interval −0.118 to 0.014), negative because a continued run-up would have raised valuations further. Row R8 compares scored firms with never-scored firms that grew at a similar rate before coverage and so share any tendency to revert. Its MTB effect is 0.028 (p = 0.265), with an interval from −0.021 to 0.077 that admits gains of several percent. R8 conditions only on market capitalization growth from year g − 3 to the base year. Because control firms matched on past growth can themselves revert, it does not settle the reversal question.</w:t>
      </w:r>
    </w:p>
    <w:p>
      <w:pPr>
        <w:spacing w:line="480" w:lineRule="auto" w:after="120" w:before="0"/>
        <w:ind w:firstLine="432"/>
        <w:jc w:val="both"/>
      </w:pPr>
      <w:r>
        <w:rPr/>
        <w:t>Table S5 reports the bounds of Eq. (10). The largest change between consecutive pre-coverage MTB estimates is 0.046. With M̄ = 0.25, the interval for the MTB effect is −0.071 to 0.073; with M̄ = 1, it widens to −0.147 to 0.148. Every interval includes zero and admits moderate effects in either direction. The upper limit of the unadjusted interval lies just below a 5 percent increase in the MTB ratio. Any departure with M̄ above about 0.01 therefore admits an increase of 5 percent, and any departure at all admits a positive effect. The absence of a detected positive effect is therefore conditional on assumption (2).</w:t>
      </w:r>
    </w:p>
    <w:p>
      <w:pPr>
        <w:keepNext/>
        <w:spacing w:line="480" w:lineRule="auto" w:after="120" w:before="120"/>
      </w:pPr>
      <w:r>
        <w:rPr>
          <w:i/>
        </w:rPr>
        <w:t>5.5 Robustness</w:t>
      </w:r>
    </w:p>
    <w:p>
      <w:pPr>
        <w:spacing w:line="480" w:lineRule="auto" w:after="120" w:before="0"/>
        <w:ind w:firstLine="432"/>
        <w:jc w:val="both"/>
      </w:pPr>
      <w:r>
        <w:rPr/>
        <w:t>None of the pre-specified rows R1 to R4 gives an effect on log MTB that differs from zero at the 10% level. The effect is −0.001 when not-yet-scored firms join the controls, as Callaway and Sant'Anna (2021) propose, and 0.025 without the covariates of Eq. (3). It is 0.031 without the 2020 and 2021 cohorts and 0.016 when we drop control firms below the size range of scored firms. The market capitalization and total assets results are less stable than the MTB result. Under the size restriction, the market capitalization effect shrinks to −0.007 and the total assets effect is 0.101, against 0.011 without covariates. We therefore do not read the total assets estimate in Table 2 as evidence that coverage causes growth.</w:t>
      </w:r>
    </w:p>
    <w:p>
      <w:pPr>
        <w:spacing w:line="480" w:lineRule="auto" w:after="120" w:before="0"/>
        <w:ind w:firstLine="432"/>
        <w:jc w:val="both"/>
      </w:pPr>
      <w:r>
        <w:rPr/>
        <w:t>Table S7 and Figure S2 vary the size covariate and the support. The run-up does not depend on conditioning on base-year total assets. Without covariates, the MTB run-up from event year −5 to the base year is 6.6 percent, weaker than the baseline (event year −5 p = 0.068; pre-trend p = 0.028), and the market capitalization run-up is 24.0 percent.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This restriction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48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accounts for most of the rest, and the choice of controls and window for little.</w:t>
      </w:r>
    </w:p>
    <w:p>
      <w:pPr>
        <w:spacing w:line="480" w:lineRule="auto" w:after="120" w:before="0"/>
        <w:ind w:firstLine="432"/>
        <w:jc w:val="both"/>
      </w:pPr>
      <w:r>
        <w:rPr/>
        <w:t>Row R9 and Table S1 exclude one market at a time. The MTB effect then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480" w:lineRule="auto" w:after="120" w:before="120"/>
      </w:pPr>
      <w:r>
        <w:rPr>
          <w:i/>
        </w:rPr>
        <w:t>5.6 Does the score itself matter?</w:t>
      </w:r>
    </w:p>
    <w:p>
      <w:pPr>
        <w:spacing w:line="48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480" w:lineRule="auto" w:after="120" w:before="120"/>
      </w:pPr>
      <w:r>
        <w:rPr>
          <w:i/>
        </w:rPr>
        <w:t>5.7 Economic magnitude</w:t>
      </w:r>
    </w:p>
    <w:p>
      <w:pPr>
        <w:spacing w:line="48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It is also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preceded coverage.</w:t>
      </w:r>
    </w:p>
    <w:p>
      <w:pPr>
        <w:keepNext/>
        <w:spacing w:line="480" w:lineRule="auto" w:after="120" w:before="240"/>
      </w:pPr>
      <w:r>
        <w:rPr>
          <w:b/>
        </w:rPr>
        <w:t>6. Discussion</w:t>
      </w:r>
    </w:p>
    <w:p>
      <w:pPr>
        <w:keepNext/>
        <w:spacing w:line="480" w:lineRule="auto" w:after="120" w:before="120"/>
      </w:pPr>
      <w:r>
        <w:rPr>
          <w:i/>
        </w:rPr>
        <w:t>6.1 What the ordering of events shows</w:t>
      </w:r>
    </w:p>
    <w:p>
      <w:pPr>
        <w:spacing w:line="48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mechanism implies the same lesson for empirical work: entry into a provider's coverage marks the end of a period of relative growth, not a random draw.</w:t>
      </w:r>
    </w:p>
    <w:p>
      <w:pPr>
        <w:spacing w:line="480" w:lineRule="auto" w:after="120" w:before="0"/>
        <w:ind w:firstLine="432"/>
        <w:jc w:val="both"/>
      </w:pPr>
      <w:r>
        <w:rPr/>
        <w:t>The flat post-coverage MTB path in the baseline admits three readings, depending on the counterfactual trend (Rambachan &amp; Roth, 2023; Roth, 2022). With parallel paths from the base year, the data show no detected effect of coverage, and the interval of Section 5.2 bounds its size.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Under assumption (2), we detect none. The publication-dated estimates in Section 5.4 show a decline in the third and fourth years of coverage for early cohorts. A reversal would produce this decline, and a positive coverage effect could partly offset it, but it could also reflect a negative effect of coverage. The evidence therefore does not show that coverage has no effect: no heterogeneity-robust specification detects a valuation gain, and the bounds do not exclude one.</w:t>
      </w:r>
    </w:p>
    <w:p>
      <w:pPr>
        <w:keepNext/>
        <w:spacing w:line="480" w:lineRule="auto" w:after="120" w:before="120"/>
      </w:pPr>
      <w:r>
        <w:rPr>
          <w:i/>
        </w:rPr>
        <w:t>6.2 Relation to evidence on ESG ratings and certification</w:t>
      </w:r>
    </w:p>
    <w:p>
      <w:pPr>
        <w:spacing w:line="480" w:lineRule="auto" w:after="120" w:before="0"/>
        <w:ind w:firstLine="432"/>
        <w:jc w:val="both"/>
      </w:pPr>
      <w:r>
        <w:rPr/>
        <w:t>The absence of a detected gain fits the evidence on certification by sustainability indices, where additions have little price effect relative to comparable firms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480" w:lineRule="auto" w:after="120" w:before="0"/>
        <w:ind w:firstLine="432"/>
        <w:jc w:val="both"/>
      </w:pPr>
      <w:r>
        <w:rPr/>
        <w:t>The pre-coverage run-up also relates to the evidence on ESG demand. Pástor et al. (2022) show that realized green returns can reflect unexpected shifts in demand. A one-time demand shift, or selection after one, would produce a run-up followed by a flat path. Without ownership data, we cannot tell whether ESG investors bought these firms before or after coverage. In the Section 4.4 bound with M̄ = 0.25, the data admit MTB changes from −6.9 to 7.5 percent, so we cannot exclude a demand shift of a few percent after coverage.</w:t>
      </w:r>
    </w:p>
    <w:p>
      <w:pPr>
        <w:keepNext/>
        <w:spacing w:line="480" w:lineRule="auto" w:after="120" w:before="120"/>
      </w:pPr>
      <w:r>
        <w:rPr>
          <w:i/>
        </w:rPr>
        <w:t>6.3 Implications</w:t>
      </w:r>
    </w:p>
    <w:p>
      <w:pPr>
        <w:spacing w:line="48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480" w:lineRule="auto" w:after="120" w:before="0"/>
        <w:ind w:firstLine="432"/>
        <w:jc w:val="both"/>
      </w:pPr>
      <w:r>
        <w:rPr/>
        <w:t>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year can precede publication and that the provider may have filled in history. Backtests around coverage initiation may therefore suffer from look-ahead bias (Berg et al., 2020; Sahin et al., 2023).</w:t>
      </w:r>
    </w:p>
    <w:p>
      <w:pPr>
        <w:spacing w:line="480" w:lineRule="auto" w:after="120" w:before="0"/>
        <w:ind w:firstLine="432"/>
        <w:jc w:val="both"/>
      </w:pPr>
      <w:r>
        <w:rPr/>
        <w:t>For exchanges, the large Malaysian wave carried no run-up (Figure 2), which suggests that broad expansions of coverage within a market select less on prior growth than additions of individual firms. We do not observe what caused that wave and cannot attribute it to the November 2022 arrangement between Bursa Malaysia and LSEG (Bernama, 2022). Our data do not show whether broader coverage raises the value of the firms it reaches. In the Malaysian wave, we detect no MTB gain.</w:t>
      </w:r>
    </w:p>
    <w:p>
      <w:pPr>
        <w:spacing w:line="480" w:lineRule="auto" w:after="120" w:before="0"/>
        <w:ind w:firstLine="432"/>
        <w:jc w:val="both"/>
      </w:pPr>
      <w:r>
        <w:rPr/>
        <w:t>For regulators, under assumption (2), our evidence gives no support for using rating coverage as a lever for issuer valuation. The composition of the scored universe, tilted toward firms that have already grown, is relevant to policies on coverage gaps for smaller issuers.</w:t>
      </w:r>
    </w:p>
    <w:p>
      <w:pPr>
        <w:spacing w:line="48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480" w:lineRule="auto" w:after="120" w:before="0"/>
        <w:ind w:firstLine="432"/>
        <w:jc w:val="both"/>
      </w:pPr>
      <w:r>
        <w:rPr/>
        <w:t>For listed firms in the five markets, under assumption (2), the estimates give no support to the expectation that a first LSEG score will raise their valuation through investor recognition or preferences (Merton, 1987; Pástor et al.,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480" w:lineRule="auto" w:after="120" w:before="240"/>
      </w:pPr>
      <w:r>
        <w:rPr>
          <w:b/>
        </w:rPr>
        <w:t>7. Limitations</w:t>
      </w:r>
    </w:p>
    <w:p>
      <w:pPr>
        <w:spacing w:line="48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Our sensitivity analysis uses a linear trend and a simplified bound, not the confidence sets of Rambachan and Roth (2023). Second, the data are annual and may contain backfilled or revised scores, so we observe neither first-score publication dates nor announcement returns. Dating coverage later closes only part of this gap. Third, we observe only LSEG coverage. The LSEG ESG score is not the rating that the cited evidence links to ESG fund holdings (Berg, Heeb, et al., 2022). For firms with earlier scores from other providers, such as FTSE Russell scores for Malaysian index constituents (Bernama, 2022), the event is an additional score. We do not examine domestic ESG channels such as exchange sustainability indices or Shariah screens. Fourth, the data contain no stock returns, shares outstanding, ownership, foreign holdings, foreign-ownership limits, index membership, or firm-level sustainability report dates. We therefore cannot separate price changes from share issuance, test the recognition channel directly, or link first scores to index entry or first sustainability reports. We date the reporting rules in Section 3.1 by market, not by firm, from regulatory texts and, for Thailand and Malaysia, from secondary summaries.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MDE on log MTB is 0.067, about 7.0 percent, so our design would detect smaller effects with less than 80% probability. Eighth, the unrecorded download date leaves the vintage of revisable recent scores uncertain.</w:t>
      </w:r>
    </w:p>
    <w:p>
      <w:pPr>
        <w:keepNext/>
        <w:spacing w:line="480" w:lineRule="auto" w:after="120" w:before="240"/>
      </w:pPr>
      <w:r>
        <w:rPr>
          <w:b/>
        </w:rPr>
        <w:t>8. Conclusion</w:t>
      </w:r>
    </w:p>
    <w:p>
      <w:pPr>
        <w:spacing w:line="480" w:lineRule="auto" w:after="120" w:before="0"/>
        <w:ind w:firstLine="432"/>
        <w:jc w:val="both"/>
      </w:pPr>
      <w:r>
        <w:rPr/>
        <w:t>On average, entry into LSEG ESG coverage in five Southeast Asian markets followed relative growth and was not followed by a detected rise in MTB ratios. Before their first scored year, scored firms grew faster than never-scored firms of similar size, country, and industry, by 10.0 percent in MTB (1.9 to 18.2 percent).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480" w:lineRule="auto" w:after="120" w:before="240"/>
      </w:pPr>
      <w:r>
        <w:rPr>
          <w:b/>
        </w:rPr>
        <w:t>References</w:t>
      </w:r>
    </w:p>
    <w:p>
      <w:pPr>
        <w:spacing w:line="480" w:lineRule="auto" w:after="80" w:before="0"/>
        <w:ind w:left="432" w:hanging="432"/>
      </w:pPr>
      <w:r>
        <w:rPr/>
        <w:t>Avramov, D., Cheng, S., Lioui, A., &amp; Tarelli, A. (2022). Sustainable investing with ESG rating uncertainty. Journal of Financial Economics, 145(2), 642–664. https://doi.org/10.1016/j.jfineco.2021.09.009</w:t>
      </w:r>
    </w:p>
    <w:p>
      <w:pPr>
        <w:spacing w:line="480" w:lineRule="auto" w:after="80" w:before="0"/>
        <w:ind w:left="432" w:hanging="432"/>
      </w:pPr>
      <w:r>
        <w:rPr/>
        <w:t>Baker, A. C., Larcker, D. F., &amp; Wang, C. C. Y. (2022). How much should we trust staggered difference-in-differences estimates? Journal of Financial Economics, 144(2), 370–395. https://doi.org/10.1016/j.jfineco.2022.01.004</w:t>
      </w:r>
    </w:p>
    <w:p>
      <w:pPr>
        <w:spacing w:line="480" w:lineRule="auto" w:after="80" w:before="0"/>
        <w:ind w:left="432" w:hanging="432"/>
      </w:pPr>
      <w:r>
        <w:rPr/>
        <w:t>Berg, F., Fabisik, K., &amp; Sautner, Z. (2020). Is history repeating itself? The (un)predictable past of ESG ratings (Finance Working Paper No. 708/2020). European Corporate Governance Institute. https://ssrn.com/abstract=3722087</w:t>
      </w:r>
    </w:p>
    <w:p>
      <w:pPr>
        <w:spacing w:line="480" w:lineRule="auto" w:after="80" w:before="0"/>
        <w:ind w:left="432" w:hanging="432"/>
      </w:pPr>
      <w:r>
        <w:rPr/>
        <w:t>Berg, F., Heeb, F., &amp; Kölbel, J. F. (2022). The economic impact of ESG ratings (SAFE Working Paper No. 439). Leibniz Institute for Financial Research SAFE. https://ssrn.com/abstract=4088545</w:t>
      </w:r>
    </w:p>
    <w:p>
      <w:pPr>
        <w:spacing w:line="480" w:lineRule="auto" w:after="80" w:before="0"/>
        <w:ind w:left="432" w:hanging="432"/>
      </w:pPr>
      <w:r>
        <w:rPr/>
        <w:t>Berg, F., Kölbel, J. F., &amp; Rigobon, R. (2022). Aggregate confusion: The divergence of ESG ratings. Review of Finance, 26(6), 1315–1344. https://doi.org/10.1093/rof/rfac033</w:t>
      </w:r>
    </w:p>
    <w:p>
      <w:pPr>
        <w:spacing w:line="480" w:lineRule="auto" w:after="80" w:before="0"/>
        <w:ind w:left="432" w:hanging="432"/>
      </w:pPr>
      <w:r>
        <w:rPr/>
        <w:t>Bernama. (2022, November 2). Bursa Malaysia signs sustainability MoU with London Stock Exchange Group. https://www.bernama.com/en/news.php?id=2134522</w:t>
      </w:r>
    </w:p>
    <w:p>
      <w:pPr>
        <w:spacing w:line="480" w:lineRule="auto" w:after="80" w:before="0"/>
        <w:ind w:left="432" w:hanging="432"/>
      </w:pPr>
      <w:r>
        <w:rPr/>
        <w:t>Bikmetova, N., &amp; Pirinsky, C. A. (2026). Do ESG rating agencies improve ESG performance? Journal of Business Ethics, 204(2), 335–365. https://doi.org/10.1007/s10551-025-06063-0</w:t>
      </w:r>
    </w:p>
    <w:p>
      <w:pPr>
        <w:spacing w:line="480" w:lineRule="auto" w:after="80" w:before="0"/>
        <w:ind w:left="432" w:hanging="432"/>
      </w:pPr>
      <w:r>
        <w:rPr/>
        <w:t>Bursa Malaysia. (2015). Sustainability reporting guide. Bursa Malaysia Berhad.</w:t>
      </w:r>
    </w:p>
    <w:p>
      <w:pPr>
        <w:spacing w:line="480" w:lineRule="auto" w:after="80" w:before="0"/>
        <w:ind w:left="432" w:hanging="432"/>
      </w:pPr>
      <w:r>
        <w:rPr/>
        <w:t>Callaway, B., &amp; Sant'Anna, P. H. C. (2021). Difference-in-differences with multiple time periods. Journal of Econometrics, 225(2), 200–230. https://doi.org/10.1016/j.jeconom.2020.12.001</w:t>
      </w:r>
    </w:p>
    <w:p>
      <w:pPr>
        <w:spacing w:line="480" w:lineRule="auto" w:after="80" w:before="0"/>
        <w:ind w:left="432" w:hanging="432"/>
      </w:pPr>
      <w:r>
        <w:rPr/>
        <w:t>Chen, H., Noronha, G., &amp; Singal, V. (2004). The price response to S&amp;P 500 index additions and deletions: Evidence of asymmetry and a new explanation. The Journal of Finance, 59(4), 1901–1929. https://doi.org/10.1111/j.1540-6261.2004.00683.x</w:t>
      </w:r>
    </w:p>
    <w:p>
      <w:pPr>
        <w:spacing w:line="480" w:lineRule="auto" w:after="80" w:before="0"/>
        <w:ind w:left="432" w:hanging="432"/>
      </w:pPr>
      <w:r>
        <w:rPr/>
        <w:t>Christensen, D. M., Serafeim, G., &amp; Sikochi, A. (2022). Why is corporate virtue in the eye of the beholder? The case of ESG ratings. The Accounting Review, 97(1), 147–175. https://doi.org/10.2308/TAR-2019-0506</w:t>
      </w:r>
    </w:p>
    <w:p>
      <w:pPr>
        <w:spacing w:line="480" w:lineRule="auto" w:after="80" w:before="0"/>
        <w:ind w:left="432" w:hanging="432"/>
      </w:pPr>
      <w:r>
        <w:rPr/>
        <w:t>Demiroglu, C., &amp; Ryngaert, M. D. (2010). The first analyst coverage of neglected stocks. Financial Management, 39(2), 555–584. https://doi.org/10.1111/j.1755-053X.2010.01084.x</w:t>
      </w:r>
    </w:p>
    <w:p>
      <w:pPr>
        <w:spacing w:line="480" w:lineRule="auto" w:after="80" w:before="0"/>
        <w:ind w:left="432" w:hanging="432"/>
      </w:pPr>
      <w:r>
        <w:rPr/>
        <w:t>Dobrick, J., Klein, C., &amp; Zwergel, B. (2023). Size bias in Refinitiv ESG data. Finance Research Letters, 55, Article 104014. https://doi.org/10.1016/j.frl.2023.104014</w:t>
      </w:r>
    </w:p>
    <w:p>
      <w:pPr>
        <w:spacing w:line="480" w:lineRule="auto" w:after="80" w:before="0"/>
        <w:ind w:left="432" w:hanging="432"/>
      </w:pPr>
      <w:r>
        <w:rPr/>
        <w:t>Drempetic, S., Klein, C., &amp; Zwergel, B. (2020). The influence of firm size on the ESG score: Corporate sustainability ratings under review. Journal of Business Ethics, 167(2), 333–360. https://doi.org/10.1007/s10551-019-04164-1</w:t>
      </w:r>
    </w:p>
    <w:p>
      <w:pPr>
        <w:spacing w:line="480" w:lineRule="auto" w:after="80" w:before="0"/>
        <w:ind w:left="432" w:hanging="432"/>
      </w:pPr>
      <w:r>
        <w:rPr/>
        <w:t>Durand, R., Paugam, L., &amp; Stolowy, H. (2019). Do investors actually value sustainability indices? Replication, development, and new evidence on CSR visibility. Strategic Management Journal, 40(9), 1471–1490. https://doi.org/10.1002/smj.3035</w:t>
      </w:r>
    </w:p>
    <w:p>
      <w:pPr>
        <w:spacing w:line="480" w:lineRule="auto" w:after="80" w:before="0"/>
        <w:ind w:left="432" w:hanging="432"/>
      </w:pPr>
      <w:r>
        <w:rPr/>
        <w:t>Gibson Brandon, R., Krueger, P., &amp; Schmidt, P. S. (2021). ESG rating disagreement and stock returns. Financial Analysts Journal, 77(4), 104–127. https://doi.org/10.1080/0015198X.2021.1963186</w:t>
      </w:r>
    </w:p>
    <w:p>
      <w:pPr>
        <w:spacing w:line="480" w:lineRule="auto" w:after="80" w:before="0"/>
        <w:ind w:left="432" w:hanging="432"/>
      </w:pPr>
      <w:r>
        <w:rPr/>
        <w:t>Goodman-Bacon, A. (2021). Difference-in-differences with variation in treatment timing. Journal of Econometrics, 225(2), 254–277. https://doi.org/10.1016/j.jeconom.2021.03.014</w:t>
      </w:r>
    </w:p>
    <w:p>
      <w:pPr>
        <w:spacing w:line="480" w:lineRule="auto" w:after="80" w:before="0"/>
        <w:ind w:left="432" w:hanging="432"/>
      </w:pPr>
      <w:r>
        <w:rPr/>
        <w:t>Harris, L., &amp; Gurel, E. (1986). Price and volume effects associated with changes in the S&amp;P 500 list: New evidence for the existence of price pressures. The Journal of Finance, 41(4), 815–829. https://doi.org/10.1111/j.1540-6261.1986.tb04550.x</w:t>
      </w:r>
    </w:p>
    <w:p>
      <w:pPr>
        <w:spacing w:line="480" w:lineRule="auto" w:after="80" w:before="0"/>
        <w:ind w:left="432" w:hanging="432"/>
      </w:pPr>
      <w:r>
        <w:rPr/>
        <w:t>Hartzmark, S. M., &amp; Sussman, A. B. (2019). Do investors value sustainability? A natural experiment examining ranking and fund flows. The Journal of Finance, 74(6), 2789–2837. https://doi.org/10.1111/jofi.12841</w:t>
      </w:r>
    </w:p>
    <w:p>
      <w:pPr>
        <w:spacing w:line="480" w:lineRule="auto" w:after="80" w:before="0"/>
        <w:ind w:left="432" w:hanging="432"/>
      </w:pPr>
      <w:r>
        <w:rPr/>
        <w:t>Hawn, O., Chatterji, A. K., &amp; Mitchell, W. (2018). Do investors actually value sustainability? New evidence from investor reactions to the Dow Jones Sustainability Index (DJSI). Strategic Management Journal, 39(4), 949–976. https://doi.org/10.1002/smj.2752</w:t>
      </w:r>
    </w:p>
    <w:p>
      <w:pPr>
        <w:spacing w:line="480" w:lineRule="auto" w:after="80" w:before="0"/>
        <w:ind w:left="432" w:hanging="432"/>
      </w:pPr>
      <w:r>
        <w:rPr/>
        <w:t>Kelly, B., &amp; Ljungqvist, A. (2012). Testing asymmetric-information asset pricing models. The Review of Financial Studies, 25(5), 1366–1413. https://doi.org/10.1093/rfs/hhr134</w:t>
      </w:r>
    </w:p>
    <w:p>
      <w:pPr>
        <w:spacing w:line="480" w:lineRule="auto" w:after="80" w:before="0"/>
        <w:ind w:left="432" w:hanging="432"/>
      </w:pPr>
      <w:r>
        <w:rPr/>
        <w:t>Krueger, P., Sautner, Z., Tang, D. Y., &amp; Zhong, R. (2024). The effects of mandatory ESG disclosure around the world. Journal of Accounting Research, 62(5), 1795–1847. https://doi.org/10.1111/1475-679X.12548</w:t>
      </w:r>
    </w:p>
    <w:p>
      <w:pPr>
        <w:spacing w:line="480" w:lineRule="auto" w:after="80" w:before="0"/>
        <w:ind w:left="432" w:hanging="432"/>
      </w:pPr>
      <w:r>
        <w:rPr/>
        <w:t>LSEG. (2025). LSEG ESG scores (ESG score field), annual, 2014–2024 [Data set]. LSEG Workspace.</w:t>
      </w:r>
    </w:p>
    <w:p>
      <w:pPr>
        <w:spacing w:line="480" w:lineRule="auto" w:after="80" w:before="0"/>
        <w:ind w:left="432" w:hanging="432"/>
      </w:pPr>
      <w:r>
        <w:rPr/>
        <w:t>Merton, R. C. (1987). A simple model of capital market equilibrium with incomplete information. The Journal of Finance, 42(3), 483–510. https://doi.org/10.1111/j.1540-6261.1987.tb04565.x</w:t>
      </w:r>
    </w:p>
    <w:p>
      <w:pPr>
        <w:spacing w:line="48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w:t>
      </w:r>
    </w:p>
    <w:p>
      <w:pPr>
        <w:spacing w:line="480" w:lineRule="auto" w:after="80" w:before="0"/>
        <w:ind w:left="432" w:hanging="432"/>
      </w:pPr>
      <w:r>
        <w:rPr/>
        <w:t>Pástor, Ľ., Stambaugh, R. F., &amp; Taylor, L. A. (2021). Sustainable investing in equilibrium. Journal of Financial Economics, 142(2), 550–571. https://doi.org/10.1016/j.jfineco.2020.12.011</w:t>
      </w:r>
    </w:p>
    <w:p>
      <w:pPr>
        <w:spacing w:line="480" w:lineRule="auto" w:after="80" w:before="0"/>
        <w:ind w:left="432" w:hanging="432"/>
      </w:pPr>
      <w:r>
        <w:rPr/>
        <w:t>Pástor, Ľ., Stambaugh, R. F., &amp; Taylor, L. A. (2022). Dissecting green returns. Journal of Financial Economics, 146(2), 403–424. https://doi.org/10.1016/j.jfineco.2022.07.007</w:t>
      </w:r>
    </w:p>
    <w:p>
      <w:pPr>
        <w:spacing w:line="480" w:lineRule="auto" w:after="80" w:before="0"/>
        <w:ind w:left="432" w:hanging="432"/>
      </w:pPr>
      <w:r>
        <w:rPr/>
        <w:t>Pedersen, L. H., Fitzgibbons, S., &amp; Pomorski, L. (2021). Responsible investing: The ESG-efficient frontier. Journal of Financial Economics, 142(2), 572–597. https://doi.org/10.1016/j.jfineco.2020.11.001</w:t>
      </w:r>
    </w:p>
    <w:p>
      <w:pPr>
        <w:spacing w:line="480" w:lineRule="auto" w:after="80" w:before="0"/>
        <w:ind w:left="432" w:hanging="432"/>
      </w:pPr>
      <w:r>
        <w:rPr/>
        <w:t>Rambachan, A., &amp; Roth, J. (2023). A more credible approach to parallel trends. The Review of Economic Studies, 90(5), 2555–2591. https://doi.org/10.1093/restud/rdad018</w:t>
      </w:r>
    </w:p>
    <w:p>
      <w:pPr>
        <w:spacing w:line="480" w:lineRule="auto" w:after="80" w:before="0"/>
        <w:ind w:left="432" w:hanging="432"/>
      </w:pPr>
      <w:r>
        <w:rPr/>
        <w:t>Roth, J. (2022). Pretest with caution: Event-study estimates after testing for parallel trends. American Economic Review: Insights, 4(3), 305–322. https://doi.org/10.1257/aeri.20210236</w:t>
      </w:r>
    </w:p>
    <w:p>
      <w:pPr>
        <w:spacing w:line="480" w:lineRule="auto" w:after="80" w:before="0"/>
        <w:ind w:left="432" w:hanging="432"/>
      </w:pPr>
      <w:r>
        <w:rPr/>
        <w:t>Sahin, Ö., Bax, K., Paterlini, S., &amp; Czado, C. (2023). The pitfalls of (non-definitive) environmental, social, and governance scoring methodology. Global Finance Journal, 56, Article 100780. https://doi.org/10.1016/j.gfj.2022.100780</w:t>
      </w:r>
    </w:p>
    <w:p>
      <w:pPr>
        <w:spacing w:line="480" w:lineRule="auto" w:after="80" w:before="0"/>
        <w:ind w:left="432" w:hanging="432"/>
      </w:pPr>
      <w:r>
        <w:rPr/>
        <w:t>Sant'Anna, P. H. C., &amp; Zhao, J. (2020). Doubly robust difference-in-differences estimators. Journal of Econometrics, 219(1), 101–122. https://doi.org/10.1016/j.jeconom.2020.06.003</w:t>
      </w:r>
    </w:p>
    <w:p>
      <w:pPr>
        <w:spacing w:line="480" w:lineRule="auto" w:after="80" w:before="0"/>
        <w:ind w:left="432" w:hanging="432"/>
      </w:pPr>
      <w:r>
        <w:rPr/>
        <w:t>Securities and Exchange Commission Philippines. (2019). Memorandum Circular No. 4, series of 2019: Sustainability reporting guidelines for publicly-listed companies. https://www.sec.gov.ph/wp-content/uploads/2020/09/2019MCNo4.pdf</w:t>
      </w:r>
    </w:p>
    <w:p>
      <w:pPr>
        <w:spacing w:line="480" w:lineRule="auto" w:after="80" w:before="0"/>
        <w:ind w:left="432" w:hanging="432"/>
      </w:pPr>
      <w:r>
        <w:rPr/>
        <w:t>Serafeim, G., &amp; Yoon, A. (2023). Stock price reactions to ESG news: The role of ESG ratings and disagreement. Review of Accounting Studies, 28(3), 1500–1530. https://doi.org/10.1007/s11142-022-09675-3</w:t>
      </w:r>
    </w:p>
    <w:p>
      <w:pPr>
        <w:spacing w:line="480" w:lineRule="auto" w:after="80" w:before="0"/>
        <w:ind w:left="432" w:hanging="432"/>
      </w:pPr>
      <w:r>
        <w:rPr/>
        <w:t>Shanaev, S., &amp; Ghimire, B. (2022). When ESG meets AAA: The effect of ESG rating changes on stock returns. Finance Research Letters, 46(Part A), Article 102302. https://doi.org/10.1016/j.frl.2021.102302</w:t>
      </w:r>
    </w:p>
    <w:p>
      <w:pPr>
        <w:spacing w:line="480" w:lineRule="auto" w:after="80" w:before="0"/>
        <w:ind w:left="432" w:hanging="432"/>
      </w:pPr>
      <w:r>
        <w:rPr/>
        <w:t>Shleifer, A. (1986). Do demand curves for stocks slope down? The Journal of Finance, 41(3), 579–590. https://doi.org/10.1111/j.1540-6261.1986.tb04518.x</w:t>
      </w:r>
    </w:p>
    <w:p>
      <w:pPr>
        <w:spacing w:line="480" w:lineRule="auto" w:after="80" w:before="0"/>
        <w:ind w:left="432" w:hanging="432"/>
      </w:pPr>
      <w:r>
        <w:rPr/>
        <w:t>Singapore Exchange. (2016). SGX Mainboard Rules 711A and 711B: Sustainability report [Listing rules]. SGX Rulebook. https://rulebook.sgx.com/rulebook/711a</w:t>
      </w:r>
    </w:p>
    <w:p>
      <w:pPr>
        <w:spacing w:line="480" w:lineRule="auto" w:after="80" w:before="0"/>
        <w:ind w:left="432" w:hanging="432"/>
      </w:pPr>
      <w:r>
        <w:rPr/>
        <w:t>S&amp;P Global Market Intelligence. (2025). Compustat Global, annual fundamentals, 2014–2024 [Data set].</w:t>
      </w:r>
    </w:p>
    <w:p>
      <w:pPr>
        <w:spacing w:line="480" w:lineRule="auto" w:after="80" w:before="0"/>
        <w:ind w:left="432" w:hanging="432"/>
      </w:pPr>
      <w:r>
        <w:rPr/>
        <w:t>Tilleke &amp; Gibbins. (2020, September). Thailand's SEC unifies annual report for listed companies. https://www.tilleke.com/insights/thailands-sec-unifies-annual-report-listed-companies/</w:t>
      </w:r>
    </w:p>
    <w:p>
      <w:pPr>
        <w:spacing w:line="480" w:lineRule="auto" w:after="80" w:before="0"/>
        <w:ind w:left="432" w:hanging="432"/>
      </w:pPr>
      <w:r>
        <w:rPr/>
        <w:t>Tsang, A., Wang, Y., Xiang, Y., &amp; Yu, L. (2024). The rise of ESG rating agencies and management of corporate ESG violations. Journal of Banking &amp; Finance, 169, Article 107312. https://doi.org/10.1016/j.jbankfin.2024.107312</w:t>
      </w:r>
    </w:p>
    <w:p>
      <w:pPr>
        <w:spacing w:line="480" w:lineRule="auto" w:after="80" w:before="0"/>
        <w:ind w:left="432" w:hanging="432"/>
      </w:pPr>
      <w:r>
        <w:rPr/>
        <w:t>Tsang, A., Wang, Y., Xiang, Y., &amp; Yu, L. (2025). ESG ratings and dividend changes: Evidence from the initiation of nonfinancial agency coverage. Corporate Governance: An International Review, 33(4), 554–577. https://doi.org/10.1111/corg.12615</w:t>
      </w:r>
    </w:p>
    <w:p>
      <w:r>
        <w:br w:type="page"/>
      </w:r>
    </w:p>
    <w:p>
      <w:pPr>
        <w:spacing w:line="240" w:lineRule="auto" w:after="120" w:before="0"/>
      </w:pPr>
      <w:r>
        <w:rPr>
          <w:b/>
          <w:sz w:val="20"/>
        </w:rPr>
        <w:t>Table 1.</w:t>
      </w:r>
      <w:r>
        <w:t xml:space="preserve">  </w:t>
      </w:r>
      <w:r>
        <w:rPr>
          <w:sz w:val="20"/>
        </w:rPr>
        <w:t>Characteristics of scored firms in the base year and of never-scored firm-years</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sz w:val="18"/>
              </w:rPr>
              <w:t>Variable</w:t>
            </w:r>
          </w:p>
        </w:tc>
        <w:tc>
          <w:tcPr>
            <w:tcW w:type="dxa" w:w="936"/>
            <w:tcBorders>
              <w:top w:val="single" w:sz="6" w:color="000000"/>
              <w:bottom w:val="single" w:sz="6" w:color="000000"/>
            </w:tcBorders>
          </w:tcPr>
          <w:p>
            <w:pPr>
              <w:spacing w:after="0" w:line="240" w:lineRule="auto"/>
              <w:jc w:val="center"/>
            </w:pPr>
            <w:r/>
            <w:r>
              <w:rPr>
                <w:sz w:val="18"/>
              </w:rPr>
              <w:t>Scored mean</w:t>
            </w:r>
          </w:p>
        </w:tc>
        <w:tc>
          <w:tcPr>
            <w:tcW w:type="dxa" w:w="936"/>
            <w:tcBorders>
              <w:top w:val="single" w:sz="6" w:color="000000"/>
              <w:bottom w:val="single" w:sz="6" w:color="000000"/>
            </w:tcBorders>
          </w:tcPr>
          <w:p>
            <w:pPr>
              <w:spacing w:after="0" w:line="240" w:lineRule="auto"/>
              <w:jc w:val="center"/>
            </w:pPr>
            <w:r/>
            <w:r>
              <w:rPr>
                <w:sz w:val="18"/>
              </w:rPr>
              <w:t>Scored median</w:t>
            </w:r>
          </w:p>
        </w:tc>
        <w:tc>
          <w:tcPr>
            <w:tcW w:type="dxa" w:w="792"/>
            <w:tcBorders>
              <w:top w:val="single" w:sz="6" w:color="000000"/>
              <w:bottom w:val="single" w:sz="6" w:color="000000"/>
            </w:tcBorders>
          </w:tcPr>
          <w:p>
            <w:pPr>
              <w:spacing w:after="0" w:line="240" w:lineRule="auto"/>
              <w:jc w:val="center"/>
            </w:pPr>
            <w:r/>
            <w:r>
              <w:rPr>
                <w:sz w:val="18"/>
              </w:rPr>
              <w:t>Scored N</w:t>
            </w:r>
          </w:p>
        </w:tc>
        <w:tc>
          <w:tcPr>
            <w:tcW w:type="dxa" w:w="1008"/>
            <w:tcBorders>
              <w:top w:val="single" w:sz="6" w:color="000000"/>
              <w:bottom w:val="single" w:sz="6" w:color="000000"/>
            </w:tcBorders>
          </w:tcPr>
          <w:p>
            <w:pPr>
              <w:spacing w:after="0" w:line="240" w:lineRule="auto"/>
              <w:jc w:val="center"/>
            </w:pPr>
            <w:r/>
            <w:r>
              <w:rPr>
                <w:sz w:val="18"/>
              </w:rPr>
              <w:t>Never-scored mean</w:t>
            </w:r>
          </w:p>
        </w:tc>
        <w:tc>
          <w:tcPr>
            <w:tcW w:type="dxa" w:w="1008"/>
            <w:tcBorders>
              <w:top w:val="single" w:sz="6" w:color="000000"/>
              <w:bottom w:val="single" w:sz="6" w:color="000000"/>
            </w:tcBorders>
          </w:tcPr>
          <w:p>
            <w:pPr>
              <w:spacing w:after="0" w:line="240" w:lineRule="auto"/>
              <w:jc w:val="center"/>
            </w:pPr>
            <w:r/>
            <w:r>
              <w:rPr>
                <w:sz w:val="18"/>
              </w:rPr>
              <w:t>Never-scored median</w:t>
            </w:r>
          </w:p>
        </w:tc>
        <w:tc>
          <w:tcPr>
            <w:tcW w:type="dxa" w:w="936"/>
            <w:tcBorders>
              <w:top w:val="single" w:sz="6" w:color="000000"/>
              <w:bottom w:val="single" w:sz="6" w:color="000000"/>
            </w:tcBorders>
          </w:tcPr>
          <w:p>
            <w:pPr>
              <w:spacing w:after="0" w:line="240" w:lineRule="auto"/>
              <w:jc w:val="center"/>
            </w:pPr>
            <w:r/>
            <w:r>
              <w:rPr>
                <w:sz w:val="18"/>
              </w:rPr>
              <w:t>Never-scored N</w:t>
            </w:r>
          </w:p>
        </w:tc>
        <w:tc>
          <w:tcPr>
            <w:tcW w:type="dxa" w:w="1152"/>
            <w:tcBorders>
              <w:top w:val="single" w:sz="6" w:color="000000"/>
              <w:bottom w:val="single" w:sz="6" w:color="000000"/>
            </w:tcBorders>
          </w:tcPr>
          <w:p>
            <w:pPr>
              <w:spacing w:after="0" w:line="240" w:lineRule="auto"/>
              <w:jc w:val="center"/>
            </w:pPr>
            <w:r/>
            <w:r>
              <w:rPr>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b/>
          <w:sz w:val="18"/>
        </w:rPr>
        <w:t>Note(s):</w:t>
      </w:r>
      <w:r>
        <w:t xml:space="preserve"> </w:t>
      </w:r>
      <w:r>
        <w:rPr>
          <w:sz w:val="18"/>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2.</w:t>
      </w:r>
      <w:r>
        <w:t xml:space="preserve">  </w:t>
      </w:r>
      <w:r>
        <w:rPr>
          <w:sz w:val="20"/>
        </w:rPr>
        <w:t>Average effect of the first LSEG ESG score over event years 0 to 3</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sz w:val="18"/>
              </w:rPr>
              <w:t>Outcome</w:t>
            </w:r>
          </w:p>
        </w:tc>
        <w:tc>
          <w:tcPr>
            <w:tcW w:type="dxa" w:w="864"/>
            <w:tcBorders>
              <w:top w:val="single" w:sz="6" w:color="000000"/>
              <w:bottom w:val="single" w:sz="6" w:color="000000"/>
            </w:tcBorders>
          </w:tcPr>
          <w:p>
            <w:pPr>
              <w:spacing w:after="0" w:line="240" w:lineRule="auto"/>
              <w:jc w:val="center"/>
            </w:pPr>
            <w:r/>
            <w:r>
              <w:rPr>
                <w:sz w:val="18"/>
              </w:rPr>
              <w:t>ATT</w:t>
            </w:r>
          </w:p>
        </w:tc>
        <w:tc>
          <w:tcPr>
            <w:tcW w:type="dxa" w:w="720"/>
            <w:tcBorders>
              <w:top w:val="single" w:sz="6" w:color="000000"/>
              <w:bottom w:val="single" w:sz="6" w:color="000000"/>
            </w:tcBorders>
          </w:tcPr>
          <w:p>
            <w:pPr>
              <w:spacing w:after="0" w:line="240" w:lineRule="auto"/>
              <w:jc w:val="center"/>
            </w:pPr>
            <w:r/>
            <w:r>
              <w:rPr>
                <w:sz w:val="18"/>
              </w:rPr>
              <w:t>SE</w:t>
            </w:r>
          </w:p>
        </w:tc>
        <w:tc>
          <w:tcPr>
            <w:tcW w:type="dxa" w:w="1656"/>
            <w:tcBorders>
              <w:top w:val="single" w:sz="6" w:color="000000"/>
              <w:bottom w:val="single" w:sz="6" w:color="000000"/>
            </w:tcBorders>
          </w:tcPr>
          <w:p>
            <w:pPr>
              <w:spacing w:after="0" w:line="240" w:lineRule="auto"/>
              <w:jc w:val="center"/>
            </w:pPr>
            <w:r/>
            <w:r>
              <w:rPr>
                <w:sz w:val="18"/>
              </w:rPr>
              <w:t>95% CI</w:t>
            </w:r>
          </w:p>
        </w:tc>
        <w:tc>
          <w:tcPr>
            <w:tcW w:type="dxa" w:w="864"/>
            <w:tcBorders>
              <w:top w:val="single" w:sz="6" w:color="000000"/>
              <w:bottom w:val="single" w:sz="6" w:color="000000"/>
            </w:tcBorders>
          </w:tcPr>
          <w:p>
            <w:pPr>
              <w:spacing w:after="0" w:line="240" w:lineRule="auto"/>
              <w:jc w:val="center"/>
            </w:pPr>
            <w:r/>
            <w:r>
              <w:rPr>
                <w:sz w:val="18"/>
              </w:rPr>
              <w:t>p-value</w:t>
            </w:r>
          </w:p>
        </w:tc>
        <w:tc>
          <w:tcPr>
            <w:tcW w:type="dxa" w:w="720"/>
            <w:tcBorders>
              <w:top w:val="single" w:sz="6" w:color="000000"/>
              <w:bottom w:val="single" w:sz="6" w:color="000000"/>
            </w:tcBorders>
          </w:tcPr>
          <w:p>
            <w:pPr>
              <w:spacing w:after="0" w:line="240" w:lineRule="auto"/>
              <w:jc w:val="center"/>
            </w:pPr>
            <w:r/>
            <w:r>
              <w:rPr>
                <w:sz w:val="18"/>
              </w:rPr>
              <w:t>MDE</w:t>
            </w:r>
          </w:p>
        </w:tc>
        <w:tc>
          <w:tcPr>
            <w:tcW w:type="dxa" w:w="864"/>
            <w:tcBorders>
              <w:top w:val="single" w:sz="6" w:color="000000"/>
              <w:bottom w:val="single" w:sz="6" w:color="000000"/>
            </w:tcBorders>
          </w:tcPr>
          <w:p>
            <w:pPr>
              <w:spacing w:after="0" w:line="240" w:lineRule="auto"/>
              <w:jc w:val="center"/>
            </w:pPr>
            <w:r/>
            <w:r>
              <w:rPr>
                <w:sz w:val="18"/>
              </w:rPr>
              <w:t>Pre-trend p</w:t>
            </w:r>
          </w:p>
        </w:tc>
        <w:tc>
          <w:tcPr>
            <w:tcW w:type="dxa" w:w="792"/>
            <w:tcBorders>
              <w:top w:val="single" w:sz="6" w:color="000000"/>
              <w:bottom w:val="single" w:sz="6" w:color="000000"/>
            </w:tcBorders>
          </w:tcPr>
          <w:p>
            <w:pPr>
              <w:spacing w:after="0" w:line="240" w:lineRule="auto"/>
              <w:jc w:val="center"/>
            </w:pPr>
            <w:r/>
            <w:r>
              <w:rPr>
                <w:sz w:val="18"/>
              </w:rPr>
              <w:t>Scored firms</w:t>
            </w:r>
          </w:p>
        </w:tc>
        <w:tc>
          <w:tcPr>
            <w:tcW w:type="dxa" w:w="864"/>
            <w:tcBorders>
              <w:top w:val="single" w:sz="6" w:color="000000"/>
              <w:bottom w:val="single" w:sz="6" w:color="000000"/>
            </w:tcBorders>
          </w:tcPr>
          <w:p>
            <w:pPr>
              <w:spacing w:after="0" w:line="240" w:lineRule="auto"/>
              <w:jc w:val="center"/>
            </w:pPr>
            <w:r/>
            <w:r>
              <w:rPr>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b/>
          <w:sz w:val="18"/>
        </w:rPr>
        <w:t>Note(s):</w:t>
      </w:r>
      <w:r>
        <w:t xml:space="preserve"> </w:t>
      </w:r>
      <w:r>
        <w:rPr>
          <w:sz w:val="18"/>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jc w:val="center"/>
      </w:pPr>
      <w:r>
        <w:drawing>
          <wp:inline xmlns:a="http://schemas.openxmlformats.org/drawingml/2006/main" xmlns:pic="http://schemas.openxmlformats.org/drawingml/2006/picture">
            <wp:extent cx="5486400" cy="422030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486400" cy="4220308"/>
                    </a:xfrm>
                    <a:prstGeom prst="rect"/>
                  </pic:spPr>
                </pic:pic>
              </a:graphicData>
            </a:graphic>
          </wp:inline>
        </w:drawing>
      </w:r>
    </w:p>
    <w:p>
      <w:pPr>
        <w:spacing w:line="240" w:lineRule="auto" w:after="120" w:before="0"/>
      </w:pPr>
      <w:r>
        <w:rPr>
          <w:b/>
          <w:sz w:val="20"/>
        </w:rPr>
        <w:t>Figure 1.</w:t>
      </w:r>
      <w:r>
        <w:t xml:space="preserve">  </w:t>
      </w:r>
      <w:r>
        <w:rPr>
          <w:sz w:val="20"/>
        </w:rPr>
        <w:t>Event-time effects of the first LSEG ESG score on market-to-book ratio, market capitalization, leverage, and total assets</w:t>
      </w:r>
    </w:p>
    <w:p>
      <w:pPr>
        <w:spacing w:line="240" w:lineRule="auto" w:after="40" w:before="0"/>
      </w:pPr>
      <w:r>
        <w:rPr>
          <w:b/>
          <w:sz w:val="18"/>
        </w:rPr>
        <w:t>Note(s):</w:t>
      </w:r>
      <w:r>
        <w:t xml:space="preserve"> </w:t>
      </w:r>
      <w:r>
        <w:rPr>
          <w:sz w:val="18"/>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jc w:val="center"/>
      </w:pPr>
      <w:r>
        <w:drawing>
          <wp:inline xmlns:a="http://schemas.openxmlformats.org/drawingml/2006/main" xmlns:pic="http://schemas.openxmlformats.org/drawingml/2006/picture">
            <wp:extent cx="5486400" cy="506436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486400" cy="5064369"/>
                    </a:xfrm>
                    <a:prstGeom prst="rect"/>
                  </pic:spPr>
                </pic:pic>
              </a:graphicData>
            </a:graphic>
          </wp:inline>
        </w:drawing>
      </w:r>
    </w:p>
    <w:p>
      <w:pPr>
        <w:spacing w:line="240" w:lineRule="auto" w:after="120" w:before="0"/>
      </w:pPr>
      <w:r>
        <w:rPr>
          <w:b/>
          <w:sz w:val="20"/>
        </w:rPr>
        <w:t>Figure 2.</w:t>
      </w:r>
      <w:r>
        <w:t xml:space="preserve">  </w:t>
      </w:r>
      <w:r>
        <w:rPr>
          <w:sz w:val="20"/>
        </w:rPr>
        <w:t>Event-time effects on market-to-book ratio and market capitalization by coverage wave</w:t>
      </w:r>
    </w:p>
    <w:p>
      <w:pPr>
        <w:spacing w:line="240" w:lineRule="auto" w:after="40" w:before="0"/>
      </w:pPr>
      <w:r>
        <w:rPr>
          <w:b/>
          <w:sz w:val="18"/>
        </w:rPr>
        <w:t>Note(s):</w:t>
      </w:r>
      <w:r>
        <w:t xml:space="preserve"> </w:t>
      </w:r>
      <w:r>
        <w:rPr>
          <w:sz w:val="18"/>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3.</w:t>
      </w:r>
      <w:r>
        <w:t xml:space="preserve">  </w:t>
      </w:r>
      <w:r>
        <w:rPr>
          <w:sz w:val="20"/>
        </w:rPr>
        <w:t>Robustness checks, timing of coverage, and heterogeneity by initial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sz w:val="18"/>
              </w:rPr>
              <w:t>Specification</w:t>
            </w:r>
          </w:p>
        </w:tc>
        <w:tc>
          <w:tcPr>
            <w:tcW w:type="dxa" w:w="1656"/>
            <w:tcBorders>
              <w:top w:val="single" w:sz="6" w:color="000000"/>
              <w:bottom w:val="single" w:sz="6" w:color="000000"/>
            </w:tcBorders>
          </w:tcPr>
          <w:p>
            <w:pPr>
              <w:spacing w:after="0" w:line="240" w:lineRule="auto"/>
              <w:jc w:val="center"/>
            </w:pPr>
            <w:r/>
            <w:r>
              <w:rPr>
                <w:sz w:val="18"/>
              </w:rPr>
              <w:t>ln(MTB)</w:t>
            </w:r>
          </w:p>
        </w:tc>
        <w:tc>
          <w:tcPr>
            <w:tcW w:type="dxa" w:w="1656"/>
            <w:tcBorders>
              <w:top w:val="single" w:sz="6" w:color="000000"/>
              <w:bottom w:val="single" w:sz="6" w:color="000000"/>
            </w:tcBorders>
          </w:tcPr>
          <w:p>
            <w:pPr>
              <w:spacing w:after="0" w:line="240" w:lineRule="auto"/>
              <w:jc w:val="center"/>
            </w:pPr>
            <w:r/>
            <w:r>
              <w:rPr>
                <w:sz w:val="18"/>
              </w:rPr>
              <w:t>ln(market cap)</w:t>
            </w:r>
          </w:p>
        </w:tc>
        <w:tc>
          <w:tcPr>
            <w:tcW w:type="dxa" w:w="1656"/>
            <w:tcBorders>
              <w:top w:val="single" w:sz="6" w:color="000000"/>
              <w:bottom w:val="single" w:sz="6" w:color="000000"/>
            </w:tcBorders>
          </w:tcPr>
          <w:p>
            <w:pPr>
              <w:spacing w:after="0" w:line="240" w:lineRule="auto"/>
              <w:jc w:val="center"/>
            </w:pPr>
            <w:r/>
            <w:r>
              <w:rPr>
                <w:sz w:val="18"/>
              </w:rPr>
              <w:t>Leverage (ratio)</w:t>
            </w:r>
          </w:p>
        </w:tc>
        <w:tc>
          <w:tcPr>
            <w:tcW w:type="dxa" w:w="1656"/>
            <w:tcBorders>
              <w:top w:val="single" w:sz="6" w:color="000000"/>
              <w:bottom w:val="single" w:sz="6" w:color="000000"/>
            </w:tcBorders>
          </w:tcPr>
          <w:p>
            <w:pPr>
              <w:spacing w:after="0" w:line="240" w:lineRule="auto"/>
              <w:jc w:val="center"/>
            </w:pPr>
            <w:r/>
            <w:r>
              <w:rPr>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b/>
          <w:sz w:val="18"/>
        </w:rPr>
        <w:t>Note(s):</w:t>
      </w:r>
      <w:r>
        <w:t xml:space="preserve"> </w:t>
      </w:r>
      <w:r>
        <w:rPr>
          <w:sz w:val="18"/>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b/>
          <w:sz w:val="18"/>
        </w:rPr>
        <w:t>Source(s):</w:t>
      </w:r>
      <w:r>
        <w:t xml:space="preserve"> </w:t>
      </w:r>
      <w:r>
        <w:rPr>
          <w:sz w:val="18"/>
        </w:rPr>
        <w:t>Authors' own work based on LSEG ESG scores and Compustat Global data</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