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Before their first scored year, scored firms' market capitalization and market-to-book ratios grew faster than those of comparable firms.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et al., 2021; Pedersen et al., 2021). Both arguments predict that the initiation of ESG coverage raises a firm's valuation.</w:t>
      </w:r>
    </w:p>
    <w:p>
      <w:pPr>
        <w:spacing w:line="360" w:lineRule="auto" w:after="120" w:before="0"/>
        <w:ind w:firstLine="432"/>
        <w:jc w:val="both"/>
      </w:pPr>
      <w:r>
        <w:rPr/>
        <w:t>A second prediction reverses the direction of causality. Providers choose which firms to score and likely add a firm once it is large, liquid, or visible enough to matter to their clients, for example after it joins an index. Additions to a major index raise prices (Harris &amp; Gurel, 1986; Shleifer, 1986), and part of the effect reverses within weeks (Harris &amp; Gurel, 1986). If coverage follows growth in market value, a comparison of rated and unrated firms, or a regression pooling all years around coverage, attributes past growth to the rating.</w:t>
      </w:r>
    </w:p>
    <w:p>
      <w:pPr>
        <w:spacing w:line="360" w:lineRule="auto" w:after="120" w:before="0"/>
        <w:ind w:firstLine="432"/>
        <w:jc w:val="both"/>
      </w:pPr>
      <w:r>
        <w:rPr/>
        <w:t>The studies of rating coverage that we build on use U.S. firms and outcomes other than valuation. Tsang et al.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et al., 2025). For valuation, sell-side analysts offer a closer analogue: the loss of analyst coverage lowers prices (Kelly &amp; Ljungqvist, 2012), and the first report on a neglected stock earns a positive return driven by favorable coverage rather than by coverage itself (Demiroglu &amp; Ryngaert, 2010). We do not know whether a first ESG score moves valuations in emerging markets, where most listed firms are unscored and coverage has expanded in waves.</w:t>
      </w:r>
    </w:p>
    <w:p>
      <w:pPr>
        <w:spacing w:line="360" w:lineRule="auto" w:after="120" w:before="0"/>
        <w:ind w:firstLine="432"/>
        <w:jc w:val="both"/>
      </w:pPr>
      <w:r>
        <w:rPr/>
        <w:t>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et al., 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pPr>
        <w:spacing w:line="360" w:lineRule="auto" w:after="120" w:before="0"/>
        <w:ind w:firstLine="432"/>
        <w:jc w:val="both"/>
      </w:pPr>
      <w:r>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pPr>
        <w:spacing w:line="360" w:lineRule="auto" w:after="120" w:before="0"/>
        <w:ind w:firstLine="432"/>
        <w:jc w:val="both"/>
      </w:pPr>
      <w:r>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heterogeneity-robust specification detects a later gain.</w:t>
      </w:r>
    </w:p>
    <w:p>
      <w:pPr>
        <w:spacing w:line="360" w:lineRule="auto" w:after="120" w:before="0"/>
        <w:ind w:firstLine="432"/>
        <w:jc w:val="both"/>
      </w:pPr>
      <w:r>
        <w:rPr/>
        <w:t>We contribute to research on the financial consequences of ESG ratings with emerging-market evidence on the extensive margin of coverage, and we show that selection into coverage matters for any comparison of rated and unrated firms. The results also show that pre-coverage dynamics, which pre-trend tests treat as a nuisance (Roth, 2022), can be the economic finding.</w:t>
      </w:r>
    </w:p>
    <w:p>
      <w:pPr>
        <w:spacing w:line="360" w:lineRule="auto" w:after="120" w:before="0"/>
        <w:ind w:firstLine="432"/>
        <w:jc w:val="both"/>
      </w:pPr>
      <w:r>
        <w:rPr/>
        <w:t>Section 2 reviews the literature and states the hypotheses, Section 3 describes the setting and data, and Sections 4 and 5 present the methods and results. Section 6 discusses the results,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et al., 2021; Pedersen et al., 2021). Both predict that coverage raises valuation, the second more so for firms with a high initial score. Both also require investors to act on this particular score, yet U.S. ESG funds respond more to one provider's ratings than to those of others (Berg, Heeb, et al., 2022), and providers disagree (Berg, Kölbel, et al., 2022) in ways that are priced (Avramov et al., 2022; Gibson Brandon et al., 2021).</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and larger firms receive higher scores from the provider we study (Dobrick et al., 2023). If providers select firms that have grown, a comparison of scored and unscored firms mixes the effect of coverage with the growth that led to it.</w:t>
      </w:r>
    </w:p>
    <w:p>
      <w:pPr>
        <w:spacing w:line="360" w:lineRule="auto" w:after="120" w:before="0"/>
        <w:ind w:firstLine="432"/>
        <w:jc w:val="both"/>
      </w:pPr>
      <w:r>
        <w:rPr/>
        <w:t>Sell-side coverage offers an analogy: losing analyst coverage lowers prices (Kelly &amp; Ljungqvist, 2012), and the first coverage of a neglected stock raises its price only when the coverage is favorable (Demiroglu &amp; Ryngaert, 2010). Any valuation effect of a first ESG score should then concentrate in firms with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and preference channels predict a positive effect; the selection view predicts no effect after coverage and relative growth before it.</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as the preference channel and the evidence on favorable first coverage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Supplemental Appendix reports market-level estimates. The data do not record why coverage expanded when it did.</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Dropping financial firms leaves 3,423 firms. A firm's treatment year, g, is its first fiscal year with an LSEG ESG score. Only 17 of the 675 scored firms have a later year without a score, so 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Supplemental Appendix reports firm-years by outcome, and Table S6 scored firms by event year. Of the 274 scored firms with a base-year MTB ratio in cohorts observed through event year 3, 271, or 98.9 percent, still have one in event year 3; the others have no MTB ratio in event year 3.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pPr>
        <w:spacing w:line="360" w:lineRule="auto" w:after="120" w:before="0"/>
        <w:ind w:firstLine="432"/>
        <w:jc w:val="both"/>
      </w:pPr>
      <w:r>
        <w:rPr/>
        <w:t>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year before coverage:</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year g − 1. Because assumption (2) concerns changes in outcomes, the size differences in Table 1 do not violate it by themselves, but a different growth path before coverage would. We test this implication with the pre-coverage estimates but do not rely on the test alone.</w:t>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years since coverage,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three.</w:t>
      </w:r>
    </w:p>
    <w:p>
      <w:pPr>
        <w:spacing w:line="360" w:lineRule="auto" w:after="120" w:before="0"/>
        <w:ind w:firstLine="432"/>
        <w:jc w:val="both"/>
      </w:pPr>
      <w:r>
        <w:rPr/>
        <w:t>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et al., 2023), conditioning on base-year size matches scored firms to never-scored firms of similar size and can absorb part of the run-up, so we also report estimates without covariates and estimates that condition on pre-coverage growth.</w:t>
      </w:r>
    </w:p>
    <w:p>
      <w:pPr>
        <w:keepNext/>
        <w:spacing w:line="360" w:lineRule="auto" w:after="120" w:before="120"/>
      </w:pPr>
      <w:r>
        <w:rPr>
          <w:b/>
          <w:i/>
          <w:sz w:val="24"/>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Pr>
          <w:vertAlign w:val="subscript"/>
        </w:rPr>
        <w:t>i</w:t>
      </w:r>
      <w:r>
        <w:rPr/>
        <w:t xml:space="preserve"> the growth of log market capitalization from year g − 3 to year g − 1,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pPr>
        <w:keepNext/>
        <w:spacing w:line="360" w:lineRule="auto" w:after="120" w:before="120"/>
      </w:pPr>
      <w:r>
        <w:rPr>
          <w:b/>
          <w:i/>
          <w:sz w:val="24"/>
        </w:rPr>
        <w:t>4.6. Use of generative AI</w:t>
      </w:r>
    </w:p>
    <w:p>
      <w:pPr>
        <w:spacing w:line="360" w:lineRule="auto" w:after="120" w:before="0"/>
        <w:ind w:firstLine="432"/>
        <w:jc w:val="both"/>
      </w:pPr>
      <w:r>
        <w:rPr/>
        <w:t>We used Claude (Anthropic), through Claude Code, in September 2026 to screen research questions, draft the pre-analysis plan, write the R code, edit the text, check references, and simulate referee reports. We reviewed every output, checked each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Size also matters for the scores themselves, because larger firms receive higher scores from this provider (Dobrick et al., 2023). We therefore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et al. (2021) and Pedersen et al. (2021) predict. Hartzmark and Sussman (2019) show that fund flows respond to newly published sustainability ratings; under assumption (2), we detect no lasting valuation gain from such demand, although the interval admits gains of up to 4.9 percent.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is the pattern that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pPr>
        <w:spacing w:line="360" w:lineRule="auto" w:after="120" w:before="0"/>
        <w:ind w:firstLine="432"/>
        <w:jc w:val="both"/>
      </w:pPr>
      <w:r>
        <w:rPr/>
        <w:t>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loss of analyst coverage (Kelly &amp; Ljungqvist, 2012). Without data on share issuance, we cannot tell whether the pre-coverage growth in market capitalization reflects rising prices, new shares, or both, so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&amp;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includes zero and admits moderate effects in either direction. The upper limit of the unadjusted interval lies just below a 5 percent increase in the MTB ratio (0.049 log points): any departure with M̄ above about 0.01 admits an increase of 5 percent, and any departure at all admits a positive effect. The post-coverage null and the absence of a detected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et al. (2022).</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et al., 2024; Singapore Exchange, 2016).</w:t>
      </w:r>
    </w:p>
    <w:p>
      <w:pPr>
        <w:spacing w:line="360" w:lineRule="auto" w:after="120" w:before="0"/>
        <w:ind w:firstLine="432"/>
        <w:jc w:val="both"/>
      </w:pPr>
      <w:r>
        <w:rPr/>
        <w:t>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The split also uses initial scores that may have been revised since publication (Sahin et al., 2023).</w:t>
      </w:r>
    </w:p>
    <w:p>
      <w:pPr>
        <w:keepNext/>
        <w:spacing w:line="360" w:lineRule="auto" w:after="120" w:before="120"/>
      </w:pPr>
      <w:r>
        <w:rPr>
          <w:b/>
          <w:i/>
          <w:sz w:val="24"/>
        </w:rPr>
        <w:t>5.6.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et al., 2004; Merton, 1987). Under the same assumption, a lasting effect half as large as the MTB run-up in Section 5.3 would lie at the upper end of the headline interval, so any such effect is small relative to the growth that precedes coverage.</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post-coverage MTB path admits three readings, depending on the counterfactual pre-coverage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et al., 2004; Harris &amp; Gurel, 1986).</w:t>
      </w:r>
    </w:p>
    <w:p>
      <w:pPr>
        <w:spacing w:line="360" w:lineRule="auto" w:after="120" w:before="0"/>
        <w:ind w:firstLine="432"/>
        <w:jc w:val="both"/>
      </w:pPr>
      <w:r>
        <w:rPr/>
        <w:t>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conditions on a single growth measure, and its interval admits gains of several percent. Third, the bounds in Section 5.4 include zero for every M̄ we consider but also effects of several percent in both directions. The evidence therefore does not show that coverage has no effect: no heterogeneity-robust specification detects a valuation gain, and the bounds do not exclude one. The clearest result is the ordering of events: the first scored fiscal year follows relative growth and coincides with a valuation peak.</w:t>
      </w:r>
    </w:p>
    <w:p>
      <w:pPr>
        <w:spacing w:line="360" w:lineRule="auto" w:after="120" w:before="0"/>
        <w:ind w:firstLine="432"/>
        <w:jc w:val="both"/>
      </w:pPr>
      <w:r>
        <w:rPr/>
        <w:t>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et al., 2024; Singapore Exchange, 2016) or unobserved index changes.</w:t>
      </w:r>
    </w:p>
    <w:p>
      <w:pPr>
        <w:keepNext/>
        <w:spacing w:line="360" w:lineRule="auto" w:after="120" w:before="120"/>
      </w:pPr>
      <w:r>
        <w:rPr>
          <w:b/>
          <w:i/>
          <w:sz w:val="24"/>
        </w:rPr>
        <w:t>6.2. Relation to prior evidence</w:t>
      </w:r>
    </w:p>
    <w:p>
      <w:pPr>
        <w:spacing w:line="360" w:lineRule="auto" w:after="120" w:before="0"/>
        <w:ind w:firstLine="432"/>
        <w:jc w:val="both"/>
      </w:pPr>
      <w:r>
        <w:rPr/>
        <w:t>Sell-side evidence suggests why a first ESG score might move prices: losing coverage lowers prices (Kelly &amp; Ljungqvist, 2012), a favorable first report on a neglected stock raises them (Demiroglu &amp;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may have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pPr>
        <w:spacing w:line="360" w:lineRule="auto" w:after="120" w:before="0"/>
        <w:ind w:firstLine="432"/>
        <w:jc w:val="both"/>
      </w:pPr>
      <w:r>
        <w:rPr/>
        <w:t>The results also fit the evidence on rating disagreement. If ESG funds follow one provider more than others (Berg, Heeb, et al., 2022), coverage by another provider may matter little for demand, and dispersion across providers (Berg, Kölbel, et al., 2022; Christensen et al., 2022) weakens the information in any single score. U.S. studies find that coverage changes firm conduct (Bikmetova &amp; Pirinsky, 2026; Tsang et al., 2024) and financial policy (Tsang et al., 2025); we find no stable change in leverage or assets and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selection into coverage rather than an effect of ratings. Here the static regression attributes an MTB increase of 6.6 percent to coverage, whereas the heterogeneity-robust estimator and its event-time profile trace most of the gap to pre-coverage growth, with the covariates and event window accounting for the rest (Section 5.5; Callaway &amp; Sant'Anna, 2021; Roth, 2022). Studies comparing rated and unrated firms in these markets should model coverage timing and report pre-coverage dynamics.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only increases above 4.9 percent. Eighth, the unrecorded download date leaves the vintage of revisable recent scores uncertain,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432" w:hanging="432"/>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intervals;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Controls are never-scored firms with the covariates of Eq. (3), and event year 4 is not part of Eq. (6).</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