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15233582@st.neu.edu.vn. Tel: +84 355 347 831.</w:t>
      </w:r>
    </w:p>
    <w:p>
      <w:pPr>
        <w:spacing w:line="240" w:lineRule="auto" w:after="80" w:before="0"/>
        <w:jc w:val="center"/>
      </w:pPr>
      <w:r>
        <w:rPr/>
        <w:t>Nguyen Thanh Binh: nguyenthanhbinhapd@apd.edu.vn; ORCID 0009-0007-0042-2835</w:t>
      </w:r>
    </w:p>
    <w:p>
      <w:pPr>
        <w:spacing w:line="240" w:lineRule="auto" w:after="80" w:before="0"/>
        <w:jc w:val="center"/>
      </w:pPr>
      <w:r>
        <w:rPr/>
        <w:t>Nguyen Van Trung: 15233582@st.neu.edu.vn; ORCID 0009-0008-3307-6569</w:t>
      </w:r>
    </w:p>
    <w:p>
      <w:pPr>
        <w:spacing w:line="240" w:lineRule="auto" w:after="80" w:before="0"/>
        <w:jc w:val="center"/>
      </w:pPr>
      <w:r>
        <w:rPr/>
        <w:t>Ha Hong Hanh: hanhhh@neu.edu.vn; ORCID 0000-0003-3581-6571</w:t>
      </w:r>
    </w:p>
    <w:p>
      <w:pPr>
        <w:spacing w:line="240" w:lineRule="auto" w:after="80" w:before="0"/>
        <w:jc w:val="center"/>
      </w:pPr>
      <w:r>
        <w:rPr/>
        <w:t>Nguyen Bach Diep: diepnb@apd.edu.vn; ORCID 0009-0003-0967-7528</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Ha Hong Hanh has nothing to disclose. Nguyen Bach Diep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pPr>
        <w:spacing w:line="360" w:lineRule="auto" w:after="120" w:before="0"/>
        <w:ind w:firstLine="432"/>
        <w:jc w:val="both"/>
      </w:pPr>
      <w:r>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pPr>
        <w:spacing w:line="360" w:lineRule="auto" w:after="120" w:before="0"/>
        <w:ind w:firstLine="432"/>
        <w:jc w:val="both"/>
      </w:pPr>
      <w:r>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pPr>
        <w:spacing w:line="360" w:lineRule="auto" w:after="120" w:before="0"/>
        <w:ind w:firstLine="432"/>
        <w:jc w:val="both"/>
      </w:pPr>
      <w:r>
        <w:rPr/>
        <w:t>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pPr>
        <w:spacing w:line="360" w:lineRule="auto" w:after="120" w:before="0"/>
        <w:ind w:firstLine="432"/>
        <w:jc w:val="both"/>
      </w:pPr>
      <w:r>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pPr>
        <w:spacing w:line="360" w:lineRule="auto" w:after="120" w:before="0"/>
        <w:ind w:firstLine="432"/>
        <w:jc w:val="both"/>
      </w:pPr>
      <w:r>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pPr>
        <w:spacing w:line="360" w:lineRule="auto" w:after="120" w:before="0"/>
        <w:ind w:firstLine="432"/>
        <w:jc w:val="both"/>
      </w:pPr>
      <w:r>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pPr>
        <w:spacing w:line="360" w:lineRule="auto" w:after="120" w:before="0"/>
        <w:ind w:firstLine="432"/>
        <w:jc w:val="both"/>
      </w:pPr>
      <w:r>
        <w:rPr/>
        <w:t>Section 2 reviews the literature and states the hypotheses, Section 3 describes the setting and data, and Sections 4 and 5 present the methods and results. Section 6 discusses the results,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pPr>
        <w:spacing w:line="360" w:lineRule="auto" w:after="120" w:before="0"/>
        <w:ind w:firstLine="432"/>
        <w:jc w:val="both"/>
      </w:pPr>
      <w:r>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as the preference channel and the evidence on favorable first coverage suggest.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treatment year, g, is its first fiscal year with an LSEG ESG score. Only 17 of the 675 scored firms have a later year without a score, so 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pPr>
        <w:spacing w:line="360" w:lineRule="auto" w:after="120" w:before="0"/>
        <w:ind w:firstLine="432"/>
        <w:jc w:val="both"/>
      </w:pPr>
      <w:r>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year before coverage:</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years since coverage,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three.</w:t>
      </w:r>
    </w:p>
    <w:p>
      <w:pPr>
        <w:spacing w:line="360" w:lineRule="auto" w:after="120" w:before="0"/>
        <w:ind w:firstLine="432"/>
        <w:jc w:val="both"/>
      </w:pPr>
      <w:r>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Pr>
          <w:vertAlign w:val="subscript"/>
        </w:rPr>
        <w:t>i</w:t>
      </w:r>
      <w:r>
        <w:rPr/>
        <w:t xml:space="preserve"> the growth of log market capitalization from year g − 3 to year g − 1,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pPr>
        <w:keepNext/>
        <w:spacing w:line="360" w:lineRule="auto" w:after="120" w:before="120"/>
      </w:pPr>
      <w:r>
        <w:rPr>
          <w:b/>
          <w:i/>
          <w:sz w:val="24"/>
        </w:rPr>
        <w:t>4.6. Use of generative AI</w:t>
      </w:r>
    </w:p>
    <w:p>
      <w:pPr>
        <w:spacing w:line="360" w:lineRule="auto" w:after="120" w:before="0"/>
        <w:ind w:firstLine="432"/>
        <w:jc w:val="both"/>
      </w:pPr>
      <w:r>
        <w:rPr/>
        <w:t>We used Claude (Anthropic), through Claude Code, in September 2026 to screen research questions, draft the pre-analysis plan, write the R code, edit the text, check references, and simulate referee reports. We reviewed every output, checked each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pPr>
        <w:spacing w:line="360" w:lineRule="auto" w:after="120" w:before="0"/>
        <w:ind w:firstLine="432"/>
        <w:jc w:val="both"/>
      </w:pPr>
      <w:r>
        <w:rPr/>
        <w:t>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loss of analyst coverage (Kelly &amp; Ljungqvist, 2012). Without data on share issuance, we cannot tell whether the pre-coverage growth in market capitalization reflects rising prices, new shares, or both, so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pPr>
        <w:keepNext/>
        <w:spacing w:line="360" w:lineRule="auto" w:after="120" w:before="120"/>
      </w:pPr>
      <w:r>
        <w:rPr>
          <w:b/>
          <w:i/>
          <w:sz w:val="24"/>
        </w:rPr>
        <w:t>5.5. Robustness and heterogeneity</w:t>
      </w:r>
    </w:p>
    <w:p>
      <w:pPr>
        <w:spacing w:line="360" w:lineRule="auto" w:after="120" w:before="0"/>
        <w:ind w:firstLine="432"/>
        <w:jc w:val="both"/>
      </w:pPr>
      <w:r>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pPr>
        <w:spacing w:line="360" w:lineRule="auto" w:after="120" w:before="0"/>
        <w:ind w:firstLine="432"/>
        <w:jc w:val="both"/>
      </w:pPr>
      <w:r>
        <w:rPr/>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pPr>
        <w:keepNext/>
        <w:spacing w:line="360" w:lineRule="auto" w:after="120" w:before="120"/>
      </w:pPr>
      <w:r>
        <w:rPr>
          <w:b/>
          <w:i/>
          <w:sz w:val="24"/>
        </w:rPr>
        <w:t>5.6.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pPr>
        <w:spacing w:line="360" w:lineRule="auto" w:after="120" w:before="0"/>
        <w:ind w:firstLine="432"/>
        <w:jc w:val="both"/>
      </w:pPr>
      <w:r>
        <w:rPr/>
        <w:t>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pPr>
        <w:spacing w:line="360" w:lineRule="auto" w:after="120" w:before="0"/>
        <w:ind w:firstLine="432"/>
        <w:jc w:val="both"/>
      </w:pPr>
      <w:r>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pPr>
        <w:keepNext/>
        <w:spacing w:line="360" w:lineRule="auto" w:after="120" w:before="120"/>
      </w:pPr>
      <w:r>
        <w:rPr>
          <w:b/>
          <w:i/>
          <w:sz w:val="24"/>
        </w:rPr>
        <w:t>6.2. Relation to prior evidence</w:t>
      </w:r>
    </w:p>
    <w:p>
      <w:pPr>
        <w:spacing w:line="360" w:lineRule="auto" w:after="120" w:before="0"/>
        <w:ind w:firstLine="432"/>
        <w:jc w:val="both"/>
      </w:pPr>
      <w:r>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pPr>
        <w:spacing w:line="360" w:lineRule="auto" w:after="120" w:before="0"/>
        <w:ind w:firstLine="432"/>
        <w:jc w:val="both"/>
      </w:pPr>
      <w:r>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selection into coverage rather than an effect 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excludes only increases above 4.9 percent. Eighth, the unrecorded download date leaves the vintage of revisable recent scores uncertain, and we do not document the timing of disclosure rules outside Singapore.</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Controls are never-scored firms with the covariates of Eq. (3), and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