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Supplemental Appendix</w:t>
      </w:r>
    </w:p>
    <w:p>
      <w:pPr>
        <w:spacing w:line="360" w:lineRule="auto" w:after="240" w:before="0"/>
        <w:jc w:val="center"/>
      </w:pPr>
      <w:r>
        <w:rPr>
          <w:b/>
        </w:rPr>
        <w:t>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This Supplemental Appendix accompanies "Rated at the Peak? Firm Valuation around the First LSEG ESG Score in Five Southeast Asian Markets." Table S1 re-estimates the average effects of the first score over event years 0 to 3 after excluding one market at a time. Table S2 and Fig. S1 show the number of non-financial firms that received their first LSEG ESG score in each year, by market. Table S3 reports the estimates for each market separately, Table S4 the number of firm-years available for each outcome, Table S5 the relative-magnitude bounds of Eq. (10) in the paper, and Table S6 the number of scored and control firms by event year for ln MTB. The pre-analysis plan is provided with the replication package.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S1</w:t>
      </w:r>
      <w:r>
        <w:t xml:space="preserve"> </w:t>
      </w:r>
      <w:r>
        <w:rPr/>
        <w:t>Leave-one-market-out estimates of the average effect of the first LSEG ESG score</w:t>
      </w:r>
    </w:p>
    <w:tbl>
      <w:tblPr>
        <w:tblW w:type="auto" w:w="0"/>
        <w:jc w:val="center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Sample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 (ratio)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Indonesia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0.011**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0.037* (0.020)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Philippines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0.031*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Singapore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0.063*** (0.019)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Thailand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(0.029)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 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 (0.021)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Cells show the average effect over event years 0 to 3 without the named market, with bootstrap standard errors in parentheses. *, **, and *** denote significance at 10%, 5%, and 1% (unadjusted p-values).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S2</w:t>
      </w:r>
      <w:r>
        <w:t xml:space="preserve"> </w:t>
      </w:r>
      <w:r>
        <w:rPr/>
        <w:t>Number of non-financial firms by year of first LSEG ESG score and market</w:t>
      </w:r>
    </w:p>
    <w:tbl>
      <w:tblPr>
        <w:tblW w:type="auto" w:w="0"/>
        <w:jc w:val="center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First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Firms first scored in 2014 are excluded because they have no pre-coverage year.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Fig. S1</w:t>
      </w:r>
      <w:r>
        <w:t xml:space="preserve"> </w:t>
      </w:r>
      <w:r>
        <w:rPr/>
        <w:t>Number of non-financial firms by year of first LSEG ESG score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0"/>
      </w:pPr>
      <w:r>
        <w:rPr>
          <w:sz w:val="20"/>
        </w:rPr>
        <w:t>Bars show the number of firms in the estimation sample first scored in each year, all five markets combined.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S3</w:t>
      </w:r>
      <w:r>
        <w:t xml:space="preserve"> </w:t>
      </w:r>
      <w:r>
        <w:rPr/>
        <w:t>Estimates of the average effect of the first LSEG ESG score by market</w:t>
      </w:r>
    </w:p>
    <w:tbl>
      <w:tblPr>
        <w:tblW w:type="auto" w:w="0"/>
        <w:jc w:val="center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728"/>
        <w:gridCol w:w="1584"/>
        <w:gridCol w:w="1584"/>
        <w:gridCol w:w="1584"/>
        <w:gridCol w:w="1584"/>
        <w:gridCol w:w="1296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Market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 (ratio)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0.054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−0.018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 (0.018)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0.123* (0.070)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(0.033)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−0.114** (0.048)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(0.006)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0.033 (0.024)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372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0.041 (0.028)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(0.079)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−0.037 (0.073)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0.143* (0.087)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0.048** (0.020)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 (0.084)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 (0.047)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 (0.059)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 (0.013)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(0.040)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Cells show the average effect over event years 0 to 3 estimated within each market, with bootstrap standard errors in parentheses. *, **, and *** denote significance at 10%, 5%, and 1% (unadjusted p-values).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S4</w:t>
      </w:r>
      <w:r>
        <w:t xml:space="preserve"> </w:t>
      </w:r>
      <w:r>
        <w:rPr/>
        <w:t>Firm-years and firms available for each outcome</w:t>
      </w:r>
    </w:p>
    <w:tbl>
      <w:tblPr>
        <w:tblW w:type="auto" w:w="0"/>
        <w:jc w:val="center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448"/>
        <w:gridCol w:w="1440"/>
        <w:gridCol w:w="1296"/>
        <w:gridCol w:w="1440"/>
        <w:gridCol w:w="1296"/>
        <w:gridCol w:w="1440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Share missing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0.202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refer to the estimation sample; the last column is the share of firm-years with a missing outcome.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S5</w:t>
      </w:r>
      <w:r>
        <w:t xml:space="preserve"> </w:t>
      </w:r>
      <w:r>
        <w:rPr/>
        <w:t>Relative-magnitude bounds for the average effect of the first LSEG ESG score</w:t>
      </w:r>
    </w:p>
    <w:tbl>
      <w:tblPr>
        <w:tblW w:type="auto" w:w="0"/>
        <w:jc w:val="center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448"/>
        <w:gridCol w:w="864"/>
        <w:gridCol w:w="1728"/>
        <w:gridCol w:w="1296"/>
        <w:gridCol w:w="2304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Max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Robust 95% interval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The bias bound is M̄ times the largest change between consecutive pre-coverage estimates times the weighted mean of (e + 1) over event years 0 to 3 (Eq. 10). The robust interval widens the bootstrap 95% interval by this bound.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S6</w:t>
      </w:r>
      <w:r>
        <w:t xml:space="preserve"> </w:t>
      </w:r>
      <w:r>
        <w:rPr/>
        <w:t>Scored firms and control firms by event year for ln(MTB)</w:t>
      </w:r>
    </w:p>
    <w:tbl>
      <w:tblPr>
        <w:tblW w:type="auto" w:w="0"/>
        <w:jc w:val="center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728"/>
        <w:gridCol w:w="1872"/>
        <w:gridCol w:w="1584"/>
        <w:gridCol w:w="3168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Event year</w:t>
            </w:r>
          </w:p>
        </w:tc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Cohorts</w:t>
            </w:r>
          </w:p>
        </w:tc>
        <w:tc>
          <w:tcPr>
            <w:tcW w:type="dxa" w:w="316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Control firms (range)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−5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497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1,420–1,732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−4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521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1,431–1,800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549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1,444–1,899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581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1,455–2,065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615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1,453–2,189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578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1,442–2,034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483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1,430–1,895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270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1,418–1,796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1,407–1,732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Scored firms are summed over cohorts; control firms are the smallest and largest number of never-scored firms across cohort cells.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