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pPr>
      <w:r>
        <w:rPr/>
        <w:t>Nguyen Van Trung (corresponding author)</w:t>
      </w:r>
    </w:p>
    <w:p>
      <w:pPr>
        <w:spacing w:line="240" w:lineRule="auto" w:after="0" w:before="0"/>
      </w:pPr>
      <w:r>
        <w:rPr/>
        <w:t>Academy of Policy and Development, Hanoi, Vietnam</w:t>
      </w:r>
    </w:p>
    <w:p>
      <w:pPr>
        <w:spacing w:line="240" w:lineRule="auto" w:after="0" w:before="0"/>
      </w:pPr>
      <w:r>
        <w:rPr/>
        <w:t>15233582@st.neu.edu.vn</w:t>
      </w:r>
    </w:p>
    <w:p>
      <w:pPr>
        <w:spacing w:line="240" w:lineRule="auto" w:after="0" w:before="0"/>
      </w:pPr>
    </w:p>
    <w:p>
      <w:pPr>
        <w:spacing w:line="240" w:lineRule="auto" w:after="0" w:before="0"/>
      </w:pPr>
      <w:r>
        <w:rPr/>
        <w:t>The Editors</w:t>
      </w:r>
    </w:p>
    <w:p>
      <w:pPr>
        <w:spacing w:line="240" w:lineRule="auto" w:after="0" w:before="0"/>
      </w:pPr>
      <w:r>
        <w:rPr/>
        <w:t>Journal of Finance: Insights and Perspectives</w:t>
      </w:r>
    </w:p>
    <w:p>
      <w:pPr>
        <w:spacing w:line="240" w:lineRule="auto" w:after="0" w:before="0"/>
      </w:pPr>
    </w:p>
    <w:p>
      <w:pPr>
        <w:spacing w:line="360" w:lineRule="auto" w:after="120" w:before="0"/>
        <w:jc w:val="both"/>
      </w:pPr>
      <w:r>
        <w:rPr/>
        <w:t>Dear Editors,</w:t>
      </w:r>
    </w:p>
    <w:p>
      <w:pPr>
        <w:spacing w:line="360" w:lineRule="auto" w:after="120" w:before="0"/>
        <w:jc w:val="both"/>
      </w:pPr>
      <w:r>
        <w:rPr/>
        <w:t>We submit the manuscript "Rated at the Peak? Firm Valuation around the First LSEG ESG Score in Five Southeast Asian Markets" for consideration as an Insights article in the Journal of Finance: Insights and Perspectives. The main text has 6,165 words by our count of the word count file, against the limit of 6,200 words for a manuscript with 4 exhibits; the official count from the word count PDF is entered in the submission system.</w:t>
      </w:r>
    </w:p>
    <w:p>
      <w:pPr>
        <w:spacing w:line="360" w:lineRule="auto" w:after="120" w:before="0"/>
        <w:jc w:val="both"/>
      </w:pPr>
      <w:r>
        <w:rPr/>
        <w:t>The paper asks whether the first ESG score that a rating provider assigns to a listed firm changes how the equity market values that firm. Using the staggered first appearance of LSEG ESG scores for 675 non-financial firms in Indonesia, Malaysia, the Philippines, Singapore, and Thailand, and heterogeneity-robust difference-in-differences estimators, we find that scored firms gained value faster than comparable firms before their first scored year and, under parallel trends, did not gain in market-to-book ratio afterwards. A static two-way fixed effects regression on the same data would instead attribute a valuation gain of 6.6 percent to coverage. We registered the hypotheses, sample rules, estimator, and robustness checks in a pre-analysis plan before estimation and report all pre-specified results, including a placebo test that fails.</w:t>
      </w:r>
    </w:p>
    <w:p>
      <w:pPr>
        <w:spacing w:line="360" w:lineRule="auto" w:after="120" w:before="0"/>
        <w:jc w:val="both"/>
      </w:pPr>
      <w:r>
        <w:rPr/>
        <w:t>The manuscript is not under consideration elsewhere, and all authors have approved the submission. The authors declare no competing interests. The replication code, output files, and the pre-analysis plan are provided as supporting material; the underlying LSEG and Compustat data are licensed and cannot be redistributed. Our use of Claude (Anthropic) is described in Section 4.6 of the manuscript.</w:t>
      </w:r>
    </w:p>
    <w:p>
      <w:pPr>
        <w:spacing w:line="360" w:lineRule="auto" w:after="120" w:before="0"/>
        <w:jc w:val="both"/>
      </w:pPr>
      <w:r>
        <w:rPr/>
        <w:t>Sincerely,</w:t>
      </w:r>
    </w:p>
    <w:p>
      <w:pPr>
        <w:spacing w:line="360" w:lineRule="auto" w:after="120" w:before="0"/>
        <w:jc w:val="both"/>
      </w:pPr>
      <w:r>
        <w:rPr/>
        <w:t>Nguyen Van Trung, on behalf of Nguyen Thanh Binh, Ha Hong Hanh, and Nguyen Bach Diep</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