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Supplemental Appendix</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This Supplemental Appendix accompanies "Who Gets an ESG Score? Coverage Selection and Firm Value in Five Southeast Asian Markets." Table S1 re-estimates the average effects of the first score over event years 0 to 3 after excluding one market at a time. Table S2 and Fig. S1 show the number of non-financial firms that received their first LSEG ESG score in each year, by market. Table S3 reports the estimates for each market separately, Table S4 the number of firm-years available for each outcome, Table S5 the relative-magnitude bounds of Eq. (10) in the paper, and Table S6 the number of scored and control firms by event year for ln MTB. Table S7 and Fig. S2 report the exploratory analyses added after the second review, and Table S8 decomposes the gap between the static two-way fixed effects estimate and the baseline. The pre-analysis plan is provided with the replication package.</w:t>
      </w:r>
    </w:p>
    <w:p>
      <w:r>
        <w:br w:type="page"/>
      </w:r>
    </w:p>
    <w:p>
      <w:pPr>
        <w:spacing w:line="240" w:lineRule="auto" w:after="120" w:before="0"/>
      </w:pPr>
      <w:r>
        <w:rPr>
          <w:b/>
        </w:rPr>
        <w:t>Table S1</w:t>
      </w:r>
      <w:r>
        <w:t xml:space="preserve"> </w:t>
      </w:r>
      <w:r>
        <w:rPr/>
        <w:t>Leave-one-market-out estimates of the average effect of the first LSEG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Sample</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Without Indonesia</w:t>
            </w:r>
          </w:p>
        </w:tc>
        <w:tc>
          <w:tcPr>
            <w:tcW w:type="dxa" w:w="1656"/>
          </w:tcPr>
          <w:p>
            <w:pPr>
              <w:spacing w:after="0" w:line="240" w:lineRule="auto"/>
              <w:jc w:val="center"/>
            </w:pPr>
            <w:r/>
            <w:r>
              <w:rPr>
                <w:sz w:val="18"/>
              </w:rPr>
              <w:t>0.017 (0.024)</w:t>
            </w:r>
          </w:p>
        </w:tc>
        <w:tc>
          <w:tcPr>
            <w:tcW w:type="dxa" w:w="1656"/>
          </w:tcPr>
          <w:p>
            <w:pPr>
              <w:spacing w:after="0" w:line="240" w:lineRule="auto"/>
              <w:jc w:val="center"/>
            </w:pPr>
            <w:r/>
            <w:r>
              <w:rPr>
                <w:sz w:val="18"/>
              </w:rPr>
              <w:t>−0.030 (0.030)</w:t>
            </w:r>
          </w:p>
        </w:tc>
        <w:tc>
          <w:tcPr>
            <w:tcW w:type="dxa" w:w="1656"/>
          </w:tcPr>
          <w:p>
            <w:pPr>
              <w:spacing w:after="0" w:line="240" w:lineRule="auto"/>
              <w:jc w:val="center"/>
            </w:pPr>
            <w:r/>
            <w:r>
              <w:rPr>
                <w:sz w:val="18"/>
              </w:rPr>
              <w:t>0.011** (0.005)</w:t>
            </w:r>
          </w:p>
        </w:tc>
        <w:tc>
          <w:tcPr>
            <w:tcW w:type="dxa" w:w="1656"/>
          </w:tcPr>
          <w:p>
            <w:pPr>
              <w:spacing w:after="0" w:line="240" w:lineRule="auto"/>
              <w:jc w:val="center"/>
            </w:pPr>
            <w:r/>
            <w:r>
              <w:rPr>
                <w:sz w:val="18"/>
              </w:rPr>
              <w:t>0.037* (0.020)</w:t>
            </w:r>
          </w:p>
        </w:tc>
      </w:tr>
      <w:tr>
        <w:tc>
          <w:tcPr>
            <w:tcW w:type="dxa" w:w="2736"/>
          </w:tcPr>
          <w:p>
            <w:pPr>
              <w:spacing w:after="0" w:line="240" w:lineRule="auto"/>
            </w:pPr>
            <w:r/>
            <w:r>
              <w:rPr>
                <w:sz w:val="18"/>
              </w:rPr>
              <w:t>Without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Without Philippines</w:t>
            </w:r>
          </w:p>
        </w:tc>
        <w:tc>
          <w:tcPr>
            <w:tcW w:type="dxa" w:w="1656"/>
          </w:tcPr>
          <w:p>
            <w:pPr>
              <w:spacing w:after="0" w:line="240" w:lineRule="auto"/>
              <w:jc w:val="center"/>
            </w:pPr>
            <w:r/>
            <w:r>
              <w:rPr>
                <w:sz w:val="18"/>
              </w:rPr>
              <w:t>−0.001 (0.025)</w:t>
            </w:r>
          </w:p>
        </w:tc>
        <w:tc>
          <w:tcPr>
            <w:tcW w:type="dxa" w:w="1656"/>
          </w:tcPr>
          <w:p>
            <w:pPr>
              <w:spacing w:after="0" w:line="240" w:lineRule="auto"/>
              <w:jc w:val="center"/>
            </w:pPr>
            <w:r/>
            <w:r>
              <w:rPr>
                <w:sz w:val="18"/>
              </w:rPr>
              <w:t>−0.066**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0.031* (0.019)</w:t>
            </w:r>
          </w:p>
        </w:tc>
      </w:tr>
      <w:tr>
        <w:tc>
          <w:tcPr>
            <w:tcW w:type="dxa" w:w="2736"/>
          </w:tcPr>
          <w:p>
            <w:pPr>
              <w:spacing w:after="0" w:line="240" w:lineRule="auto"/>
            </w:pPr>
            <w:r/>
            <w:r>
              <w:rPr>
                <w:sz w:val="18"/>
              </w:rPr>
              <w:t>Without Singapore</w:t>
            </w:r>
          </w:p>
        </w:tc>
        <w:tc>
          <w:tcPr>
            <w:tcW w:type="dxa" w:w="1656"/>
          </w:tcPr>
          <w:p>
            <w:pPr>
              <w:spacing w:after="0" w:line="240" w:lineRule="auto"/>
              <w:jc w:val="center"/>
            </w:pPr>
            <w:r/>
            <w:r>
              <w:rPr>
                <w:sz w:val="18"/>
              </w:rPr>
              <w:t>−0.007 (0.025)</w:t>
            </w:r>
          </w:p>
        </w:tc>
        <w:tc>
          <w:tcPr>
            <w:tcW w:type="dxa" w:w="1656"/>
          </w:tcPr>
          <w:p>
            <w:pPr>
              <w:spacing w:after="0" w:line="240" w:lineRule="auto"/>
              <w:jc w:val="center"/>
            </w:pPr>
            <w:r/>
            <w:r>
              <w:rPr>
                <w:sz w:val="18"/>
              </w:rPr>
              <w:t>−0.066**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0.063*** (0.019)</w:t>
            </w:r>
          </w:p>
        </w:tc>
      </w:tr>
      <w:tr>
        <w:tc>
          <w:tcPr>
            <w:tcW w:type="dxa" w:w="2736"/>
            <w:tcBorders>
              <w:bottom w:val="single" w:sz="6" w:color="000000"/>
            </w:tcBorders>
          </w:tcPr>
          <w:p>
            <w:pPr>
              <w:spacing w:after="0" w:line="240" w:lineRule="auto"/>
            </w:pPr>
            <w:r/>
            <w:r>
              <w:rPr>
                <w:sz w:val="18"/>
              </w:rPr>
              <w:t>Without Thailand</w:t>
            </w:r>
          </w:p>
        </w:tc>
        <w:tc>
          <w:tcPr>
            <w:tcW w:type="dxa" w:w="1656"/>
            <w:tcBorders>
              <w:bottom w:val="single" w:sz="6" w:color="000000"/>
            </w:tcBorders>
          </w:tcPr>
          <w:p>
            <w:pPr>
              <w:spacing w:after="0" w:line="240" w:lineRule="auto"/>
              <w:jc w:val="center"/>
            </w:pPr>
            <w:r/>
            <w:r>
              <w:rPr>
                <w:sz w:val="18"/>
              </w:rPr>
              <w:t>0.004 (0.029)</w:t>
            </w:r>
          </w:p>
        </w:tc>
        <w:tc>
          <w:tcPr>
            <w:tcW w:type="dxa" w:w="1656"/>
            <w:tcBorders>
              <w:bottom w:val="single" w:sz="6" w:color="000000"/>
            </w:tcBorders>
          </w:tcPr>
          <w:p>
            <w:pPr>
              <w:spacing w:after="0" w:line="240" w:lineRule="auto"/>
              <w:jc w:val="center"/>
            </w:pPr>
            <w:r/>
            <w:r>
              <w:rPr>
                <w:sz w:val="18"/>
              </w:rPr>
              <w:t>−0.096** (0.037)</w:t>
            </w:r>
          </w:p>
        </w:tc>
        <w:tc>
          <w:tcPr>
            <w:tcW w:type="dxa" w:w="1656"/>
            <w:tcBorders>
              <w:bottom w:val="single" w:sz="6" w:color="000000"/>
            </w:tcBorders>
          </w:tcPr>
          <w:p>
            <w:pPr>
              <w:spacing w:after="0" w:line="240" w:lineRule="auto"/>
              <w:jc w:val="center"/>
            </w:pPr>
            <w:r/>
            <w:r>
              <w:rPr>
                <w:sz w:val="18"/>
              </w:rPr>
              <w:t>0.004 (0.005)</w:t>
            </w:r>
          </w:p>
        </w:tc>
        <w:tc>
          <w:tcPr>
            <w:tcW w:type="dxa" w:w="1656"/>
            <w:tcBorders>
              <w:bottom w:val="single" w:sz="6" w:color="000000"/>
            </w:tcBorders>
          </w:tcPr>
          <w:p>
            <w:pPr>
              <w:spacing w:after="0" w:line="240" w:lineRule="auto"/>
              <w:jc w:val="center"/>
            </w:pPr>
            <w:r/>
            <w:r>
              <w:rPr>
                <w:sz w:val="18"/>
              </w:rPr>
              <w:t>0.040* (0.021)</w:t>
            </w:r>
          </w:p>
        </w:tc>
      </w:tr>
    </w:tbl>
    <w:p>
      <w:pPr>
        <w:spacing w:line="240" w:lineRule="auto" w:after="40" w:before="0"/>
      </w:pPr>
      <w:r>
        <w:rPr>
          <w:sz w:val="20"/>
        </w:rPr>
        <w:t>Cells show the average effect over event years 0 to 3 without the named market, with bootstrap standard errors in parentheses. *, **, and *** denote significance at 10%, 5%, and 1% (unadjusted p-values).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S2</w:t>
      </w:r>
      <w:r>
        <w:t xml:space="preserve"> </w:t>
      </w:r>
      <w:r>
        <w:rPr/>
        <w:t>Number of non-financial firms by year of first LSEG ESG score and market</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1872"/>
        <w:gridCol w:w="1224"/>
        <w:gridCol w:w="1224"/>
        <w:gridCol w:w="1296"/>
        <w:gridCol w:w="1296"/>
        <w:gridCol w:w="1224"/>
        <w:gridCol w:w="1080"/>
      </w:tblGrid>
      <w:tr>
        <w:tc>
          <w:tcPr>
            <w:tcW w:type="dxa" w:w="1872"/>
            <w:tcBorders>
              <w:top w:val="single" w:sz="6" w:color="000000"/>
              <w:bottom w:val="single" w:sz="6" w:color="000000"/>
            </w:tcBorders>
          </w:tcPr>
          <w:p>
            <w:pPr>
              <w:spacing w:after="0" w:line="240" w:lineRule="auto"/>
            </w:pPr>
            <w:r/>
            <w:r>
              <w:rPr>
                <w:b/>
                <w:sz w:val="18"/>
              </w:rPr>
              <w:t>First score year</w:t>
            </w:r>
          </w:p>
        </w:tc>
        <w:tc>
          <w:tcPr>
            <w:tcW w:type="dxa" w:w="1224"/>
            <w:tcBorders>
              <w:top w:val="single" w:sz="6" w:color="000000"/>
              <w:bottom w:val="single" w:sz="6" w:color="000000"/>
            </w:tcBorders>
          </w:tcPr>
          <w:p>
            <w:pPr>
              <w:spacing w:after="0" w:line="240" w:lineRule="auto"/>
              <w:jc w:val="center"/>
            </w:pPr>
            <w:r/>
            <w:r>
              <w:rPr>
                <w:b/>
                <w:sz w:val="18"/>
              </w:rPr>
              <w:t>Indonesia</w:t>
            </w:r>
          </w:p>
        </w:tc>
        <w:tc>
          <w:tcPr>
            <w:tcW w:type="dxa" w:w="1224"/>
            <w:tcBorders>
              <w:top w:val="single" w:sz="6" w:color="000000"/>
              <w:bottom w:val="single" w:sz="6" w:color="000000"/>
            </w:tcBorders>
          </w:tcPr>
          <w:p>
            <w:pPr>
              <w:spacing w:after="0" w:line="240" w:lineRule="auto"/>
              <w:jc w:val="center"/>
            </w:pPr>
            <w:r/>
            <w:r>
              <w:rPr>
                <w:b/>
                <w:sz w:val="18"/>
              </w:rPr>
              <w:t>Malaysia</w:t>
            </w:r>
          </w:p>
        </w:tc>
        <w:tc>
          <w:tcPr>
            <w:tcW w:type="dxa" w:w="1296"/>
            <w:tcBorders>
              <w:top w:val="single" w:sz="6" w:color="000000"/>
              <w:bottom w:val="single" w:sz="6" w:color="000000"/>
            </w:tcBorders>
          </w:tcPr>
          <w:p>
            <w:pPr>
              <w:spacing w:after="0" w:line="240" w:lineRule="auto"/>
              <w:jc w:val="center"/>
            </w:pPr>
            <w:r/>
            <w:r>
              <w:rPr>
                <w:b/>
                <w:sz w:val="18"/>
              </w:rPr>
              <w:t>Philippines</w:t>
            </w:r>
          </w:p>
        </w:tc>
        <w:tc>
          <w:tcPr>
            <w:tcW w:type="dxa" w:w="1296"/>
            <w:tcBorders>
              <w:top w:val="single" w:sz="6" w:color="000000"/>
              <w:bottom w:val="single" w:sz="6" w:color="000000"/>
            </w:tcBorders>
          </w:tcPr>
          <w:p>
            <w:pPr>
              <w:spacing w:after="0" w:line="240" w:lineRule="auto"/>
              <w:jc w:val="center"/>
            </w:pPr>
            <w:r/>
            <w:r>
              <w:rPr>
                <w:b/>
                <w:sz w:val="18"/>
              </w:rPr>
              <w:t>Singapore</w:t>
            </w:r>
          </w:p>
        </w:tc>
        <w:tc>
          <w:tcPr>
            <w:tcW w:type="dxa" w:w="1224"/>
            <w:tcBorders>
              <w:top w:val="single" w:sz="6" w:color="000000"/>
              <w:bottom w:val="single" w:sz="6" w:color="000000"/>
            </w:tcBorders>
          </w:tcPr>
          <w:p>
            <w:pPr>
              <w:spacing w:after="0" w:line="240" w:lineRule="auto"/>
              <w:jc w:val="center"/>
            </w:pPr>
            <w:r/>
            <w:r>
              <w:rPr>
                <w:b/>
                <w:sz w:val="18"/>
              </w:rPr>
              <w:t>Thailand</w:t>
            </w:r>
          </w:p>
        </w:tc>
        <w:tc>
          <w:tcPr>
            <w:tcW w:type="dxa" w:w="1080"/>
            <w:tcBorders>
              <w:top w:val="single" w:sz="6" w:color="000000"/>
              <w:bottom w:val="single" w:sz="6" w:color="000000"/>
            </w:tcBorders>
          </w:tcPr>
          <w:p>
            <w:pPr>
              <w:spacing w:after="0" w:line="240" w:lineRule="auto"/>
              <w:jc w:val="center"/>
            </w:pPr>
            <w:r/>
            <w:r>
              <w:rPr>
                <w:b/>
                <w:sz w:val="18"/>
              </w:rPr>
              <w:t>Total</w:t>
            </w:r>
          </w:p>
        </w:tc>
      </w:tr>
      <w:tr>
        <w:tc>
          <w:tcPr>
            <w:tcW w:type="dxa" w:w="1872"/>
          </w:tcPr>
          <w:p>
            <w:pPr>
              <w:spacing w:after="0" w:line="240" w:lineRule="auto"/>
            </w:pPr>
            <w:r/>
            <w:r>
              <w:rPr>
                <w:sz w:val="18"/>
              </w:rPr>
              <w:t>2015</w:t>
            </w:r>
          </w:p>
        </w:tc>
        <w:tc>
          <w:tcPr>
            <w:tcW w:type="dxa" w:w="1224"/>
          </w:tcPr>
          <w:p>
            <w:pPr>
              <w:spacing w:after="0" w:line="240" w:lineRule="auto"/>
              <w:jc w:val="center"/>
            </w:pPr>
            <w:r/>
            <w:r>
              <w:rPr>
                <w:sz w:val="18"/>
              </w:rPr>
              <w:t>2</w:t>
            </w:r>
          </w:p>
        </w:tc>
        <w:tc>
          <w:tcPr>
            <w:tcW w:type="dxa" w:w="1224"/>
          </w:tcPr>
          <w:p>
            <w:pPr>
              <w:spacing w:after="0" w:line="240" w:lineRule="auto"/>
              <w:jc w:val="center"/>
            </w:pPr>
            <w:r/>
            <w:r>
              <w:rPr>
                <w:sz w:val="18"/>
              </w:rPr>
              <w:t>0</w:t>
            </w:r>
          </w:p>
        </w:tc>
        <w:tc>
          <w:tcPr>
            <w:tcW w:type="dxa" w:w="1296"/>
          </w:tcPr>
          <w:p>
            <w:pPr>
              <w:spacing w:after="0" w:line="240" w:lineRule="auto"/>
              <w:jc w:val="center"/>
            </w:pPr>
            <w:r/>
            <w:r>
              <w:rPr>
                <w:sz w:val="18"/>
              </w:rPr>
              <w:t>2</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4</w:t>
            </w:r>
          </w:p>
        </w:tc>
        <w:tc>
          <w:tcPr>
            <w:tcW w:type="dxa" w:w="1080"/>
          </w:tcPr>
          <w:p>
            <w:pPr>
              <w:spacing w:after="0" w:line="240" w:lineRule="auto"/>
              <w:jc w:val="center"/>
            </w:pPr>
            <w:r/>
            <w:r>
              <w:rPr>
                <w:sz w:val="18"/>
              </w:rPr>
              <w:t>8</w:t>
            </w:r>
          </w:p>
        </w:tc>
      </w:tr>
      <w:tr>
        <w:tc>
          <w:tcPr>
            <w:tcW w:type="dxa" w:w="1872"/>
          </w:tcPr>
          <w:p>
            <w:pPr>
              <w:spacing w:after="0" w:line="240" w:lineRule="auto"/>
            </w:pPr>
            <w:r/>
            <w:r>
              <w:rPr>
                <w:sz w:val="18"/>
              </w:rPr>
              <w:t>2016</w:t>
            </w:r>
          </w:p>
        </w:tc>
        <w:tc>
          <w:tcPr>
            <w:tcW w:type="dxa" w:w="1224"/>
          </w:tcPr>
          <w:p>
            <w:pPr>
              <w:spacing w:after="0" w:line="240" w:lineRule="auto"/>
              <w:jc w:val="center"/>
            </w:pPr>
            <w:r/>
            <w:r>
              <w:rPr>
                <w:sz w:val="18"/>
              </w:rPr>
              <w:t>3</w:t>
            </w:r>
          </w:p>
        </w:tc>
        <w:tc>
          <w:tcPr>
            <w:tcW w:type="dxa" w:w="1224"/>
          </w:tcPr>
          <w:p>
            <w:pPr>
              <w:spacing w:after="0" w:line="240" w:lineRule="auto"/>
              <w:jc w:val="center"/>
            </w:pPr>
            <w:r/>
            <w:r>
              <w:rPr>
                <w:sz w:val="18"/>
              </w:rPr>
              <w:t>2</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1</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9</w:t>
            </w:r>
          </w:p>
        </w:tc>
      </w:tr>
      <w:tr>
        <w:tc>
          <w:tcPr>
            <w:tcW w:type="dxa" w:w="1872"/>
          </w:tcPr>
          <w:p>
            <w:pPr>
              <w:spacing w:after="0" w:line="240" w:lineRule="auto"/>
            </w:pPr>
            <w:r/>
            <w:r>
              <w:rPr>
                <w:sz w:val="18"/>
              </w:rPr>
              <w:t>2017</w:t>
            </w:r>
          </w:p>
        </w:tc>
        <w:tc>
          <w:tcPr>
            <w:tcW w:type="dxa" w:w="1224"/>
          </w:tcPr>
          <w:p>
            <w:pPr>
              <w:spacing w:after="0" w:line="240" w:lineRule="auto"/>
              <w:jc w:val="center"/>
            </w:pPr>
            <w:r/>
            <w:r>
              <w:rPr>
                <w:sz w:val="18"/>
              </w:rPr>
              <w:t>1</w:t>
            </w:r>
          </w:p>
        </w:tc>
        <w:tc>
          <w:tcPr>
            <w:tcW w:type="dxa" w:w="1224"/>
          </w:tcPr>
          <w:p>
            <w:pPr>
              <w:spacing w:after="0" w:line="240" w:lineRule="auto"/>
              <w:jc w:val="center"/>
            </w:pPr>
            <w:r/>
            <w:r>
              <w:rPr>
                <w:sz w:val="18"/>
              </w:rPr>
              <w:t>4</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7</w:t>
            </w:r>
          </w:p>
        </w:tc>
      </w:tr>
      <w:tr>
        <w:tc>
          <w:tcPr>
            <w:tcW w:type="dxa" w:w="1872"/>
          </w:tcPr>
          <w:p>
            <w:pPr>
              <w:spacing w:after="0" w:line="240" w:lineRule="auto"/>
            </w:pPr>
            <w:r/>
            <w:r>
              <w:rPr>
                <w:sz w:val="18"/>
              </w:rPr>
              <w:t>2018</w:t>
            </w:r>
          </w:p>
        </w:tc>
        <w:tc>
          <w:tcPr>
            <w:tcW w:type="dxa" w:w="1224"/>
          </w:tcPr>
          <w:p>
            <w:pPr>
              <w:spacing w:after="0" w:line="240" w:lineRule="auto"/>
              <w:jc w:val="center"/>
            </w:pPr>
            <w:r/>
            <w:r>
              <w:rPr>
                <w:sz w:val="18"/>
              </w:rPr>
              <w:t>2</w:t>
            </w:r>
          </w:p>
        </w:tc>
        <w:tc>
          <w:tcPr>
            <w:tcW w:type="dxa" w:w="1224"/>
          </w:tcPr>
          <w:p>
            <w:pPr>
              <w:spacing w:after="0" w:line="240" w:lineRule="auto"/>
              <w:jc w:val="center"/>
            </w:pPr>
            <w:r/>
            <w:r>
              <w:rPr>
                <w:sz w:val="18"/>
              </w:rPr>
              <w:t>3</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0</w:t>
            </w:r>
          </w:p>
        </w:tc>
        <w:tc>
          <w:tcPr>
            <w:tcW w:type="dxa" w:w="1224"/>
          </w:tcPr>
          <w:p>
            <w:pPr>
              <w:spacing w:after="0" w:line="240" w:lineRule="auto"/>
              <w:jc w:val="center"/>
            </w:pPr>
            <w:r/>
            <w:r>
              <w:rPr>
                <w:sz w:val="18"/>
              </w:rPr>
              <w:t>2</w:t>
            </w:r>
          </w:p>
        </w:tc>
        <w:tc>
          <w:tcPr>
            <w:tcW w:type="dxa" w:w="1080"/>
          </w:tcPr>
          <w:p>
            <w:pPr>
              <w:spacing w:after="0" w:line="240" w:lineRule="auto"/>
              <w:jc w:val="center"/>
            </w:pPr>
            <w:r/>
            <w:r>
              <w:rPr>
                <w:sz w:val="18"/>
              </w:rPr>
              <w:t>8</w:t>
            </w:r>
          </w:p>
        </w:tc>
      </w:tr>
      <w:tr>
        <w:tc>
          <w:tcPr>
            <w:tcW w:type="dxa" w:w="1872"/>
          </w:tcPr>
          <w:p>
            <w:pPr>
              <w:spacing w:after="0" w:line="240" w:lineRule="auto"/>
            </w:pPr>
            <w:r/>
            <w:r>
              <w:rPr>
                <w:sz w:val="18"/>
              </w:rPr>
              <w:t>2019</w:t>
            </w:r>
          </w:p>
        </w:tc>
        <w:tc>
          <w:tcPr>
            <w:tcW w:type="dxa" w:w="1224"/>
          </w:tcPr>
          <w:p>
            <w:pPr>
              <w:spacing w:after="0" w:line="240" w:lineRule="auto"/>
              <w:jc w:val="center"/>
            </w:pPr>
            <w:r/>
            <w:r>
              <w:rPr>
                <w:sz w:val="18"/>
              </w:rPr>
              <w:t>1</w:t>
            </w:r>
          </w:p>
        </w:tc>
        <w:tc>
          <w:tcPr>
            <w:tcW w:type="dxa" w:w="1224"/>
          </w:tcPr>
          <w:p>
            <w:pPr>
              <w:spacing w:after="0" w:line="240" w:lineRule="auto"/>
              <w:jc w:val="center"/>
            </w:pPr>
            <w:r/>
            <w:r>
              <w:rPr>
                <w:sz w:val="18"/>
              </w:rPr>
              <w:t>2</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9</w:t>
            </w:r>
          </w:p>
        </w:tc>
        <w:tc>
          <w:tcPr>
            <w:tcW w:type="dxa" w:w="1224"/>
          </w:tcPr>
          <w:p>
            <w:pPr>
              <w:spacing w:after="0" w:line="240" w:lineRule="auto"/>
              <w:jc w:val="center"/>
            </w:pPr>
            <w:r/>
            <w:r>
              <w:rPr>
                <w:sz w:val="18"/>
              </w:rPr>
              <w:t>18</w:t>
            </w:r>
          </w:p>
        </w:tc>
        <w:tc>
          <w:tcPr>
            <w:tcW w:type="dxa" w:w="1080"/>
          </w:tcPr>
          <w:p>
            <w:pPr>
              <w:spacing w:after="0" w:line="240" w:lineRule="auto"/>
              <w:jc w:val="center"/>
            </w:pPr>
            <w:r/>
            <w:r>
              <w:rPr>
                <w:sz w:val="18"/>
              </w:rPr>
              <w:t>30</w:t>
            </w:r>
          </w:p>
        </w:tc>
      </w:tr>
      <w:tr>
        <w:tc>
          <w:tcPr>
            <w:tcW w:type="dxa" w:w="1872"/>
          </w:tcPr>
          <w:p>
            <w:pPr>
              <w:spacing w:after="0" w:line="240" w:lineRule="auto"/>
            </w:pPr>
            <w:r/>
            <w:r>
              <w:rPr>
                <w:sz w:val="18"/>
              </w:rPr>
              <w:t>2020</w:t>
            </w:r>
          </w:p>
        </w:tc>
        <w:tc>
          <w:tcPr>
            <w:tcW w:type="dxa" w:w="1224"/>
          </w:tcPr>
          <w:p>
            <w:pPr>
              <w:spacing w:after="0" w:line="240" w:lineRule="auto"/>
              <w:jc w:val="center"/>
            </w:pPr>
            <w:r/>
            <w:r>
              <w:rPr>
                <w:sz w:val="18"/>
              </w:rPr>
              <w:t>3</w:t>
            </w:r>
          </w:p>
        </w:tc>
        <w:tc>
          <w:tcPr>
            <w:tcW w:type="dxa" w:w="1224"/>
          </w:tcPr>
          <w:p>
            <w:pPr>
              <w:spacing w:after="0" w:line="240" w:lineRule="auto"/>
              <w:jc w:val="center"/>
            </w:pPr>
            <w:r/>
            <w:r>
              <w:rPr>
                <w:sz w:val="18"/>
              </w:rPr>
              <w:t>5</w:t>
            </w:r>
          </w:p>
        </w:tc>
        <w:tc>
          <w:tcPr>
            <w:tcW w:type="dxa" w:w="1296"/>
          </w:tcPr>
          <w:p>
            <w:pPr>
              <w:spacing w:after="0" w:line="240" w:lineRule="auto"/>
              <w:jc w:val="center"/>
            </w:pPr>
            <w:r/>
            <w:r>
              <w:rPr>
                <w:sz w:val="18"/>
              </w:rPr>
              <w:t>1</w:t>
            </w:r>
          </w:p>
        </w:tc>
        <w:tc>
          <w:tcPr>
            <w:tcW w:type="dxa" w:w="1296"/>
          </w:tcPr>
          <w:p>
            <w:pPr>
              <w:spacing w:after="0" w:line="240" w:lineRule="auto"/>
              <w:jc w:val="center"/>
            </w:pPr>
            <w:r/>
            <w:r>
              <w:rPr>
                <w:sz w:val="18"/>
              </w:rPr>
              <w:t>34</w:t>
            </w:r>
          </w:p>
        </w:tc>
        <w:tc>
          <w:tcPr>
            <w:tcW w:type="dxa" w:w="1224"/>
          </w:tcPr>
          <w:p>
            <w:pPr>
              <w:spacing w:after="0" w:line="240" w:lineRule="auto"/>
              <w:jc w:val="center"/>
            </w:pPr>
            <w:r/>
            <w:r>
              <w:rPr>
                <w:sz w:val="18"/>
              </w:rPr>
              <w:t>47</w:t>
            </w:r>
          </w:p>
        </w:tc>
        <w:tc>
          <w:tcPr>
            <w:tcW w:type="dxa" w:w="1080"/>
          </w:tcPr>
          <w:p>
            <w:pPr>
              <w:spacing w:after="0" w:line="240" w:lineRule="auto"/>
              <w:jc w:val="center"/>
            </w:pPr>
            <w:r/>
            <w:r>
              <w:rPr>
                <w:sz w:val="18"/>
              </w:rPr>
              <w:t>90</w:t>
            </w:r>
          </w:p>
        </w:tc>
      </w:tr>
      <w:tr>
        <w:tc>
          <w:tcPr>
            <w:tcW w:type="dxa" w:w="1872"/>
          </w:tcPr>
          <w:p>
            <w:pPr>
              <w:spacing w:after="0" w:line="240" w:lineRule="auto"/>
            </w:pPr>
            <w:r/>
            <w:r>
              <w:rPr>
                <w:sz w:val="18"/>
              </w:rPr>
              <w:t>2021</w:t>
            </w:r>
          </w:p>
        </w:tc>
        <w:tc>
          <w:tcPr>
            <w:tcW w:type="dxa" w:w="1224"/>
          </w:tcPr>
          <w:p>
            <w:pPr>
              <w:spacing w:after="0" w:line="240" w:lineRule="auto"/>
              <w:jc w:val="center"/>
            </w:pPr>
            <w:r/>
            <w:r>
              <w:rPr>
                <w:sz w:val="18"/>
              </w:rPr>
              <w:t>6</w:t>
            </w:r>
          </w:p>
        </w:tc>
        <w:tc>
          <w:tcPr>
            <w:tcW w:type="dxa" w:w="1224"/>
          </w:tcPr>
          <w:p>
            <w:pPr>
              <w:spacing w:after="0" w:line="240" w:lineRule="auto"/>
              <w:jc w:val="center"/>
            </w:pPr>
            <w:r/>
            <w:r>
              <w:rPr>
                <w:sz w:val="18"/>
              </w:rPr>
              <w:t>96</w:t>
            </w:r>
          </w:p>
        </w:tc>
        <w:tc>
          <w:tcPr>
            <w:tcW w:type="dxa" w:w="1296"/>
          </w:tcPr>
          <w:p>
            <w:pPr>
              <w:spacing w:after="0" w:line="240" w:lineRule="auto"/>
              <w:jc w:val="center"/>
            </w:pPr>
            <w:r/>
            <w:r>
              <w:rPr>
                <w:sz w:val="18"/>
              </w:rPr>
              <w:t>5</w:t>
            </w:r>
          </w:p>
        </w:tc>
        <w:tc>
          <w:tcPr>
            <w:tcW w:type="dxa" w:w="1296"/>
          </w:tcPr>
          <w:p>
            <w:pPr>
              <w:spacing w:after="0" w:line="240" w:lineRule="auto"/>
              <w:jc w:val="center"/>
            </w:pPr>
            <w:r/>
            <w:r>
              <w:rPr>
                <w:sz w:val="18"/>
              </w:rPr>
              <w:t>3</w:t>
            </w:r>
          </w:p>
        </w:tc>
        <w:tc>
          <w:tcPr>
            <w:tcW w:type="dxa" w:w="1224"/>
          </w:tcPr>
          <w:p>
            <w:pPr>
              <w:spacing w:after="0" w:line="240" w:lineRule="auto"/>
              <w:jc w:val="center"/>
            </w:pPr>
            <w:r/>
            <w:r>
              <w:rPr>
                <w:sz w:val="18"/>
              </w:rPr>
              <w:t>31</w:t>
            </w:r>
          </w:p>
        </w:tc>
        <w:tc>
          <w:tcPr>
            <w:tcW w:type="dxa" w:w="1080"/>
          </w:tcPr>
          <w:p>
            <w:pPr>
              <w:spacing w:after="0" w:line="240" w:lineRule="auto"/>
              <w:jc w:val="center"/>
            </w:pPr>
            <w:r/>
            <w:r>
              <w:rPr>
                <w:sz w:val="18"/>
              </w:rPr>
              <w:t>141</w:t>
            </w:r>
          </w:p>
        </w:tc>
      </w:tr>
      <w:tr>
        <w:tc>
          <w:tcPr>
            <w:tcW w:type="dxa" w:w="1872"/>
          </w:tcPr>
          <w:p>
            <w:pPr>
              <w:spacing w:after="0" w:line="240" w:lineRule="auto"/>
            </w:pPr>
            <w:r/>
            <w:r>
              <w:rPr>
                <w:sz w:val="18"/>
              </w:rPr>
              <w:t>2022</w:t>
            </w:r>
          </w:p>
        </w:tc>
        <w:tc>
          <w:tcPr>
            <w:tcW w:type="dxa" w:w="1224"/>
          </w:tcPr>
          <w:p>
            <w:pPr>
              <w:spacing w:after="0" w:line="240" w:lineRule="auto"/>
              <w:jc w:val="center"/>
            </w:pPr>
            <w:r/>
            <w:r>
              <w:rPr>
                <w:sz w:val="18"/>
              </w:rPr>
              <w:t>13</w:t>
            </w:r>
          </w:p>
        </w:tc>
        <w:tc>
          <w:tcPr>
            <w:tcW w:type="dxa" w:w="1224"/>
          </w:tcPr>
          <w:p>
            <w:pPr>
              <w:spacing w:after="0" w:line="240" w:lineRule="auto"/>
              <w:jc w:val="center"/>
            </w:pPr>
            <w:r/>
            <w:r>
              <w:rPr>
                <w:sz w:val="18"/>
              </w:rPr>
              <w:t>193</w:t>
            </w:r>
          </w:p>
        </w:tc>
        <w:tc>
          <w:tcPr>
            <w:tcW w:type="dxa" w:w="1296"/>
          </w:tcPr>
          <w:p>
            <w:pPr>
              <w:spacing w:after="0" w:line="240" w:lineRule="auto"/>
              <w:jc w:val="center"/>
            </w:pPr>
            <w:r/>
            <w:r>
              <w:rPr>
                <w:sz w:val="18"/>
              </w:rPr>
              <w:t>4</w:t>
            </w:r>
          </w:p>
        </w:tc>
        <w:tc>
          <w:tcPr>
            <w:tcW w:type="dxa" w:w="1296"/>
          </w:tcPr>
          <w:p>
            <w:pPr>
              <w:spacing w:after="0" w:line="240" w:lineRule="auto"/>
              <w:jc w:val="center"/>
            </w:pPr>
            <w:r/>
            <w:r>
              <w:rPr>
                <w:sz w:val="18"/>
              </w:rPr>
              <w:t>1</w:t>
            </w:r>
          </w:p>
        </w:tc>
        <w:tc>
          <w:tcPr>
            <w:tcW w:type="dxa" w:w="1224"/>
          </w:tcPr>
          <w:p>
            <w:pPr>
              <w:spacing w:after="0" w:line="240" w:lineRule="auto"/>
              <w:jc w:val="center"/>
            </w:pPr>
            <w:r/>
            <w:r>
              <w:rPr>
                <w:sz w:val="18"/>
              </w:rPr>
              <w:t>26</w:t>
            </w:r>
          </w:p>
        </w:tc>
        <w:tc>
          <w:tcPr>
            <w:tcW w:type="dxa" w:w="1080"/>
          </w:tcPr>
          <w:p>
            <w:pPr>
              <w:spacing w:after="0" w:line="240" w:lineRule="auto"/>
              <w:jc w:val="center"/>
            </w:pPr>
            <w:r/>
            <w:r>
              <w:rPr>
                <w:sz w:val="18"/>
              </w:rPr>
              <w:t>237</w:t>
            </w:r>
          </w:p>
        </w:tc>
      </w:tr>
      <w:tr>
        <w:tc>
          <w:tcPr>
            <w:tcW w:type="dxa" w:w="1872"/>
          </w:tcPr>
          <w:p>
            <w:pPr>
              <w:spacing w:after="0" w:line="240" w:lineRule="auto"/>
            </w:pPr>
            <w:r/>
            <w:r>
              <w:rPr>
                <w:sz w:val="18"/>
              </w:rPr>
              <w:t>2023</w:t>
            </w:r>
          </w:p>
        </w:tc>
        <w:tc>
          <w:tcPr>
            <w:tcW w:type="dxa" w:w="1224"/>
          </w:tcPr>
          <w:p>
            <w:pPr>
              <w:spacing w:after="0" w:line="240" w:lineRule="auto"/>
              <w:jc w:val="center"/>
            </w:pPr>
            <w:r/>
            <w:r>
              <w:rPr>
                <w:sz w:val="18"/>
              </w:rPr>
              <w:t>8</w:t>
            </w:r>
          </w:p>
        </w:tc>
        <w:tc>
          <w:tcPr>
            <w:tcW w:type="dxa" w:w="1224"/>
          </w:tcPr>
          <w:p>
            <w:pPr>
              <w:spacing w:after="0" w:line="240" w:lineRule="auto"/>
              <w:jc w:val="center"/>
            </w:pPr>
            <w:r/>
            <w:r>
              <w:rPr>
                <w:sz w:val="18"/>
              </w:rPr>
              <w:t>83</w:t>
            </w:r>
          </w:p>
        </w:tc>
        <w:tc>
          <w:tcPr>
            <w:tcW w:type="dxa" w:w="1296"/>
          </w:tcPr>
          <w:p>
            <w:pPr>
              <w:spacing w:after="0" w:line="240" w:lineRule="auto"/>
              <w:jc w:val="center"/>
            </w:pPr>
            <w:r/>
            <w:r>
              <w:rPr>
                <w:sz w:val="18"/>
              </w:rPr>
              <w:t>0</w:t>
            </w:r>
          </w:p>
        </w:tc>
        <w:tc>
          <w:tcPr>
            <w:tcW w:type="dxa" w:w="1296"/>
          </w:tcPr>
          <w:p>
            <w:pPr>
              <w:spacing w:after="0" w:line="240" w:lineRule="auto"/>
              <w:jc w:val="center"/>
            </w:pPr>
            <w:r/>
            <w:r>
              <w:rPr>
                <w:sz w:val="18"/>
              </w:rPr>
              <w:t>2</w:t>
            </w:r>
          </w:p>
        </w:tc>
        <w:tc>
          <w:tcPr>
            <w:tcW w:type="dxa" w:w="1224"/>
          </w:tcPr>
          <w:p>
            <w:pPr>
              <w:spacing w:after="0" w:line="240" w:lineRule="auto"/>
              <w:jc w:val="center"/>
            </w:pPr>
            <w:r/>
            <w:r>
              <w:rPr>
                <w:sz w:val="18"/>
              </w:rPr>
              <w:t>16</w:t>
            </w:r>
          </w:p>
        </w:tc>
        <w:tc>
          <w:tcPr>
            <w:tcW w:type="dxa" w:w="1080"/>
          </w:tcPr>
          <w:p>
            <w:pPr>
              <w:spacing w:after="0" w:line="240" w:lineRule="auto"/>
              <w:jc w:val="center"/>
            </w:pPr>
            <w:r/>
            <w:r>
              <w:rPr>
                <w:sz w:val="18"/>
              </w:rPr>
              <w:t>109</w:t>
            </w:r>
          </w:p>
        </w:tc>
      </w:tr>
      <w:t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0"/>
      </w:pPr>
      <w:r>
        <w:rPr>
          <w:sz w:val="20"/>
        </w:rPr>
        <w:t>Firms first scored in 2014 are excluded because they have no pre-coverage year.</w:t>
      </w:r>
    </w:p>
    <w:p>
      <w:pPr>
        <w:spacing w:line="240" w:lineRule="auto" w:after="40" w:before="0"/>
      </w:pPr>
      <w:r>
        <w:rPr>
          <w:sz w:val="20"/>
        </w:rPr>
        <w:t>Source: Authors' calculations from LSEG ESG scores.</w:t>
      </w:r>
    </w:p>
    <w:p>
      <w:r>
        <w:br w:type="page"/>
      </w:r>
    </w:p>
    <w:p>
      <w:pPr>
        <w:spacing w:line="240" w:lineRule="auto" w:after="120" w:before="0"/>
      </w:pPr>
      <w:r>
        <w:rPr>
          <w:b/>
        </w:rPr>
        <w:t>Fig. S1</w:t>
      </w:r>
      <w:r>
        <w:t xml:space="preserve"> </w:t>
      </w:r>
      <w:r>
        <w:rPr/>
        <w:t>Number of non-financial firms by year of first LSEG ESG score</w:t>
      </w: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760720" cy="3360420"/>
                    </a:xfrm>
                    <a:prstGeom prst="rect"/>
                  </pic:spPr>
                </pic:pic>
              </a:graphicData>
            </a:graphic>
          </wp:inline>
        </w:drawing>
      </w:r>
    </w:p>
    <w:p>
      <w:pPr>
        <w:spacing w:line="240" w:lineRule="auto" w:after="40" w:before="0"/>
      </w:pPr>
      <w:r>
        <w:rPr>
          <w:sz w:val="20"/>
        </w:rPr>
        <w:t>Bars show the number of firms in the estimation sample first scored in each year, all five markets combined.</w:t>
      </w:r>
    </w:p>
    <w:p>
      <w:pPr>
        <w:spacing w:line="240" w:lineRule="auto" w:after="40" w:before="0"/>
      </w:pPr>
      <w:r>
        <w:rPr>
          <w:sz w:val="20"/>
        </w:rPr>
        <w:t>Source: Authors' calculations from LSEG ESG scores.</w:t>
      </w:r>
    </w:p>
    <w:p>
      <w:r>
        <w:br w:type="page"/>
      </w:r>
    </w:p>
    <w:p>
      <w:pPr>
        <w:spacing w:line="240" w:lineRule="auto" w:after="120" w:before="0"/>
      </w:pPr>
      <w:r>
        <w:rPr>
          <w:b/>
        </w:rPr>
        <w:t>Table S3</w:t>
      </w:r>
      <w:r>
        <w:t xml:space="preserve"> </w:t>
      </w:r>
      <w:r>
        <w:rPr/>
        <w:t>Estimates of the average effect of the first LSEG ESG score by market</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1728"/>
        <w:gridCol w:w="1584"/>
        <w:gridCol w:w="1584"/>
        <w:gridCol w:w="1584"/>
        <w:gridCol w:w="1584"/>
        <w:gridCol w:w="1296"/>
      </w:tblGrid>
      <w:tr>
        <w:tc>
          <w:tcPr>
            <w:tcW w:type="dxa" w:w="1728"/>
            <w:tcBorders>
              <w:top w:val="single" w:sz="6" w:color="000000"/>
              <w:bottom w:val="single" w:sz="6" w:color="000000"/>
            </w:tcBorders>
          </w:tcPr>
          <w:p>
            <w:pPr>
              <w:spacing w:after="0" w:line="240" w:lineRule="auto"/>
            </w:pPr>
            <w:r/>
            <w:r>
              <w:rPr>
                <w:b/>
                <w:sz w:val="18"/>
              </w:rPr>
              <w:t>Market</w:t>
            </w:r>
          </w:p>
        </w:tc>
        <w:tc>
          <w:tcPr>
            <w:tcW w:type="dxa" w:w="1584"/>
            <w:tcBorders>
              <w:top w:val="single" w:sz="6" w:color="000000"/>
              <w:bottom w:val="single" w:sz="6" w:color="000000"/>
            </w:tcBorders>
          </w:tcPr>
          <w:p>
            <w:pPr>
              <w:spacing w:after="0" w:line="240" w:lineRule="auto"/>
              <w:jc w:val="center"/>
            </w:pPr>
            <w:r/>
            <w:r>
              <w:rPr>
                <w:b/>
                <w:sz w:val="18"/>
              </w:rPr>
              <w:t>ln(MTB)</w:t>
            </w:r>
          </w:p>
        </w:tc>
        <w:tc>
          <w:tcPr>
            <w:tcW w:type="dxa" w:w="1584"/>
            <w:tcBorders>
              <w:top w:val="single" w:sz="6" w:color="000000"/>
              <w:bottom w:val="single" w:sz="6" w:color="000000"/>
            </w:tcBorders>
          </w:tcPr>
          <w:p>
            <w:pPr>
              <w:spacing w:after="0" w:line="240" w:lineRule="auto"/>
              <w:jc w:val="center"/>
            </w:pPr>
            <w:r/>
            <w:r>
              <w:rPr>
                <w:b/>
                <w:sz w:val="18"/>
              </w:rPr>
              <w:t>ln(market cap)</w:t>
            </w:r>
          </w:p>
        </w:tc>
        <w:tc>
          <w:tcPr>
            <w:tcW w:type="dxa" w:w="1584"/>
            <w:tcBorders>
              <w:top w:val="single" w:sz="6" w:color="000000"/>
              <w:bottom w:val="single" w:sz="6" w:color="000000"/>
            </w:tcBorders>
          </w:tcPr>
          <w:p>
            <w:pPr>
              <w:spacing w:after="0" w:line="240" w:lineRule="auto"/>
              <w:jc w:val="center"/>
            </w:pPr>
            <w:r/>
            <w:r>
              <w:rPr>
                <w:b/>
                <w:sz w:val="18"/>
              </w:rPr>
              <w:t>Leverage (ratio)</w:t>
            </w:r>
          </w:p>
        </w:tc>
        <w:tc>
          <w:tcPr>
            <w:tcW w:type="dxa" w:w="1584"/>
            <w:tcBorders>
              <w:top w:val="single" w:sz="6" w:color="000000"/>
              <w:bottom w:val="single" w:sz="6" w:color="000000"/>
            </w:tcBorders>
          </w:tcPr>
          <w:p>
            <w:pPr>
              <w:spacing w:after="0" w:line="240" w:lineRule="auto"/>
              <w:jc w:val="center"/>
            </w:pPr>
            <w:r/>
            <w:r>
              <w:rPr>
                <w:b/>
                <w:sz w:val="18"/>
              </w:rPr>
              <w:t>ln(assets)</w:t>
            </w:r>
          </w:p>
        </w:tc>
        <w:tc>
          <w:tcPr>
            <w:tcW w:type="dxa" w:w="1296"/>
            <w:tcBorders>
              <w:top w:val="single" w:sz="6" w:color="000000"/>
              <w:bottom w:val="single" w:sz="6" w:color="000000"/>
            </w:tcBorders>
          </w:tcPr>
          <w:p>
            <w:pPr>
              <w:spacing w:after="0" w:line="240" w:lineRule="auto"/>
              <w:jc w:val="center"/>
            </w:pPr>
            <w:r/>
            <w:r>
              <w:rPr>
                <w:b/>
                <w:sz w:val="18"/>
              </w:rPr>
              <w:t>Scored firms</w:t>
            </w:r>
          </w:p>
        </w:tc>
      </w:tr>
      <w:tr>
        <w:tc>
          <w:tcPr>
            <w:tcW w:type="dxa" w:w="1728"/>
          </w:tcPr>
          <w:p>
            <w:pPr>
              <w:spacing w:after="0" w:line="240" w:lineRule="auto"/>
            </w:pPr>
            <w:r/>
            <w:r>
              <w:rPr>
                <w:sz w:val="18"/>
              </w:rPr>
              <w:t>Indonesia</w:t>
            </w:r>
          </w:p>
        </w:tc>
        <w:tc>
          <w:tcPr>
            <w:tcW w:type="dxa" w:w="1584"/>
          </w:tcPr>
          <w:p>
            <w:pPr>
              <w:spacing w:after="0" w:line="240" w:lineRule="auto"/>
              <w:jc w:val="center"/>
            </w:pPr>
            <w:r/>
            <w:r>
              <w:rPr>
                <w:sz w:val="18"/>
              </w:rPr>
              <w:t>0.054 (0.128)</w:t>
            </w:r>
          </w:p>
        </w:tc>
        <w:tc>
          <w:tcPr>
            <w:tcW w:type="dxa" w:w="1584"/>
          </w:tcPr>
          <w:p>
            <w:pPr>
              <w:spacing w:after="0" w:line="240" w:lineRule="auto"/>
              <w:jc w:val="center"/>
            </w:pPr>
            <w:r/>
            <w:r>
              <w:rPr>
                <w:sz w:val="18"/>
              </w:rPr>
              <w:t>−0.018 (0.109)</w:t>
            </w:r>
          </w:p>
        </w:tc>
        <w:tc>
          <w:tcPr>
            <w:tcW w:type="dxa" w:w="1584"/>
          </w:tcPr>
          <w:p>
            <w:pPr>
              <w:spacing w:after="0" w:line="240" w:lineRule="auto"/>
              <w:jc w:val="center"/>
            </w:pPr>
            <w:r/>
            <w:r>
              <w:rPr>
                <w:sz w:val="18"/>
              </w:rPr>
              <w:t>0.023 (0.018)</w:t>
            </w:r>
          </w:p>
        </w:tc>
        <w:tc>
          <w:tcPr>
            <w:tcW w:type="dxa" w:w="1584"/>
          </w:tcPr>
          <w:p>
            <w:pPr>
              <w:spacing w:after="0" w:line="240" w:lineRule="auto"/>
              <w:jc w:val="center"/>
            </w:pPr>
            <w:r/>
            <w:r>
              <w:rPr>
                <w:sz w:val="18"/>
              </w:rPr>
              <w:t>0.123* (0.070)</w:t>
            </w:r>
          </w:p>
        </w:tc>
        <w:tc>
          <w:tcPr>
            <w:tcW w:type="dxa" w:w="1296"/>
          </w:tcPr>
          <w:p>
            <w:pPr>
              <w:spacing w:after="0" w:line="240" w:lineRule="auto"/>
              <w:jc w:val="center"/>
            </w:pPr>
            <w:r/>
            <w:r>
              <w:rPr>
                <w:sz w:val="18"/>
              </w:rPr>
              <w:t>39</w:t>
            </w:r>
          </w:p>
        </w:tc>
      </w:tr>
      <w:tr>
        <w:tc>
          <w:tcPr>
            <w:tcW w:type="dxa" w:w="1728"/>
          </w:tcPr>
          <w:p>
            <w:pPr>
              <w:spacing w:after="0" w:line="240" w:lineRule="auto"/>
            </w:pPr>
            <w:r/>
            <w:r>
              <w:rPr>
                <w:sz w:val="18"/>
              </w:rPr>
              <w:t>Malaysia</w:t>
            </w:r>
          </w:p>
        </w:tc>
        <w:tc>
          <w:tcPr>
            <w:tcW w:type="dxa" w:w="1584"/>
          </w:tcPr>
          <w:p>
            <w:pPr>
              <w:spacing w:after="0" w:line="240" w:lineRule="auto"/>
              <w:jc w:val="center"/>
            </w:pPr>
            <w:r/>
            <w:r>
              <w:rPr>
                <w:sz w:val="18"/>
              </w:rPr>
              <w:t>0.009 (0.033)</w:t>
            </w:r>
          </w:p>
        </w:tc>
        <w:tc>
          <w:tcPr>
            <w:tcW w:type="dxa" w:w="1584"/>
          </w:tcPr>
          <w:p>
            <w:pPr>
              <w:spacing w:after="0" w:line="240" w:lineRule="auto"/>
              <w:jc w:val="center"/>
            </w:pPr>
            <w:r/>
            <w:r>
              <w:rPr>
                <w:sz w:val="18"/>
              </w:rPr>
              <w:t>−0.114** (0.048)</w:t>
            </w:r>
          </w:p>
        </w:tc>
        <w:tc>
          <w:tcPr>
            <w:tcW w:type="dxa" w:w="1584"/>
          </w:tcPr>
          <w:p>
            <w:pPr>
              <w:spacing w:after="0" w:line="240" w:lineRule="auto"/>
              <w:jc w:val="center"/>
            </w:pPr>
            <w:r/>
            <w:r>
              <w:rPr>
                <w:sz w:val="18"/>
              </w:rPr>
              <w:t>0.002 (0.006)</w:t>
            </w:r>
          </w:p>
        </w:tc>
        <w:tc>
          <w:tcPr>
            <w:tcW w:type="dxa" w:w="1584"/>
          </w:tcPr>
          <w:p>
            <w:pPr>
              <w:spacing w:after="0" w:line="240" w:lineRule="auto"/>
              <w:jc w:val="center"/>
            </w:pPr>
            <w:r/>
            <w:r>
              <w:rPr>
                <w:sz w:val="18"/>
              </w:rPr>
              <w:t>0.033 (0.024)</w:t>
            </w:r>
          </w:p>
        </w:tc>
        <w:tc>
          <w:tcPr>
            <w:tcW w:type="dxa" w:w="1296"/>
          </w:tcPr>
          <w:p>
            <w:pPr>
              <w:spacing w:after="0" w:line="240" w:lineRule="auto"/>
              <w:jc w:val="center"/>
            </w:pPr>
            <w:r/>
            <w:r>
              <w:rPr>
                <w:sz w:val="18"/>
              </w:rPr>
              <w:t>372</w:t>
            </w:r>
          </w:p>
        </w:tc>
      </w:tr>
      <w:tr>
        <w:tc>
          <w:tcPr>
            <w:tcW w:type="dxa" w:w="1728"/>
          </w:tcPr>
          <w:p>
            <w:pPr>
              <w:spacing w:after="0" w:line="240" w:lineRule="auto"/>
            </w:pPr>
            <w:r/>
            <w:r>
              <w:rPr>
                <w:sz w:val="18"/>
              </w:rPr>
              <w:t>Philippines</w:t>
            </w:r>
          </w:p>
        </w:tc>
        <w:tc>
          <w:tcPr>
            <w:tcW w:type="dxa" w:w="1584"/>
          </w:tcPr>
          <w:p>
            <w:pPr>
              <w:spacing w:after="0" w:line="240" w:lineRule="auto"/>
              <w:jc w:val="center"/>
            </w:pPr>
            <w:r/>
            <w:r>
              <w:rPr>
                <w:sz w:val="18"/>
              </w:rPr>
              <w:t>−0.006 (0.109)</w:t>
            </w:r>
          </w:p>
        </w:tc>
        <w:tc>
          <w:tcPr>
            <w:tcW w:type="dxa" w:w="1584"/>
          </w:tcPr>
          <w:p>
            <w:pPr>
              <w:spacing w:after="0" w:line="240" w:lineRule="auto"/>
              <w:jc w:val="center"/>
            </w:pPr>
            <w:r/>
            <w:r>
              <w:rPr>
                <w:sz w:val="18"/>
              </w:rPr>
              <w:t>0.101 (0.128)</w:t>
            </w:r>
          </w:p>
        </w:tc>
        <w:tc>
          <w:tcPr>
            <w:tcW w:type="dxa" w:w="1584"/>
          </w:tcPr>
          <w:p>
            <w:pPr>
              <w:spacing w:after="0" w:line="240" w:lineRule="auto"/>
              <w:jc w:val="center"/>
            </w:pPr>
            <w:r/>
            <w:r>
              <w:rPr>
                <w:sz w:val="18"/>
              </w:rPr>
              <w:t>0.041 (0.028)</w:t>
            </w:r>
          </w:p>
        </w:tc>
        <w:tc>
          <w:tcPr>
            <w:tcW w:type="dxa" w:w="1584"/>
          </w:tcPr>
          <w:p>
            <w:pPr>
              <w:spacing w:after="0" w:line="240" w:lineRule="auto"/>
              <w:jc w:val="center"/>
            </w:pPr>
            <w:r/>
            <w:r>
              <w:rPr>
                <w:sz w:val="18"/>
              </w:rPr>
              <w:t>0.025 (0.079)</w:t>
            </w:r>
          </w:p>
        </w:tc>
        <w:tc>
          <w:tcPr>
            <w:tcW w:type="dxa" w:w="1296"/>
          </w:tcPr>
          <w:p>
            <w:pPr>
              <w:spacing w:after="0" w:line="240" w:lineRule="auto"/>
              <w:jc w:val="center"/>
            </w:pPr>
            <w:r/>
            <w:r>
              <w:rPr>
                <w:sz w:val="18"/>
              </w:rPr>
              <w:t>14</w:t>
            </w:r>
          </w:p>
        </w:tc>
      </w:tr>
      <w:tr>
        <w:tc>
          <w:tcPr>
            <w:tcW w:type="dxa" w:w="1728"/>
          </w:tcPr>
          <w:p>
            <w:pPr>
              <w:spacing w:after="0" w:line="240" w:lineRule="auto"/>
            </w:pPr>
            <w:r/>
            <w:r>
              <w:rPr>
                <w:sz w:val="18"/>
              </w:rPr>
              <w:t>Singapore</w:t>
            </w:r>
          </w:p>
        </w:tc>
        <w:tc>
          <w:tcPr>
            <w:tcW w:type="dxa" w:w="1584"/>
          </w:tcPr>
          <w:p>
            <w:pPr>
              <w:spacing w:after="0" w:line="240" w:lineRule="auto"/>
              <w:jc w:val="center"/>
            </w:pPr>
            <w:r/>
            <w:r>
              <w:rPr>
                <w:sz w:val="18"/>
              </w:rPr>
              <w:t>−0.037 (0.073)</w:t>
            </w:r>
          </w:p>
        </w:tc>
        <w:tc>
          <w:tcPr>
            <w:tcW w:type="dxa" w:w="1584"/>
          </w:tcPr>
          <w:p>
            <w:pPr>
              <w:spacing w:after="0" w:line="240" w:lineRule="auto"/>
              <w:jc w:val="center"/>
            </w:pPr>
            <w:r/>
            <w:r>
              <w:rPr>
                <w:sz w:val="18"/>
              </w:rPr>
              <w:t>0.143* (0.087)</w:t>
            </w:r>
          </w:p>
        </w:tc>
        <w:tc>
          <w:tcPr>
            <w:tcW w:type="dxa" w:w="1584"/>
          </w:tcPr>
          <w:p>
            <w:pPr>
              <w:spacing w:after="0" w:line="240" w:lineRule="auto"/>
              <w:jc w:val="center"/>
            </w:pPr>
            <w:r/>
            <w:r>
              <w:rPr>
                <w:sz w:val="18"/>
              </w:rPr>
              <w:t>0.048** (0.020)</w:t>
            </w:r>
          </w:p>
        </w:tc>
        <w:tc>
          <w:tcPr>
            <w:tcW w:type="dxa" w:w="1584"/>
          </w:tcPr>
          <w:p>
            <w:pPr>
              <w:spacing w:after="0" w:line="240" w:lineRule="auto"/>
              <w:jc w:val="center"/>
            </w:pPr>
            <w:r/>
            <w:r>
              <w:rPr>
                <w:sz w:val="18"/>
              </w:rPr>
              <w:t>0.013 (0.084)</w:t>
            </w:r>
          </w:p>
        </w:tc>
        <w:tc>
          <w:tcPr>
            <w:tcW w:type="dxa" w:w="1296"/>
          </w:tcPr>
          <w:p>
            <w:pPr>
              <w:spacing w:after="0" w:line="240" w:lineRule="auto"/>
              <w:jc w:val="center"/>
            </w:pPr>
            <w:r/>
            <w:r>
              <w:rPr>
                <w:sz w:val="18"/>
              </w:rPr>
              <w:t>46</w:t>
            </w:r>
          </w:p>
        </w:tc>
      </w:tr>
      <w:tr>
        <w:tc>
          <w:tcPr>
            <w:tcW w:type="dxa" w:w="1728"/>
            <w:tcBorders>
              <w:bottom w:val="single" w:sz="6" w:color="000000"/>
            </w:tcBorders>
          </w:tcPr>
          <w:p>
            <w:pPr>
              <w:spacing w:after="0" w:line="240" w:lineRule="auto"/>
            </w:pPr>
            <w:r/>
            <w:r>
              <w:rPr>
                <w:sz w:val="18"/>
              </w:rPr>
              <w:t>Thailand</w:t>
            </w:r>
          </w:p>
        </w:tc>
        <w:tc>
          <w:tcPr>
            <w:tcW w:type="dxa" w:w="1584"/>
            <w:tcBorders>
              <w:bottom w:val="single" w:sz="6" w:color="000000"/>
            </w:tcBorders>
          </w:tcPr>
          <w:p>
            <w:pPr>
              <w:spacing w:after="0" w:line="240" w:lineRule="auto"/>
              <w:jc w:val="center"/>
            </w:pPr>
            <w:r/>
            <w:r>
              <w:rPr>
                <w:sz w:val="18"/>
              </w:rPr>
              <w:t>0.027 (0.047)</w:t>
            </w:r>
          </w:p>
        </w:tc>
        <w:tc>
          <w:tcPr>
            <w:tcW w:type="dxa" w:w="1584"/>
            <w:tcBorders>
              <w:bottom w:val="single" w:sz="6" w:color="000000"/>
            </w:tcBorders>
          </w:tcPr>
          <w:p>
            <w:pPr>
              <w:spacing w:after="0" w:line="240" w:lineRule="auto"/>
              <w:jc w:val="center"/>
            </w:pPr>
            <w:r/>
            <w:r>
              <w:rPr>
                <w:sz w:val="18"/>
              </w:rPr>
              <w:t>0.059 (0.059)</w:t>
            </w:r>
          </w:p>
        </w:tc>
        <w:tc>
          <w:tcPr>
            <w:tcW w:type="dxa" w:w="1584"/>
            <w:tcBorders>
              <w:bottom w:val="single" w:sz="6" w:color="000000"/>
            </w:tcBorders>
          </w:tcPr>
          <w:p>
            <w:pPr>
              <w:spacing w:after="0" w:line="240" w:lineRule="auto"/>
              <w:jc w:val="center"/>
            </w:pPr>
            <w:r/>
            <w:r>
              <w:rPr>
                <w:sz w:val="18"/>
              </w:rPr>
              <w:t>0.025* (0.013)</w:t>
            </w:r>
          </w:p>
        </w:tc>
        <w:tc>
          <w:tcPr>
            <w:tcW w:type="dxa" w:w="1584"/>
            <w:tcBorders>
              <w:bottom w:val="single" w:sz="6" w:color="000000"/>
            </w:tcBorders>
          </w:tcPr>
          <w:p>
            <w:pPr>
              <w:spacing w:after="0" w:line="240" w:lineRule="auto"/>
              <w:jc w:val="center"/>
            </w:pPr>
            <w:r/>
            <w:r>
              <w:rPr>
                <w:sz w:val="18"/>
              </w:rPr>
              <w:t>0.017 (0.040)</w:t>
            </w:r>
          </w:p>
        </w:tc>
        <w:tc>
          <w:tcPr>
            <w:tcW w:type="dxa" w:w="1296"/>
            <w:tcBorders>
              <w:bottom w:val="single" w:sz="6" w:color="000000"/>
            </w:tcBorders>
          </w:tcPr>
          <w:p>
            <w:pPr>
              <w:spacing w:after="0" w:line="240" w:lineRule="auto"/>
              <w:jc w:val="center"/>
            </w:pPr>
            <w:r/>
            <w:r>
              <w:rPr>
                <w:sz w:val="18"/>
              </w:rPr>
              <w:t>157</w:t>
            </w:r>
          </w:p>
        </w:tc>
      </w:tr>
    </w:tbl>
    <w:p>
      <w:pPr>
        <w:spacing w:line="240" w:lineRule="auto" w:after="40" w:before="0"/>
      </w:pPr>
      <w:r>
        <w:rPr>
          <w:sz w:val="20"/>
        </w:rPr>
        <w:t>Cells show the average effect over event years 0 to 3 estimated within each market, with bootstrap standard errors in parentheses. *, **, and *** denote significance at 10%, 5%, and 1% (unadjusted p-values).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S4</w:t>
      </w:r>
      <w:r>
        <w:t xml:space="preserve"> </w:t>
      </w:r>
      <w:r>
        <w:rPr/>
        <w:t>Firm-years and firms available for each outcome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448"/>
        <w:gridCol w:w="1440"/>
        <w:gridCol w:w="1296"/>
        <w:gridCol w:w="1440"/>
        <w:gridCol w:w="1296"/>
        <w:gridCol w:w="1440"/>
      </w:tblGrid>
      <w:tr>
        <w:tc>
          <w:tcPr>
            <w:tcW w:type="dxa" w:w="2448"/>
            <w:tcBorders>
              <w:top w:val="single" w:sz="6" w:color="000000"/>
              <w:bottom w:val="single" w:sz="6" w:color="000000"/>
            </w:tcBorders>
          </w:tcPr>
          <w:p>
            <w:pPr>
              <w:spacing w:after="0" w:line="240" w:lineRule="auto"/>
            </w:pPr>
            <w:r/>
            <w:r>
              <w:rPr>
                <w:b/>
                <w:sz w:val="18"/>
              </w:rPr>
              <w:t>Outcome</w:t>
            </w:r>
          </w:p>
        </w:tc>
        <w:tc>
          <w:tcPr>
            <w:tcW w:type="dxa" w:w="1440"/>
            <w:tcBorders>
              <w:top w:val="single" w:sz="6" w:color="000000"/>
              <w:bottom w:val="single" w:sz="6" w:color="000000"/>
            </w:tcBorders>
          </w:tcPr>
          <w:p>
            <w:pPr>
              <w:spacing w:after="0" w:line="240" w:lineRule="auto"/>
              <w:jc w:val="center"/>
            </w:pPr>
            <w:r/>
            <w:r>
              <w:rPr>
                <w:b/>
                <w:sz w:val="18"/>
              </w:rPr>
              <w:t>Scored firm-years</w:t>
            </w:r>
          </w:p>
        </w:tc>
        <w:tc>
          <w:tcPr>
            <w:tcW w:type="dxa" w:w="1296"/>
            <w:tcBorders>
              <w:top w:val="single" w:sz="6" w:color="000000"/>
              <w:bottom w:val="single" w:sz="6" w:color="000000"/>
            </w:tcBorders>
          </w:tcPr>
          <w:p>
            <w:pPr>
              <w:spacing w:after="0" w:line="240" w:lineRule="auto"/>
              <w:jc w:val="center"/>
            </w:pPr>
            <w:r/>
            <w:r>
              <w:rPr>
                <w:b/>
                <w:sz w:val="18"/>
              </w:rPr>
              <w:t>Scored firms</w:t>
            </w:r>
          </w:p>
        </w:tc>
        <w:tc>
          <w:tcPr>
            <w:tcW w:type="dxa" w:w="1440"/>
            <w:tcBorders>
              <w:top w:val="single" w:sz="6" w:color="000000"/>
              <w:bottom w:val="single" w:sz="6" w:color="000000"/>
            </w:tcBorders>
          </w:tcPr>
          <w:p>
            <w:pPr>
              <w:spacing w:after="0" w:line="240" w:lineRule="auto"/>
              <w:jc w:val="center"/>
            </w:pPr>
            <w:r/>
            <w:r>
              <w:rPr>
                <w:b/>
                <w:sz w:val="18"/>
              </w:rPr>
              <w:t>Never-scored firm-years</w:t>
            </w:r>
          </w:p>
        </w:tc>
        <w:tc>
          <w:tcPr>
            <w:tcW w:type="dxa" w:w="1296"/>
            <w:tcBorders>
              <w:top w:val="single" w:sz="6" w:color="000000"/>
              <w:bottom w:val="single" w:sz="6" w:color="000000"/>
            </w:tcBorders>
          </w:tcPr>
          <w:p>
            <w:pPr>
              <w:spacing w:after="0" w:line="240" w:lineRule="auto"/>
              <w:jc w:val="center"/>
            </w:pPr>
            <w:r/>
            <w:r>
              <w:rPr>
                <w:b/>
                <w:sz w:val="18"/>
              </w:rPr>
              <w:t>Never-scored firms</w:t>
            </w:r>
          </w:p>
        </w:tc>
        <w:tc>
          <w:tcPr>
            <w:tcW w:type="dxa" w:w="1440"/>
            <w:tcBorders>
              <w:top w:val="single" w:sz="6" w:color="000000"/>
              <w:bottom w:val="single" w:sz="6" w:color="000000"/>
            </w:tcBorders>
          </w:tcPr>
          <w:p>
            <w:pPr>
              <w:spacing w:after="0" w:line="240" w:lineRule="auto"/>
              <w:jc w:val="center"/>
            </w:pPr>
            <w:r/>
            <w:r>
              <w:rPr>
                <w:b/>
                <w:sz w:val="18"/>
              </w:rPr>
              <w:t>Share missing</w:t>
            </w:r>
          </w:p>
        </w:tc>
      </w:tr>
      <w:tr>
        <w:tc>
          <w:tcPr>
            <w:tcW w:type="dxa" w:w="2448"/>
          </w:tcPr>
          <w:p>
            <w:pPr>
              <w:spacing w:after="0" w:line="240" w:lineRule="auto"/>
            </w:pPr>
            <w:r/>
            <w:r>
              <w:rPr>
                <w:sz w:val="18"/>
              </w:rPr>
              <w:t>ln(MTB)</w:t>
            </w:r>
          </w:p>
        </w:tc>
        <w:tc>
          <w:tcPr>
            <w:tcW w:type="dxa" w:w="1440"/>
          </w:tcPr>
          <w:p>
            <w:pPr>
              <w:spacing w:after="0" w:line="240" w:lineRule="auto"/>
              <w:jc w:val="center"/>
            </w:pPr>
            <w:r/>
            <w:r>
              <w:rPr>
                <w:sz w:val="18"/>
              </w:rPr>
              <w:t>6,482</w:t>
            </w:r>
          </w:p>
        </w:tc>
        <w:tc>
          <w:tcPr>
            <w:tcW w:type="dxa" w:w="1296"/>
          </w:tcPr>
          <w:p>
            <w:pPr>
              <w:spacing w:after="0" w:line="240" w:lineRule="auto"/>
              <w:jc w:val="center"/>
            </w:pPr>
            <w:r/>
            <w:r>
              <w:rPr>
                <w:sz w:val="18"/>
              </w:rPr>
              <w:t>674</w:t>
            </w:r>
          </w:p>
        </w:tc>
        <w:tc>
          <w:tcPr>
            <w:tcW w:type="dxa" w:w="1440"/>
          </w:tcPr>
          <w:p>
            <w:pPr>
              <w:spacing w:after="0" w:line="240" w:lineRule="auto"/>
              <w:jc w:val="center"/>
            </w:pPr>
            <w:r/>
            <w:r>
              <w:rPr>
                <w:sz w:val="18"/>
              </w:rPr>
              <w:t>20,706</w:t>
            </w:r>
          </w:p>
        </w:tc>
        <w:tc>
          <w:tcPr>
            <w:tcW w:type="dxa" w:w="1296"/>
          </w:tcPr>
          <w:p>
            <w:pPr>
              <w:spacing w:after="0" w:line="240" w:lineRule="auto"/>
              <w:jc w:val="center"/>
            </w:pPr>
            <w:r/>
            <w:r>
              <w:rPr>
                <w:sz w:val="18"/>
              </w:rPr>
              <w:t>2,552</w:t>
            </w:r>
          </w:p>
        </w:tc>
        <w:tc>
          <w:tcPr>
            <w:tcW w:type="dxa" w:w="1440"/>
          </w:tcPr>
          <w:p>
            <w:pPr>
              <w:spacing w:after="0" w:line="240" w:lineRule="auto"/>
              <w:jc w:val="center"/>
            </w:pPr>
            <w:r/>
            <w:r>
              <w:rPr>
                <w:sz w:val="18"/>
              </w:rPr>
              <w:t>0.248</w:t>
            </w:r>
          </w:p>
        </w:tc>
      </w:tr>
      <w:tr>
        <w:tc>
          <w:tcPr>
            <w:tcW w:type="dxa" w:w="2448"/>
          </w:tcPr>
          <w:p>
            <w:pPr>
              <w:spacing w:after="0" w:line="240" w:lineRule="auto"/>
            </w:pPr>
            <w:r/>
            <w:r>
              <w:rPr>
                <w:sz w:val="18"/>
              </w:rPr>
              <w:t>ln(market cap)</w:t>
            </w:r>
          </w:p>
        </w:tc>
        <w:tc>
          <w:tcPr>
            <w:tcW w:type="dxa" w:w="1440"/>
          </w:tcPr>
          <w:p>
            <w:pPr>
              <w:spacing w:after="0" w:line="240" w:lineRule="auto"/>
              <w:jc w:val="center"/>
            </w:pPr>
            <w:r/>
            <w:r>
              <w:rPr>
                <w:sz w:val="18"/>
              </w:rPr>
              <w:t>6,710</w:t>
            </w:r>
          </w:p>
        </w:tc>
        <w:tc>
          <w:tcPr>
            <w:tcW w:type="dxa" w:w="1296"/>
          </w:tcPr>
          <w:p>
            <w:pPr>
              <w:spacing w:after="0" w:line="240" w:lineRule="auto"/>
              <w:jc w:val="center"/>
            </w:pPr>
            <w:r/>
            <w:r>
              <w:rPr>
                <w:sz w:val="18"/>
              </w:rPr>
              <w:t>675</w:t>
            </w:r>
          </w:p>
        </w:tc>
        <w:tc>
          <w:tcPr>
            <w:tcW w:type="dxa" w:w="1440"/>
          </w:tcPr>
          <w:p>
            <w:pPr>
              <w:spacing w:after="0" w:line="240" w:lineRule="auto"/>
              <w:jc w:val="center"/>
            </w:pPr>
            <w:r/>
            <w:r>
              <w:rPr>
                <w:sz w:val="18"/>
              </w:rPr>
              <w:t>22,417</w:t>
            </w:r>
          </w:p>
        </w:tc>
        <w:tc>
          <w:tcPr>
            <w:tcW w:type="dxa" w:w="1296"/>
          </w:tcPr>
          <w:p>
            <w:pPr>
              <w:spacing w:after="0" w:line="240" w:lineRule="auto"/>
              <w:jc w:val="center"/>
            </w:pPr>
            <w:r/>
            <w:r>
              <w:rPr>
                <w:sz w:val="18"/>
              </w:rPr>
              <w:t>2,576</w:t>
            </w:r>
          </w:p>
        </w:tc>
        <w:tc>
          <w:tcPr>
            <w:tcW w:type="dxa" w:w="1440"/>
          </w:tcPr>
          <w:p>
            <w:pPr>
              <w:spacing w:after="0" w:line="240" w:lineRule="auto"/>
              <w:jc w:val="center"/>
            </w:pPr>
            <w:r/>
            <w:r>
              <w:rPr>
                <w:sz w:val="18"/>
              </w:rPr>
              <w:t>0.195</w:t>
            </w:r>
          </w:p>
        </w:tc>
      </w:tr>
      <w:tr>
        <w:tc>
          <w:tcPr>
            <w:tcW w:type="dxa" w:w="2448"/>
          </w:tcPr>
          <w:p>
            <w:pPr>
              <w:spacing w:after="0" w:line="240" w:lineRule="auto"/>
            </w:pPr>
            <w:r/>
            <w:r>
              <w:rPr>
                <w:sz w:val="18"/>
              </w:rPr>
              <w:t>Leverage (ratio)</w:t>
            </w:r>
          </w:p>
        </w:tc>
        <w:tc>
          <w:tcPr>
            <w:tcW w:type="dxa" w:w="1440"/>
          </w:tcPr>
          <w:p>
            <w:pPr>
              <w:spacing w:after="0" w:line="240" w:lineRule="auto"/>
              <w:jc w:val="center"/>
            </w:pPr>
            <w:r/>
            <w:r>
              <w:rPr>
                <w:sz w:val="18"/>
              </w:rPr>
              <w:t>6,524</w:t>
            </w:r>
          </w:p>
        </w:tc>
        <w:tc>
          <w:tcPr>
            <w:tcW w:type="dxa" w:w="1296"/>
          </w:tcPr>
          <w:p>
            <w:pPr>
              <w:spacing w:after="0" w:line="240" w:lineRule="auto"/>
              <w:jc w:val="center"/>
            </w:pPr>
            <w:r/>
            <w:r>
              <w:rPr>
                <w:sz w:val="18"/>
              </w:rPr>
              <w:t>672</w:t>
            </w:r>
          </w:p>
        </w:tc>
        <w:tc>
          <w:tcPr>
            <w:tcW w:type="dxa" w:w="1440"/>
          </w:tcPr>
          <w:p>
            <w:pPr>
              <w:spacing w:after="0" w:line="240" w:lineRule="auto"/>
              <w:jc w:val="center"/>
            </w:pPr>
            <w:r/>
            <w:r>
              <w:rPr>
                <w:sz w:val="18"/>
              </w:rPr>
              <w:t>22,333</w:t>
            </w:r>
          </w:p>
        </w:tc>
        <w:tc>
          <w:tcPr>
            <w:tcW w:type="dxa" w:w="1296"/>
          </w:tcPr>
          <w:p>
            <w:pPr>
              <w:spacing w:after="0" w:line="240" w:lineRule="auto"/>
              <w:jc w:val="center"/>
            </w:pPr>
            <w:r/>
            <w:r>
              <w:rPr>
                <w:sz w:val="18"/>
              </w:rPr>
              <w:t>2,547</w:t>
            </w:r>
          </w:p>
        </w:tc>
        <w:tc>
          <w:tcPr>
            <w:tcW w:type="dxa" w:w="1440"/>
          </w:tcPr>
          <w:p>
            <w:pPr>
              <w:spacing w:after="0" w:line="240" w:lineRule="auto"/>
              <w:jc w:val="center"/>
            </w:pPr>
            <w:r/>
            <w:r>
              <w:rPr>
                <w:sz w:val="18"/>
              </w:rPr>
              <w:t>0.202</w:t>
            </w:r>
          </w:p>
        </w:tc>
      </w:tr>
      <w:t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spacing w:line="240" w:lineRule="auto" w:after="40" w:before="0"/>
      </w:pPr>
      <w:r>
        <w:rPr>
          <w:sz w:val="20"/>
        </w:rPr>
        <w:t>Counts refer to the estimation sample; the last column is the share of firm-years with a missing outcome.</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S5</w:t>
      </w:r>
      <w:r>
        <w:t xml:space="preserve"> </w:t>
      </w:r>
      <w:r>
        <w:rPr/>
        <w:t>Relative-magnitude bounds for the average effect of the first LSEG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448"/>
        <w:gridCol w:w="864"/>
        <w:gridCol w:w="1728"/>
        <w:gridCol w:w="1296"/>
        <w:gridCol w:w="2304"/>
      </w:tblGrid>
      <w:tr>
        <w:tc>
          <w:tcPr>
            <w:tcW w:type="dxa" w:w="2448"/>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M̄</w:t>
            </w:r>
          </w:p>
        </w:tc>
        <w:tc>
          <w:tcPr>
            <w:tcW w:type="dxa" w:w="1728"/>
            <w:tcBorders>
              <w:top w:val="single" w:sz="6" w:color="000000"/>
              <w:bottom w:val="single" w:sz="6" w:color="000000"/>
            </w:tcBorders>
          </w:tcPr>
          <w:p>
            <w:pPr>
              <w:spacing w:after="0" w:line="240" w:lineRule="auto"/>
              <w:jc w:val="center"/>
            </w:pPr>
            <w:r/>
            <w:r>
              <w:rPr>
                <w:b/>
                <w:sz w:val="18"/>
              </w:rPr>
              <w:t>Max pre-period change</w:t>
            </w:r>
          </w:p>
        </w:tc>
        <w:tc>
          <w:tcPr>
            <w:tcW w:type="dxa" w:w="1296"/>
            <w:tcBorders>
              <w:top w:val="single" w:sz="6" w:color="000000"/>
              <w:bottom w:val="single" w:sz="6" w:color="000000"/>
            </w:tcBorders>
          </w:tcPr>
          <w:p>
            <w:pPr>
              <w:spacing w:after="0" w:line="240" w:lineRule="auto"/>
              <w:jc w:val="center"/>
            </w:pPr>
            <w:r/>
            <w:r>
              <w:rPr>
                <w:b/>
                <w:sz w:val="18"/>
              </w:rPr>
              <w:t>Bias bound</w:t>
            </w:r>
          </w:p>
        </w:tc>
        <w:tc>
          <w:tcPr>
            <w:tcW w:type="dxa" w:w="2304"/>
            <w:tcBorders>
              <w:top w:val="single" w:sz="6" w:color="000000"/>
              <w:bottom w:val="single" w:sz="6" w:color="000000"/>
            </w:tcBorders>
          </w:tcPr>
          <w:p>
            <w:pPr>
              <w:spacing w:after="0" w:line="240" w:lineRule="auto"/>
              <w:jc w:val="center"/>
            </w:pPr>
            <w:r/>
            <w:r>
              <w:rPr>
                <w:b/>
                <w:sz w:val="18"/>
              </w:rPr>
              <w:t>Robust 95% interval</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[−0.046, 0.048]</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0.025</w:t>
            </w:r>
          </w:p>
        </w:tc>
        <w:tc>
          <w:tcPr>
            <w:tcW w:type="dxa" w:w="2304"/>
          </w:tcPr>
          <w:p>
            <w:pPr>
              <w:spacing w:after="0" w:line="240" w:lineRule="auto"/>
              <w:jc w:val="center"/>
            </w:pPr>
            <w:r/>
            <w:r>
              <w:rPr>
                <w:sz w:val="18"/>
              </w:rPr>
              <w:t>[−0.071, 0.073]</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0.050</w:t>
            </w:r>
          </w:p>
        </w:tc>
        <w:tc>
          <w:tcPr>
            <w:tcW w:type="dxa" w:w="2304"/>
          </w:tcPr>
          <w:p>
            <w:pPr>
              <w:spacing w:after="0" w:line="240" w:lineRule="auto"/>
              <w:jc w:val="center"/>
            </w:pPr>
            <w:r/>
            <w:r>
              <w:rPr>
                <w:sz w:val="18"/>
              </w:rPr>
              <w:t>[−0.096, 0.098]</w:t>
            </w:r>
          </w:p>
        </w:tc>
      </w:tr>
      <w:tr>
        <w:tc>
          <w:tcPr>
            <w:tcW w:type="dxa" w:w="2448"/>
          </w:tcPr>
          <w:p>
            <w:pPr>
              <w:spacing w:after="0" w:line="240" w:lineRule="auto"/>
            </w:pPr>
            <w:r/>
            <w:r>
              <w:rPr>
                <w:sz w:val="18"/>
              </w:rPr>
              <w:t>ln(MTB)</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0.046</w:t>
            </w:r>
          </w:p>
        </w:tc>
        <w:tc>
          <w:tcPr>
            <w:tcW w:type="dxa" w:w="1296"/>
          </w:tcPr>
          <w:p>
            <w:pPr>
              <w:spacing w:after="0" w:line="240" w:lineRule="auto"/>
              <w:jc w:val="center"/>
            </w:pPr>
            <w:r/>
            <w:r>
              <w:rPr>
                <w:sz w:val="18"/>
              </w:rPr>
              <w:t>0.101</w:t>
            </w:r>
          </w:p>
        </w:tc>
        <w:tc>
          <w:tcPr>
            <w:tcW w:type="dxa" w:w="2304"/>
          </w:tcPr>
          <w:p>
            <w:pPr>
              <w:spacing w:after="0" w:line="240" w:lineRule="auto"/>
              <w:jc w:val="center"/>
            </w:pPr>
            <w:r/>
            <w:r>
              <w:rPr>
                <w:sz w:val="18"/>
              </w:rPr>
              <w:t>[−0.147, 0.148]</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[−0.109, 0.003]</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0.035</w:t>
            </w:r>
          </w:p>
        </w:tc>
        <w:tc>
          <w:tcPr>
            <w:tcW w:type="dxa" w:w="2304"/>
          </w:tcPr>
          <w:p>
            <w:pPr>
              <w:spacing w:after="0" w:line="240" w:lineRule="auto"/>
              <w:jc w:val="center"/>
            </w:pPr>
            <w:r/>
            <w:r>
              <w:rPr>
                <w:sz w:val="18"/>
              </w:rPr>
              <w:t>[−0.144, 0.038]</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0.070</w:t>
            </w:r>
          </w:p>
        </w:tc>
        <w:tc>
          <w:tcPr>
            <w:tcW w:type="dxa" w:w="2304"/>
          </w:tcPr>
          <w:p>
            <w:pPr>
              <w:spacing w:after="0" w:line="240" w:lineRule="auto"/>
              <w:jc w:val="center"/>
            </w:pPr>
            <w:r/>
            <w:r>
              <w:rPr>
                <w:sz w:val="18"/>
              </w:rPr>
              <w:t>[−0.179, 0.073]</w:t>
            </w:r>
          </w:p>
        </w:tc>
      </w:tr>
      <w:tr>
        <w:tc>
          <w:tcPr>
            <w:tcW w:type="dxa" w:w="2448"/>
          </w:tcPr>
          <w:p>
            <w:pPr>
              <w:spacing w:after="0" w:line="240" w:lineRule="auto"/>
            </w:pPr>
            <w:r/>
            <w:r>
              <w:rPr>
                <w:sz w:val="18"/>
              </w:rPr>
              <w:t>ln(market cap)</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0.063</w:t>
            </w:r>
          </w:p>
        </w:tc>
        <w:tc>
          <w:tcPr>
            <w:tcW w:type="dxa" w:w="1296"/>
          </w:tcPr>
          <w:p>
            <w:pPr>
              <w:spacing w:after="0" w:line="240" w:lineRule="auto"/>
              <w:jc w:val="center"/>
            </w:pPr>
            <w:r/>
            <w:r>
              <w:rPr>
                <w:sz w:val="18"/>
              </w:rPr>
              <w:t>0.140</w:t>
            </w:r>
          </w:p>
        </w:tc>
        <w:tc>
          <w:tcPr>
            <w:tcW w:type="dxa" w:w="2304"/>
          </w:tcPr>
          <w:p>
            <w:pPr>
              <w:spacing w:after="0" w:line="240" w:lineRule="auto"/>
              <w:jc w:val="center"/>
            </w:pPr>
            <w:r/>
            <w:r>
              <w:rPr>
                <w:sz w:val="18"/>
              </w:rPr>
              <w:t>[−0.249, 0.143]</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[−0.001, 0.018]</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0.007</w:t>
            </w:r>
          </w:p>
        </w:tc>
        <w:tc>
          <w:tcPr>
            <w:tcW w:type="dxa" w:w="2304"/>
          </w:tcPr>
          <w:p>
            <w:pPr>
              <w:spacing w:after="0" w:line="240" w:lineRule="auto"/>
              <w:jc w:val="center"/>
            </w:pPr>
            <w:r/>
            <w:r>
              <w:rPr>
                <w:sz w:val="18"/>
              </w:rPr>
              <w:t>[−0.007, 0.025]</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0.013</w:t>
            </w:r>
          </w:p>
        </w:tc>
        <w:tc>
          <w:tcPr>
            <w:tcW w:type="dxa" w:w="2304"/>
          </w:tcPr>
          <w:p>
            <w:pPr>
              <w:spacing w:after="0" w:line="240" w:lineRule="auto"/>
              <w:jc w:val="center"/>
            </w:pPr>
            <w:r/>
            <w:r>
              <w:rPr>
                <w:sz w:val="18"/>
              </w:rPr>
              <w:t>[−0.014, 0.031]</w:t>
            </w:r>
          </w:p>
        </w:tc>
      </w:tr>
      <w:tr>
        <w:tc>
          <w:tcPr>
            <w:tcW w:type="dxa" w:w="2448"/>
          </w:tcPr>
          <w:p>
            <w:pPr>
              <w:spacing w:after="0" w:line="240" w:lineRule="auto"/>
            </w:pPr>
            <w:r/>
            <w:r>
              <w:rPr>
                <w:sz w:val="18"/>
              </w:rPr>
              <w:t>Leverage (ratio)</w:t>
            </w:r>
          </w:p>
        </w:tc>
        <w:tc>
          <w:tcPr>
            <w:tcW w:type="dxa" w:w="864"/>
          </w:tcPr>
          <w:p>
            <w:pPr>
              <w:spacing w:after="0" w:line="240" w:lineRule="auto"/>
              <w:jc w:val="center"/>
            </w:pPr>
            <w:r/>
            <w:r>
              <w:rPr>
                <w:sz w:val="18"/>
              </w:rPr>
              <w:t>1.00</w:t>
            </w:r>
          </w:p>
        </w:tc>
        <w:tc>
          <w:tcPr>
            <w:tcW w:type="dxa" w:w="1728"/>
          </w:tcPr>
          <w:p>
            <w:pPr>
              <w:spacing w:after="0" w:line="240" w:lineRule="auto"/>
              <w:jc w:val="center"/>
            </w:pPr>
            <w:r/>
            <w:r>
              <w:rPr>
                <w:sz w:val="18"/>
              </w:rPr>
              <w:t>0.012</w:t>
            </w:r>
          </w:p>
        </w:tc>
        <w:tc>
          <w:tcPr>
            <w:tcW w:type="dxa" w:w="1296"/>
          </w:tcPr>
          <w:p>
            <w:pPr>
              <w:spacing w:after="0" w:line="240" w:lineRule="auto"/>
              <w:jc w:val="center"/>
            </w:pPr>
            <w:r/>
            <w:r>
              <w:rPr>
                <w:sz w:val="18"/>
              </w:rPr>
              <w:t>0.026</w:t>
            </w:r>
          </w:p>
        </w:tc>
        <w:tc>
          <w:tcPr>
            <w:tcW w:type="dxa" w:w="2304"/>
          </w:tcPr>
          <w:p>
            <w:pPr>
              <w:spacing w:after="0" w:line="240" w:lineRule="auto"/>
              <w:jc w:val="center"/>
            </w:pPr>
            <w:r/>
            <w:r>
              <w:rPr>
                <w:sz w:val="18"/>
              </w:rPr>
              <w:t>[−0.027, 0.044]</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0.00</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0.000</w:t>
            </w:r>
          </w:p>
        </w:tc>
        <w:tc>
          <w:tcPr>
            <w:tcW w:type="dxa" w:w="2304"/>
          </w:tcPr>
          <w:p>
            <w:pPr>
              <w:spacing w:after="0" w:line="240" w:lineRule="auto"/>
              <w:jc w:val="center"/>
            </w:pPr>
            <w:r/>
            <w:r>
              <w:rPr>
                <w:sz w:val="18"/>
              </w:rPr>
              <w:t>[0.007, 0.081]</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0.25</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0.020</w:t>
            </w:r>
          </w:p>
        </w:tc>
        <w:tc>
          <w:tcPr>
            <w:tcW w:type="dxa" w:w="2304"/>
          </w:tcPr>
          <w:p>
            <w:pPr>
              <w:spacing w:after="0" w:line="240" w:lineRule="auto"/>
              <w:jc w:val="center"/>
            </w:pPr>
            <w:r/>
            <w:r>
              <w:rPr>
                <w:sz w:val="18"/>
              </w:rPr>
              <w:t>[−0.012, 0.101]</w:t>
            </w:r>
          </w:p>
        </w:tc>
      </w:tr>
      <w:tr>
        <w:tc>
          <w:tcPr>
            <w:tcW w:type="dxa" w:w="2448"/>
          </w:tcPr>
          <w:p>
            <w:pPr>
              <w:spacing w:after="0" w:line="240" w:lineRule="auto"/>
            </w:pPr>
            <w:r/>
            <w:r>
              <w:rPr>
                <w:sz w:val="18"/>
              </w:rPr>
              <w:t>ln(assets)</w:t>
            </w:r>
          </w:p>
        </w:tc>
        <w:tc>
          <w:tcPr>
            <w:tcW w:type="dxa" w:w="864"/>
          </w:tcPr>
          <w:p>
            <w:pPr>
              <w:spacing w:after="0" w:line="240" w:lineRule="auto"/>
              <w:jc w:val="center"/>
            </w:pPr>
            <w:r/>
            <w:r>
              <w:rPr>
                <w:sz w:val="18"/>
              </w:rPr>
              <w:t>0.50</w:t>
            </w:r>
          </w:p>
        </w:tc>
        <w:tc>
          <w:tcPr>
            <w:tcW w:type="dxa" w:w="1728"/>
          </w:tcPr>
          <w:p>
            <w:pPr>
              <w:spacing w:after="0" w:line="240" w:lineRule="auto"/>
              <w:jc w:val="center"/>
            </w:pPr>
            <w:r/>
            <w:r>
              <w:rPr>
                <w:sz w:val="18"/>
              </w:rPr>
              <w:t>0.035</w:t>
            </w:r>
          </w:p>
        </w:tc>
        <w:tc>
          <w:tcPr>
            <w:tcW w:type="dxa" w:w="1296"/>
          </w:tcPr>
          <w:p>
            <w:pPr>
              <w:spacing w:after="0" w:line="240" w:lineRule="auto"/>
              <w:jc w:val="center"/>
            </w:pPr>
            <w:r/>
            <w:r>
              <w:rPr>
                <w:sz w:val="18"/>
              </w:rPr>
              <w:t>0.039</w:t>
            </w:r>
          </w:p>
        </w:tc>
        <w:tc>
          <w:tcPr>
            <w:tcW w:type="dxa" w:w="2304"/>
          </w:tcPr>
          <w:p>
            <w:pPr>
              <w:spacing w:after="0" w:line="240" w:lineRule="auto"/>
              <w:jc w:val="center"/>
            </w:pPr>
            <w:r/>
            <w:r>
              <w:rPr>
                <w:sz w:val="18"/>
              </w:rPr>
              <w:t>[−0.032, 0.120]</w:t>
            </w:r>
          </w:p>
        </w:tc>
      </w:tr>
      <w:t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0"/>
      </w:pPr>
      <w:r>
        <w:rPr>
          <w:sz w:val="20"/>
        </w:rPr>
        <w:t>The bias bound is M̄ times the largest change between consecutive pre-coverage estimates times the weighted mean of (e + 1) over event years 0 to 3 (Eq. 10). The robust interval widens the bootstrap 95% interval by this bound.</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S6</w:t>
      </w:r>
      <w:r>
        <w:t xml:space="preserve"> </w:t>
      </w:r>
      <w:r>
        <w:rPr/>
        <w:t>Scored firms and control firms by event year for ln(MTB)</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1728"/>
        <w:gridCol w:w="1872"/>
        <w:gridCol w:w="1584"/>
        <w:gridCol w:w="3168"/>
      </w:tblGrid>
      <w:tr>
        <w:tc>
          <w:tcPr>
            <w:tcW w:type="dxa" w:w="1728"/>
            <w:tcBorders>
              <w:top w:val="single" w:sz="6" w:color="000000"/>
              <w:bottom w:val="single" w:sz="6" w:color="000000"/>
            </w:tcBorders>
          </w:tcPr>
          <w:p>
            <w:pPr>
              <w:spacing w:after="0" w:line="240" w:lineRule="auto"/>
            </w:pPr>
            <w:r/>
            <w:r>
              <w:rPr>
                <w:b/>
                <w:sz w:val="18"/>
              </w:rPr>
              <w:t>Event year</w:t>
            </w:r>
          </w:p>
        </w:tc>
        <w:tc>
          <w:tcPr>
            <w:tcW w:type="dxa" w:w="1872"/>
            <w:tcBorders>
              <w:top w:val="single" w:sz="6" w:color="000000"/>
              <w:bottom w:val="single" w:sz="6" w:color="000000"/>
            </w:tcBorders>
          </w:tcPr>
          <w:p>
            <w:pPr>
              <w:spacing w:after="0" w:line="240" w:lineRule="auto"/>
              <w:jc w:val="center"/>
            </w:pPr>
            <w:r/>
            <w:r>
              <w:rPr>
                <w:b/>
                <w:sz w:val="18"/>
              </w:rPr>
              <w:t>Scored firms</w:t>
            </w:r>
          </w:p>
        </w:tc>
        <w:tc>
          <w:tcPr>
            <w:tcW w:type="dxa" w:w="1584"/>
            <w:tcBorders>
              <w:top w:val="single" w:sz="6" w:color="000000"/>
              <w:bottom w:val="single" w:sz="6" w:color="000000"/>
            </w:tcBorders>
          </w:tcPr>
          <w:p>
            <w:pPr>
              <w:spacing w:after="0" w:line="240" w:lineRule="auto"/>
              <w:jc w:val="center"/>
            </w:pPr>
            <w:r/>
            <w:r>
              <w:rPr>
                <w:b/>
                <w:sz w:val="18"/>
              </w:rPr>
              <w:t>Cohorts</w:t>
            </w:r>
          </w:p>
        </w:tc>
        <w:tc>
          <w:tcPr>
            <w:tcW w:type="dxa" w:w="3168"/>
            <w:tcBorders>
              <w:top w:val="single" w:sz="6" w:color="000000"/>
              <w:bottom w:val="single" w:sz="6" w:color="000000"/>
            </w:tcBorders>
          </w:tcPr>
          <w:p>
            <w:pPr>
              <w:spacing w:after="0" w:line="240" w:lineRule="auto"/>
              <w:jc w:val="center"/>
            </w:pPr>
            <w:r/>
            <w:r>
              <w:rPr>
                <w:b/>
                <w:sz w:val="18"/>
              </w:rPr>
              <w:t>Control firms (range)</w:t>
            </w:r>
          </w:p>
        </w:tc>
      </w:tr>
      <w:tr>
        <w:tc>
          <w:tcPr>
            <w:tcW w:type="dxa" w:w="1728"/>
          </w:tcPr>
          <w:p>
            <w:pPr>
              <w:spacing w:after="0" w:line="240" w:lineRule="auto"/>
            </w:pPr>
            <w:r/>
            <w:r>
              <w:rPr>
                <w:sz w:val="18"/>
              </w:rPr>
              <w:t>−5</w:t>
            </w:r>
          </w:p>
        </w:tc>
        <w:tc>
          <w:tcPr>
            <w:tcW w:type="dxa" w:w="1872"/>
          </w:tcPr>
          <w:p>
            <w:pPr>
              <w:spacing w:after="0" w:line="240" w:lineRule="auto"/>
              <w:jc w:val="center"/>
            </w:pPr>
            <w:r/>
            <w:r>
              <w:rPr>
                <w:sz w:val="18"/>
              </w:rPr>
              <w:t>497</w:t>
            </w:r>
          </w:p>
        </w:tc>
        <w:tc>
          <w:tcPr>
            <w:tcW w:type="dxa" w:w="1584"/>
          </w:tcPr>
          <w:p>
            <w:pPr>
              <w:spacing w:after="0" w:line="240" w:lineRule="auto"/>
              <w:jc w:val="center"/>
            </w:pPr>
            <w:r/>
            <w:r>
              <w:rPr>
                <w:sz w:val="18"/>
              </w:rPr>
              <w:t>6</w:t>
            </w:r>
          </w:p>
        </w:tc>
        <w:tc>
          <w:tcPr>
            <w:tcW w:type="dxa" w:w="3168"/>
          </w:tcPr>
          <w:p>
            <w:pPr>
              <w:spacing w:after="0" w:line="240" w:lineRule="auto"/>
              <w:jc w:val="center"/>
            </w:pPr>
            <w:r/>
            <w:r>
              <w:rPr>
                <w:sz w:val="18"/>
              </w:rPr>
              <w:t>1,420–1,732</w:t>
            </w:r>
          </w:p>
        </w:tc>
      </w:tr>
      <w:tr>
        <w:tc>
          <w:tcPr>
            <w:tcW w:type="dxa" w:w="1728"/>
          </w:tcPr>
          <w:p>
            <w:pPr>
              <w:spacing w:after="0" w:line="240" w:lineRule="auto"/>
            </w:pPr>
            <w:r/>
            <w:r>
              <w:rPr>
                <w:sz w:val="18"/>
              </w:rPr>
              <w:t>−4</w:t>
            </w:r>
          </w:p>
        </w:tc>
        <w:tc>
          <w:tcPr>
            <w:tcW w:type="dxa" w:w="1872"/>
          </w:tcPr>
          <w:p>
            <w:pPr>
              <w:spacing w:after="0" w:line="240" w:lineRule="auto"/>
              <w:jc w:val="center"/>
            </w:pPr>
            <w:r/>
            <w:r>
              <w:rPr>
                <w:sz w:val="18"/>
              </w:rPr>
              <w:t>521</w:t>
            </w:r>
          </w:p>
        </w:tc>
        <w:tc>
          <w:tcPr>
            <w:tcW w:type="dxa" w:w="1584"/>
          </w:tcPr>
          <w:p>
            <w:pPr>
              <w:spacing w:after="0" w:line="240" w:lineRule="auto"/>
              <w:jc w:val="center"/>
            </w:pPr>
            <w:r/>
            <w:r>
              <w:rPr>
                <w:sz w:val="18"/>
              </w:rPr>
              <w:t>7</w:t>
            </w:r>
          </w:p>
        </w:tc>
        <w:tc>
          <w:tcPr>
            <w:tcW w:type="dxa" w:w="3168"/>
          </w:tcPr>
          <w:p>
            <w:pPr>
              <w:spacing w:after="0" w:line="240" w:lineRule="auto"/>
              <w:jc w:val="center"/>
            </w:pPr>
            <w:r/>
            <w:r>
              <w:rPr>
                <w:sz w:val="18"/>
              </w:rPr>
              <w:t>1,431–1,800</w:t>
            </w:r>
          </w:p>
        </w:tc>
      </w:tr>
      <w:tr>
        <w:tc>
          <w:tcPr>
            <w:tcW w:type="dxa" w:w="1728"/>
          </w:tcPr>
          <w:p>
            <w:pPr>
              <w:spacing w:after="0" w:line="240" w:lineRule="auto"/>
            </w:pPr>
            <w:r/>
            <w:r>
              <w:rPr>
                <w:sz w:val="18"/>
              </w:rPr>
              <w:t>−3</w:t>
            </w:r>
          </w:p>
        </w:tc>
        <w:tc>
          <w:tcPr>
            <w:tcW w:type="dxa" w:w="1872"/>
          </w:tcPr>
          <w:p>
            <w:pPr>
              <w:spacing w:after="0" w:line="240" w:lineRule="auto"/>
              <w:jc w:val="center"/>
            </w:pPr>
            <w:r/>
            <w:r>
              <w:rPr>
                <w:sz w:val="18"/>
              </w:rPr>
              <w:t>549</w:t>
            </w:r>
          </w:p>
        </w:tc>
        <w:tc>
          <w:tcPr>
            <w:tcW w:type="dxa" w:w="1584"/>
          </w:tcPr>
          <w:p>
            <w:pPr>
              <w:spacing w:after="0" w:line="240" w:lineRule="auto"/>
              <w:jc w:val="center"/>
            </w:pPr>
            <w:r/>
            <w:r>
              <w:rPr>
                <w:sz w:val="18"/>
              </w:rPr>
              <w:t>8</w:t>
            </w:r>
          </w:p>
        </w:tc>
        <w:tc>
          <w:tcPr>
            <w:tcW w:type="dxa" w:w="3168"/>
          </w:tcPr>
          <w:p>
            <w:pPr>
              <w:spacing w:after="0" w:line="240" w:lineRule="auto"/>
              <w:jc w:val="center"/>
            </w:pPr>
            <w:r/>
            <w:r>
              <w:rPr>
                <w:sz w:val="18"/>
              </w:rPr>
              <w:t>1,444–1,899</w:t>
            </w:r>
          </w:p>
        </w:tc>
      </w:tr>
      <w:tr>
        <w:tc>
          <w:tcPr>
            <w:tcW w:type="dxa" w:w="1728"/>
          </w:tcPr>
          <w:p>
            <w:pPr>
              <w:spacing w:after="0" w:line="240" w:lineRule="auto"/>
            </w:pPr>
            <w:r/>
            <w:r>
              <w:rPr>
                <w:sz w:val="18"/>
              </w:rPr>
              <w:t>−2</w:t>
            </w:r>
          </w:p>
        </w:tc>
        <w:tc>
          <w:tcPr>
            <w:tcW w:type="dxa" w:w="1872"/>
          </w:tcPr>
          <w:p>
            <w:pPr>
              <w:spacing w:after="0" w:line="240" w:lineRule="auto"/>
              <w:jc w:val="center"/>
            </w:pPr>
            <w:r/>
            <w:r>
              <w:rPr>
                <w:sz w:val="18"/>
              </w:rPr>
              <w:t>581</w:t>
            </w:r>
          </w:p>
        </w:tc>
        <w:tc>
          <w:tcPr>
            <w:tcW w:type="dxa" w:w="1584"/>
          </w:tcPr>
          <w:p>
            <w:pPr>
              <w:spacing w:after="0" w:line="240" w:lineRule="auto"/>
              <w:jc w:val="center"/>
            </w:pPr>
            <w:r/>
            <w:r>
              <w:rPr>
                <w:sz w:val="18"/>
              </w:rPr>
              <w:t>9</w:t>
            </w:r>
          </w:p>
        </w:tc>
        <w:tc>
          <w:tcPr>
            <w:tcW w:type="dxa" w:w="3168"/>
          </w:tcPr>
          <w:p>
            <w:pPr>
              <w:spacing w:after="0" w:line="240" w:lineRule="auto"/>
              <w:jc w:val="center"/>
            </w:pPr>
            <w:r/>
            <w:r>
              <w:rPr>
                <w:sz w:val="18"/>
              </w:rPr>
              <w:t>1,455–2,065</w:t>
            </w:r>
          </w:p>
        </w:tc>
      </w:tr>
      <w:tr>
        <w:tc>
          <w:tcPr>
            <w:tcW w:type="dxa" w:w="1728"/>
          </w:tcPr>
          <w:p>
            <w:pPr>
              <w:spacing w:after="0" w:line="240" w:lineRule="auto"/>
            </w:pPr>
            <w:r/>
            <w:r>
              <w:rPr>
                <w:sz w:val="18"/>
              </w:rPr>
              <w:t>0</w:t>
            </w:r>
          </w:p>
        </w:tc>
        <w:tc>
          <w:tcPr>
            <w:tcW w:type="dxa" w:w="1872"/>
          </w:tcPr>
          <w:p>
            <w:pPr>
              <w:spacing w:after="0" w:line="240" w:lineRule="auto"/>
              <w:jc w:val="center"/>
            </w:pPr>
            <w:r/>
            <w:r>
              <w:rPr>
                <w:sz w:val="18"/>
              </w:rPr>
              <w:t>615</w:t>
            </w:r>
          </w:p>
        </w:tc>
        <w:tc>
          <w:tcPr>
            <w:tcW w:type="dxa" w:w="1584"/>
          </w:tcPr>
          <w:p>
            <w:pPr>
              <w:spacing w:after="0" w:line="240" w:lineRule="auto"/>
              <w:jc w:val="center"/>
            </w:pPr>
            <w:r/>
            <w:r>
              <w:rPr>
                <w:sz w:val="18"/>
              </w:rPr>
              <w:t>10</w:t>
            </w:r>
          </w:p>
        </w:tc>
        <w:tc>
          <w:tcPr>
            <w:tcW w:type="dxa" w:w="3168"/>
          </w:tcPr>
          <w:p>
            <w:pPr>
              <w:spacing w:after="0" w:line="240" w:lineRule="auto"/>
              <w:jc w:val="center"/>
            </w:pPr>
            <w:r/>
            <w:r>
              <w:rPr>
                <w:sz w:val="18"/>
              </w:rPr>
              <w:t>1,453–2,189</w:t>
            </w:r>
          </w:p>
        </w:tc>
      </w:tr>
      <w:tr>
        <w:tc>
          <w:tcPr>
            <w:tcW w:type="dxa" w:w="1728"/>
          </w:tcPr>
          <w:p>
            <w:pPr>
              <w:spacing w:after="0" w:line="240" w:lineRule="auto"/>
            </w:pPr>
            <w:r/>
            <w:r>
              <w:rPr>
                <w:sz w:val="18"/>
              </w:rPr>
              <w:t>1</w:t>
            </w:r>
          </w:p>
        </w:tc>
        <w:tc>
          <w:tcPr>
            <w:tcW w:type="dxa" w:w="1872"/>
          </w:tcPr>
          <w:p>
            <w:pPr>
              <w:spacing w:after="0" w:line="240" w:lineRule="auto"/>
              <w:jc w:val="center"/>
            </w:pPr>
            <w:r/>
            <w:r>
              <w:rPr>
                <w:sz w:val="18"/>
              </w:rPr>
              <w:t>578</w:t>
            </w:r>
          </w:p>
        </w:tc>
        <w:tc>
          <w:tcPr>
            <w:tcW w:type="dxa" w:w="1584"/>
          </w:tcPr>
          <w:p>
            <w:pPr>
              <w:spacing w:after="0" w:line="240" w:lineRule="auto"/>
              <w:jc w:val="center"/>
            </w:pPr>
            <w:r/>
            <w:r>
              <w:rPr>
                <w:sz w:val="18"/>
              </w:rPr>
              <w:t>9</w:t>
            </w:r>
          </w:p>
        </w:tc>
        <w:tc>
          <w:tcPr>
            <w:tcW w:type="dxa" w:w="3168"/>
          </w:tcPr>
          <w:p>
            <w:pPr>
              <w:spacing w:after="0" w:line="240" w:lineRule="auto"/>
              <w:jc w:val="center"/>
            </w:pPr>
            <w:r/>
            <w:r>
              <w:rPr>
                <w:sz w:val="18"/>
              </w:rPr>
              <w:t>1,442–2,034</w:t>
            </w:r>
          </w:p>
        </w:tc>
      </w:tr>
      <w:tr>
        <w:tc>
          <w:tcPr>
            <w:tcW w:type="dxa" w:w="1728"/>
          </w:tcPr>
          <w:p>
            <w:pPr>
              <w:spacing w:after="0" w:line="240" w:lineRule="auto"/>
            </w:pPr>
            <w:r/>
            <w:r>
              <w:rPr>
                <w:sz w:val="18"/>
              </w:rPr>
              <w:t>2</w:t>
            </w:r>
          </w:p>
        </w:tc>
        <w:tc>
          <w:tcPr>
            <w:tcW w:type="dxa" w:w="1872"/>
          </w:tcPr>
          <w:p>
            <w:pPr>
              <w:spacing w:after="0" w:line="240" w:lineRule="auto"/>
              <w:jc w:val="center"/>
            </w:pPr>
            <w:r/>
            <w:r>
              <w:rPr>
                <w:sz w:val="18"/>
              </w:rPr>
              <w:t>483</w:t>
            </w:r>
          </w:p>
        </w:tc>
        <w:tc>
          <w:tcPr>
            <w:tcW w:type="dxa" w:w="1584"/>
          </w:tcPr>
          <w:p>
            <w:pPr>
              <w:spacing w:after="0" w:line="240" w:lineRule="auto"/>
              <w:jc w:val="center"/>
            </w:pPr>
            <w:r/>
            <w:r>
              <w:rPr>
                <w:sz w:val="18"/>
              </w:rPr>
              <w:t>8</w:t>
            </w:r>
          </w:p>
        </w:tc>
        <w:tc>
          <w:tcPr>
            <w:tcW w:type="dxa" w:w="3168"/>
          </w:tcPr>
          <w:p>
            <w:pPr>
              <w:spacing w:after="0" w:line="240" w:lineRule="auto"/>
              <w:jc w:val="center"/>
            </w:pPr>
            <w:r/>
            <w:r>
              <w:rPr>
                <w:sz w:val="18"/>
              </w:rPr>
              <w:t>1,430–1,895</w:t>
            </w:r>
          </w:p>
        </w:tc>
      </w:tr>
      <w:tr>
        <w:tc>
          <w:tcPr>
            <w:tcW w:type="dxa" w:w="1728"/>
          </w:tcPr>
          <w:p>
            <w:pPr>
              <w:spacing w:after="0" w:line="240" w:lineRule="auto"/>
            </w:pPr>
            <w:r/>
            <w:r>
              <w:rPr>
                <w:sz w:val="18"/>
              </w:rPr>
              <w:t>3</w:t>
            </w:r>
          </w:p>
        </w:tc>
        <w:tc>
          <w:tcPr>
            <w:tcW w:type="dxa" w:w="1872"/>
          </w:tcPr>
          <w:p>
            <w:pPr>
              <w:spacing w:after="0" w:line="240" w:lineRule="auto"/>
              <w:jc w:val="center"/>
            </w:pPr>
            <w:r/>
            <w:r>
              <w:rPr>
                <w:sz w:val="18"/>
              </w:rPr>
              <w:t>270</w:t>
            </w:r>
          </w:p>
        </w:tc>
        <w:tc>
          <w:tcPr>
            <w:tcW w:type="dxa" w:w="1584"/>
          </w:tcPr>
          <w:p>
            <w:pPr>
              <w:spacing w:after="0" w:line="240" w:lineRule="auto"/>
              <w:jc w:val="center"/>
            </w:pPr>
            <w:r/>
            <w:r>
              <w:rPr>
                <w:sz w:val="18"/>
              </w:rPr>
              <w:t>7</w:t>
            </w:r>
          </w:p>
        </w:tc>
        <w:tc>
          <w:tcPr>
            <w:tcW w:type="dxa" w:w="3168"/>
          </w:tcPr>
          <w:p>
            <w:pPr>
              <w:spacing w:after="0" w:line="240" w:lineRule="auto"/>
              <w:jc w:val="center"/>
            </w:pPr>
            <w:r/>
            <w:r>
              <w:rPr>
                <w:sz w:val="18"/>
              </w:rPr>
              <w:t>1,418–1,796</w:t>
            </w:r>
          </w:p>
        </w:tc>
      </w:tr>
      <w:t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0"/>
      </w:pPr>
      <w:r>
        <w:rPr>
          <w:sz w:val="20"/>
        </w:rPr>
        <w:t>Scored firms are summed over cohorts; control firms are the smallest and largest number of never-scored firms across cohort cells.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S7</w:t>
      </w:r>
      <w:r>
        <w:t xml:space="preserve"> </w:t>
      </w:r>
      <w:r>
        <w:rPr/>
        <w:t>Alternative specifications, inference, and initial-score splits for the average effect of the first LSEG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3311"/>
        <w:gridCol w:w="1584"/>
        <w:gridCol w:w="1080"/>
        <w:gridCol w:w="1584"/>
        <w:gridCol w:w="1080"/>
      </w:tblGrid>
      <w:tr>
        <w:tc>
          <w:tcPr>
            <w:tcW w:type="dxa" w:w="3312"/>
            <w:tcBorders>
              <w:top w:val="single" w:sz="6" w:color="000000"/>
              <w:bottom w:val="single" w:sz="6" w:color="000000"/>
            </w:tcBorders>
          </w:tcPr>
          <w:p>
            <w:pPr>
              <w:spacing w:after="0" w:line="240" w:lineRule="auto"/>
            </w:pPr>
            <w:r/>
            <w:r>
              <w:rPr>
                <w:b/>
                <w:sz w:val="18"/>
              </w:rPr>
              <w:t>Specification</w:t>
            </w:r>
          </w:p>
        </w:tc>
        <w:tc>
          <w:tcPr>
            <w:tcW w:type="dxa" w:w="1584"/>
            <w:tcBorders>
              <w:top w:val="single" w:sz="6" w:color="000000"/>
              <w:bottom w:val="single" w:sz="6" w:color="000000"/>
            </w:tcBorders>
          </w:tcPr>
          <w:p>
            <w:pPr>
              <w:spacing w:after="0" w:line="240" w:lineRule="auto"/>
              <w:jc w:val="center"/>
            </w:pPr>
            <w:r/>
            <w:r>
              <w:rPr>
                <w:b/>
                <w:sz w:val="18"/>
              </w:rPr>
              <w:t>ln(MTB)</w:t>
            </w:r>
          </w:p>
        </w:tc>
        <w:tc>
          <w:tcPr>
            <w:tcW w:type="dxa" w:w="1080"/>
            <w:tcBorders>
              <w:top w:val="single" w:sz="6" w:color="000000"/>
              <w:bottom w:val="single" w:sz="6" w:color="000000"/>
            </w:tcBorders>
          </w:tcPr>
          <w:p>
            <w:pPr>
              <w:spacing w:after="0" w:line="240" w:lineRule="auto"/>
              <w:jc w:val="center"/>
            </w:pPr>
            <w:r/>
            <w:r>
              <w:rPr>
                <w:b/>
                <w:sz w:val="18"/>
              </w:rPr>
              <w:t>Pre-trend p</w:t>
            </w:r>
          </w:p>
        </w:tc>
        <w:tc>
          <w:tcPr>
            <w:tcW w:type="dxa" w:w="1584"/>
            <w:tcBorders>
              <w:top w:val="single" w:sz="6" w:color="000000"/>
              <w:bottom w:val="single" w:sz="6" w:color="000000"/>
            </w:tcBorders>
          </w:tcPr>
          <w:p>
            <w:pPr>
              <w:spacing w:after="0" w:line="240" w:lineRule="auto"/>
              <w:jc w:val="center"/>
            </w:pPr>
            <w:r/>
            <w:r>
              <w:rPr>
                <w:b/>
                <w:sz w:val="18"/>
              </w:rPr>
              <w:t>ln(market cap)</w:t>
            </w:r>
          </w:p>
        </w:tc>
        <w:tc>
          <w:tcPr>
            <w:tcW w:type="dxa" w:w="1080"/>
            <w:tcBorders>
              <w:top w:val="single" w:sz="6" w:color="000000"/>
              <w:bottom w:val="single" w:sz="6" w:color="000000"/>
            </w:tcBorders>
          </w:tcPr>
          <w:p>
            <w:pPr>
              <w:spacing w:after="0" w:line="240" w:lineRule="auto"/>
              <w:jc w:val="center"/>
            </w:pPr>
            <w:r/>
            <w:r>
              <w:rPr>
                <w:b/>
                <w:sz w:val="18"/>
              </w:rPr>
              <w:t xml:space="preserve">Pre-trend p </w:t>
            </w:r>
          </w:p>
        </w:tc>
      </w:tr>
      <w:tr>
        <w:tc>
          <w:tcPr>
            <w:tcW w:type="dxa" w:w="3312"/>
          </w:tcPr>
          <w:p>
            <w:pPr>
              <w:spacing w:after="0" w:line="240" w:lineRule="auto"/>
            </w:pPr>
            <w:r/>
            <w:r>
              <w:rPr>
                <w:sz w:val="18"/>
              </w:rPr>
              <w:t>Baseline</w:t>
            </w:r>
          </w:p>
        </w:tc>
        <w:tc>
          <w:tcPr>
            <w:tcW w:type="dxa" w:w="1584"/>
          </w:tcPr>
          <w:p>
            <w:pPr>
              <w:spacing w:after="0" w:line="240" w:lineRule="auto"/>
              <w:jc w:val="center"/>
            </w:pPr>
            <w:r/>
            <w:r>
              <w:rPr>
                <w:sz w:val="18"/>
              </w:rPr>
              <w:t>0.002 (0.024)</w:t>
            </w:r>
          </w:p>
        </w:tc>
        <w:tc>
          <w:tcPr>
            <w:tcW w:type="dxa" w:w="1080"/>
          </w:tcPr>
          <w:p>
            <w:pPr>
              <w:spacing w:after="0" w:line="240" w:lineRule="auto"/>
              <w:jc w:val="center"/>
            </w:pPr>
            <w:r/>
            <w:r>
              <w:rPr>
                <w:sz w:val="18"/>
              </w:rPr>
              <w:t>0.074</w:t>
            </w:r>
          </w:p>
        </w:tc>
        <w:tc>
          <w:tcPr>
            <w:tcW w:type="dxa" w:w="1584"/>
          </w:tcPr>
          <w:p>
            <w:pPr>
              <w:spacing w:after="0" w:line="240" w:lineRule="auto"/>
              <w:jc w:val="center"/>
            </w:pPr>
            <w:r/>
            <w:r>
              <w:rPr>
                <w:sz w:val="18"/>
              </w:rPr>
              <w:t>−0.055* (0.030)</w:t>
            </w:r>
          </w:p>
        </w:tc>
        <w:tc>
          <w:tcPr>
            <w:tcW w:type="dxa" w:w="1080"/>
          </w:tcPr>
          <w:p>
            <w:pPr>
              <w:spacing w:after="0" w:line="240" w:lineRule="auto"/>
              <w:jc w:val="center"/>
            </w:pPr>
            <w:r/>
            <w:r>
              <w:rPr>
                <w:sz w:val="18"/>
              </w:rPr>
              <w:t>0.022</w:t>
            </w:r>
          </w:p>
        </w:tc>
      </w:tr>
      <w:tr>
        <w:tc>
          <w:tcPr>
            <w:tcW w:type="dxa" w:w="3312"/>
          </w:tcPr>
          <w:p>
            <w:pPr>
              <w:spacing w:after="0" w:line="240" w:lineRule="auto"/>
            </w:pPr>
            <w:r/>
            <w:r>
              <w:rPr>
                <w:sz w:val="18"/>
              </w:rPr>
              <w:t>Baseline, market-by-industry cluster bootstrap</w:t>
            </w:r>
          </w:p>
        </w:tc>
        <w:tc>
          <w:tcPr>
            <w:tcW w:type="dxa" w:w="1584"/>
          </w:tcPr>
          <w:p>
            <w:pPr>
              <w:spacing w:after="0" w:line="240" w:lineRule="auto"/>
              <w:jc w:val="center"/>
            </w:pPr>
            <w:r/>
            <w:r>
              <w:rPr>
                <w:sz w:val="18"/>
              </w:rPr>
              <w:t>0.002 (0.027)</w:t>
            </w:r>
          </w:p>
        </w:tc>
        <w:tc>
          <w:tcPr>
            <w:tcW w:type="dxa" w:w="1080"/>
          </w:tcPr>
          <w:p>
            <w:pPr>
              <w:spacing w:after="0" w:line="240" w:lineRule="auto"/>
              <w:jc w:val="center"/>
            </w:pPr>
            <w:r/>
            <w:r>
              <w:rPr>
                <w:sz w:val="18"/>
              </w:rPr>
              <w:t>0.225</w:t>
            </w:r>
          </w:p>
        </w:tc>
        <w:tc>
          <w:tcPr>
            <w:tcW w:type="dxa" w:w="1584"/>
          </w:tcPr>
          <w:p>
            <w:pPr>
              <w:spacing w:after="0" w:line="240" w:lineRule="auto"/>
              <w:jc w:val="center"/>
            </w:pPr>
            <w:r/>
            <w:r>
              <w:rPr>
                <w:sz w:val="18"/>
              </w:rPr>
              <w:t>−0.055 (0.037)</w:t>
            </w:r>
          </w:p>
        </w:tc>
        <w:tc>
          <w:tcPr>
            <w:tcW w:type="dxa" w:w="1080"/>
          </w:tcPr>
          <w:p>
            <w:pPr>
              <w:spacing w:after="0" w:line="240" w:lineRule="auto"/>
              <w:jc w:val="center"/>
            </w:pPr>
            <w:r/>
            <w:r>
              <w:rPr>
                <w:sz w:val="18"/>
              </w:rPr>
              <w:t>0.001</w:t>
            </w:r>
          </w:p>
        </w:tc>
      </w:tr>
      <w:tr>
        <w:tc>
          <w:tcPr>
            <w:tcW w:type="dxa" w:w="3312"/>
          </w:tcPr>
          <w:p>
            <w:pPr>
              <w:spacing w:after="0" w:line="240" w:lineRule="auto"/>
            </w:pPr>
            <w:r/>
            <w:r>
              <w:rPr>
                <w:sz w:val="18"/>
              </w:rPr>
              <w:t>R10, market-by-industry cluster bootstrap</w:t>
            </w:r>
          </w:p>
        </w:tc>
        <w:tc>
          <w:tcPr>
            <w:tcW w:type="dxa" w:w="1584"/>
          </w:tcPr>
          <w:p>
            <w:pPr>
              <w:spacing w:after="0" w:line="240" w:lineRule="auto"/>
              <w:jc w:val="center"/>
            </w:pPr>
            <w:r/>
            <w:r>
              <w:rPr>
                <w:sz w:val="18"/>
              </w:rPr>
              <w:t>−0.068*** (0.026)</w:t>
            </w:r>
          </w:p>
        </w:tc>
        <w:tc>
          <w:tcPr>
            <w:tcW w:type="dxa" w:w="1080"/>
          </w:tcPr>
          <w:p>
            <w:pPr>
              <w:spacing w:after="0" w:line="240" w:lineRule="auto"/>
              <w:jc w:val="center"/>
            </w:pPr>
            <w:r/>
            <w:r>
              <w:rPr>
                <w:sz w:val="18"/>
              </w:rPr>
              <w:t>0.237</w:t>
            </w:r>
          </w:p>
        </w:tc>
        <w:tc>
          <w:tcPr>
            <w:tcW w:type="dxa" w:w="1584"/>
          </w:tcPr>
          <w:p>
            <w:pPr>
              <w:spacing w:after="0" w:line="240" w:lineRule="auto"/>
              <w:jc w:val="center"/>
            </w:pPr>
            <w:r/>
            <w:r>
              <w:rPr>
                <w:sz w:val="18"/>
              </w:rPr>
              <w:t>−0.073** (0.031)</w:t>
            </w:r>
          </w:p>
        </w:tc>
        <w:tc>
          <w:tcPr>
            <w:tcW w:type="dxa" w:w="1080"/>
          </w:tcPr>
          <w:p>
            <w:pPr>
              <w:spacing w:after="0" w:line="240" w:lineRule="auto"/>
              <w:jc w:val="center"/>
            </w:pPr>
            <w:r/>
            <w:r>
              <w:rPr>
                <w:sz w:val="18"/>
              </w:rPr>
              <w:t>0.002</w:t>
            </w:r>
          </w:p>
        </w:tc>
      </w:tr>
      <w:tr>
        <w:tc>
          <w:tcPr>
            <w:tcW w:type="dxa" w:w="3312"/>
          </w:tcPr>
          <w:p>
            <w:pPr>
              <w:spacing w:after="0" w:line="240" w:lineRule="auto"/>
            </w:pPr>
            <w:r/>
            <w:r>
              <w:rPr>
                <w:sz w:val="18"/>
              </w:rPr>
              <w:t>No covariates</w:t>
            </w:r>
          </w:p>
        </w:tc>
        <w:tc>
          <w:tcPr>
            <w:tcW w:type="dxa" w:w="1584"/>
          </w:tcPr>
          <w:p>
            <w:pPr>
              <w:spacing w:after="0" w:line="240" w:lineRule="auto"/>
              <w:jc w:val="center"/>
            </w:pPr>
            <w:r/>
            <w:r>
              <w:rPr>
                <w:sz w:val="18"/>
              </w:rPr>
              <w:t>0.025 (0.022)</w:t>
            </w:r>
          </w:p>
        </w:tc>
        <w:tc>
          <w:tcPr>
            <w:tcW w:type="dxa" w:w="1080"/>
          </w:tcPr>
          <w:p>
            <w:pPr>
              <w:spacing w:after="0" w:line="240" w:lineRule="auto"/>
              <w:jc w:val="center"/>
            </w:pPr>
            <w:r/>
            <w:r>
              <w:rPr>
                <w:sz w:val="18"/>
              </w:rPr>
              <w:t>0.028</w:t>
            </w:r>
          </w:p>
        </w:tc>
        <w:tc>
          <w:tcPr>
            <w:tcW w:type="dxa" w:w="1584"/>
          </w:tcPr>
          <w:p>
            <w:pPr>
              <w:spacing w:after="0" w:line="240" w:lineRule="auto"/>
              <w:jc w:val="center"/>
            </w:pPr>
            <w:r/>
            <w:r>
              <w:rPr>
                <w:sz w:val="18"/>
              </w:rPr>
              <w:t>0.016 (0.025)</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Size measured at g − 3</w:t>
            </w:r>
          </w:p>
        </w:tc>
        <w:tc>
          <w:tcPr>
            <w:tcW w:type="dxa" w:w="1584"/>
          </w:tcPr>
          <w:p>
            <w:pPr>
              <w:spacing w:after="0" w:line="240" w:lineRule="auto"/>
              <w:jc w:val="center"/>
            </w:pPr>
            <w:r/>
            <w:r>
              <w:rPr>
                <w:sz w:val="18"/>
              </w:rPr>
              <w:t>−0.008 (0.025)</w:t>
            </w:r>
          </w:p>
        </w:tc>
        <w:tc>
          <w:tcPr>
            <w:tcW w:type="dxa" w:w="1080"/>
          </w:tcPr>
          <w:p>
            <w:pPr>
              <w:spacing w:after="0" w:line="240" w:lineRule="auto"/>
              <w:jc w:val="center"/>
            </w:pPr>
            <w:r/>
            <w:r>
              <w:rPr>
                <w:sz w:val="18"/>
              </w:rPr>
              <w:t>0.176</w:t>
            </w:r>
          </w:p>
        </w:tc>
        <w:tc>
          <w:tcPr>
            <w:tcW w:type="dxa" w:w="1584"/>
          </w:tcPr>
          <w:p>
            <w:pPr>
              <w:spacing w:after="0" w:line="240" w:lineRule="auto"/>
              <w:jc w:val="center"/>
            </w:pPr>
            <w:r/>
            <w:r>
              <w:rPr>
                <w:sz w:val="18"/>
              </w:rPr>
              <w:t>−0.059* (0.032)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Size quintile indicators</w:t>
            </w:r>
          </w:p>
        </w:tc>
        <w:tc>
          <w:tcPr>
            <w:tcW w:type="dxa" w:w="1584"/>
          </w:tcPr>
          <w:p>
            <w:pPr>
              <w:spacing w:after="0" w:line="240" w:lineRule="auto"/>
              <w:jc w:val="center"/>
            </w:pPr>
            <w:r/>
            <w:r>
              <w:rPr>
                <w:sz w:val="18"/>
              </w:rPr>
              <w:t>−0.010 (0.023)</w:t>
            </w:r>
          </w:p>
        </w:tc>
        <w:tc>
          <w:tcPr>
            <w:tcW w:type="dxa" w:w="1080"/>
          </w:tcPr>
          <w:p>
            <w:pPr>
              <w:spacing w:after="0" w:line="240" w:lineRule="auto"/>
              <w:jc w:val="center"/>
            </w:pPr>
            <w:r/>
            <w:r>
              <w:rPr>
                <w:sz w:val="18"/>
              </w:rPr>
              <w:t>0.072</w:t>
            </w:r>
          </w:p>
        </w:tc>
        <w:tc>
          <w:tcPr>
            <w:tcW w:type="dxa" w:w="1584"/>
          </w:tcPr>
          <w:p>
            <w:pPr>
              <w:spacing w:after="0" w:line="240" w:lineRule="auto"/>
              <w:jc w:val="center"/>
            </w:pPr>
            <w:r/>
            <w:r>
              <w:rPr>
                <w:sz w:val="18"/>
              </w:rPr>
              <w:t>−0.053* (0.029)</w:t>
            </w:r>
          </w:p>
        </w:tc>
        <w:tc>
          <w:tcPr>
            <w:tcW w:type="dxa" w:w="1080"/>
          </w:tcPr>
          <w:p>
            <w:pPr>
              <w:spacing w:after="0" w:line="240" w:lineRule="auto"/>
              <w:jc w:val="center"/>
            </w:pPr>
            <w:r/>
            <w:r>
              <w:rPr>
                <w:sz w:val="18"/>
              </w:rPr>
              <w:t>0.016</w:t>
            </w:r>
          </w:p>
        </w:tc>
      </w:tr>
      <w:tr>
        <w:tc>
          <w:tcPr>
            <w:tcW w:type="dxa" w:w="3312"/>
          </w:tcPr>
          <w:p>
            <w:pPr>
              <w:spacing w:after="0" w:line="240" w:lineRule="auto"/>
            </w:pPr>
            <w:r/>
            <w:r>
              <w:rPr>
                <w:sz w:val="18"/>
              </w:rPr>
              <w:t>Scored firms within control size range</w:t>
            </w:r>
          </w:p>
        </w:tc>
        <w:tc>
          <w:tcPr>
            <w:tcW w:type="dxa" w:w="1584"/>
          </w:tcPr>
          <w:p>
            <w:pPr>
              <w:spacing w:after="0" w:line="240" w:lineRule="auto"/>
              <w:jc w:val="center"/>
            </w:pPr>
            <w:r/>
            <w:r>
              <w:rPr>
                <w:sz w:val="18"/>
              </w:rPr>
              <w:t>−0.021 (0.026)</w:t>
            </w:r>
          </w:p>
        </w:tc>
        <w:tc>
          <w:tcPr>
            <w:tcW w:type="dxa" w:w="1080"/>
          </w:tcPr>
          <w:p>
            <w:pPr>
              <w:spacing w:after="0" w:line="240" w:lineRule="auto"/>
              <w:jc w:val="center"/>
            </w:pPr>
            <w:r/>
            <w:r>
              <w:rPr>
                <w:sz w:val="18"/>
              </w:rPr>
              <w:t>0.212</w:t>
            </w:r>
          </w:p>
        </w:tc>
        <w:tc>
          <w:tcPr>
            <w:tcW w:type="dxa" w:w="1584"/>
          </w:tcPr>
          <w:p>
            <w:pPr>
              <w:spacing w:after="0" w:line="240" w:lineRule="auto"/>
              <w:jc w:val="center"/>
            </w:pPr>
            <w:r/>
            <w:r>
              <w:rPr>
                <w:sz w:val="18"/>
              </w:rPr>
              <w:t>−0.096*** (0.035)</w:t>
            </w:r>
          </w:p>
        </w:tc>
        <w:tc>
          <w:tcPr>
            <w:tcW w:type="dxa" w:w="1080"/>
          </w:tcPr>
          <w:p>
            <w:pPr>
              <w:spacing w:after="0" w:line="240" w:lineRule="auto"/>
              <w:jc w:val="center"/>
            </w:pPr>
            <w:r/>
            <w:r>
              <w:rPr>
                <w:sz w:val="18"/>
              </w:rPr>
              <w:t>0.133</w:t>
            </w:r>
          </w:p>
        </w:tc>
      </w:tr>
      <w:tr>
        <w:tc>
          <w:tcPr>
            <w:tcW w:type="dxa" w:w="3312"/>
          </w:tcPr>
          <w:p>
            <w:pPr>
              <w:spacing w:after="0" w:line="240" w:lineRule="auto"/>
            </w:pPr>
            <w:r/>
            <w:r>
              <w:rPr>
                <w:sz w:val="18"/>
              </w:rPr>
              <w:t>Dated one year later (R10)</w:t>
            </w:r>
          </w:p>
        </w:tc>
        <w:tc>
          <w:tcPr>
            <w:tcW w:type="dxa" w:w="1584"/>
          </w:tcPr>
          <w:p>
            <w:pPr>
              <w:spacing w:after="0" w:line="240" w:lineRule="auto"/>
              <w:jc w:val="center"/>
            </w:pPr>
            <w:r/>
            <w:r>
              <w:rPr>
                <w:sz w:val="18"/>
              </w:rPr>
              <w:t>−0.068*** (0.024)</w:t>
            </w:r>
          </w:p>
        </w:tc>
        <w:tc>
          <w:tcPr>
            <w:tcW w:type="dxa" w:w="1080"/>
          </w:tcPr>
          <w:p>
            <w:pPr>
              <w:spacing w:after="0" w:line="240" w:lineRule="auto"/>
              <w:jc w:val="center"/>
            </w:pPr>
            <w:r/>
            <w:r>
              <w:rPr>
                <w:sz w:val="18"/>
              </w:rPr>
              <w:t>0.072</w:t>
            </w:r>
          </w:p>
        </w:tc>
        <w:tc>
          <w:tcPr>
            <w:tcW w:type="dxa" w:w="1584"/>
          </w:tcPr>
          <w:p>
            <w:pPr>
              <w:spacing w:after="0" w:line="240" w:lineRule="auto"/>
              <w:jc w:val="center"/>
            </w:pPr>
            <w:r/>
            <w:r>
              <w:rPr>
                <w:sz w:val="18"/>
              </w:rPr>
              <w:t>−0.073** (0.030)</w:t>
            </w:r>
          </w:p>
        </w:tc>
        <w:tc>
          <w:tcPr>
            <w:tcW w:type="dxa" w:w="1080"/>
          </w:tcPr>
          <w:p>
            <w:pPr>
              <w:spacing w:after="0" w:line="240" w:lineRule="auto"/>
              <w:jc w:val="center"/>
            </w:pPr>
            <w:r/>
            <w:r>
              <w:rPr>
                <w:sz w:val="18"/>
              </w:rPr>
              <w:t>0.002</w:t>
            </w:r>
          </w:p>
        </w:tc>
      </w:tr>
      <w:tr>
        <w:tc>
          <w:tcPr>
            <w:tcW w:type="dxa" w:w="3312"/>
          </w:tcPr>
          <w:p>
            <w:pPr>
              <w:spacing w:after="0" w:line="240" w:lineRule="auto"/>
            </w:pPr>
            <w:r/>
            <w:r>
              <w:rPr>
                <w:sz w:val="18"/>
              </w:rPr>
              <w:t>R10, size at original g − 1</w:t>
            </w:r>
          </w:p>
        </w:tc>
        <w:tc>
          <w:tcPr>
            <w:tcW w:type="dxa" w:w="1584"/>
          </w:tcPr>
          <w:p>
            <w:pPr>
              <w:spacing w:after="0" w:line="240" w:lineRule="auto"/>
              <w:jc w:val="center"/>
            </w:pPr>
            <w:r/>
            <w:r>
              <w:rPr>
                <w:sz w:val="18"/>
              </w:rPr>
              <w:t>−0.074*** (0.024)</w:t>
            </w:r>
          </w:p>
        </w:tc>
        <w:tc>
          <w:tcPr>
            <w:tcW w:type="dxa" w:w="1080"/>
          </w:tcPr>
          <w:p>
            <w:pPr>
              <w:spacing w:after="0" w:line="240" w:lineRule="auto"/>
              <w:jc w:val="center"/>
            </w:pPr>
            <w:r/>
            <w:r>
              <w:rPr>
                <w:sz w:val="18"/>
              </w:rPr>
              <w:t>0.066</w:t>
            </w:r>
          </w:p>
        </w:tc>
        <w:tc>
          <w:tcPr>
            <w:tcW w:type="dxa" w:w="1584"/>
          </w:tcPr>
          <w:p>
            <w:pPr>
              <w:spacing w:after="0" w:line="240" w:lineRule="auto"/>
              <w:jc w:val="center"/>
            </w:pPr>
            <w:r/>
            <w:r>
              <w:rPr>
                <w:sz w:val="18"/>
              </w:rPr>
              <w:t>−0.060** (0.029)</w:t>
            </w:r>
          </w:p>
        </w:tc>
        <w:tc>
          <w:tcPr>
            <w:tcW w:type="dxa" w:w="1080"/>
          </w:tcPr>
          <w:p>
            <w:pPr>
              <w:spacing w:after="0" w:line="240" w:lineRule="auto"/>
              <w:jc w:val="center"/>
            </w:pPr>
            <w:r/>
            <w:r>
              <w:rPr>
                <w:sz w:val="18"/>
              </w:rPr>
              <w:t>0.005</w:t>
            </w:r>
          </w:p>
        </w:tc>
      </w:tr>
      <w:tr>
        <w:tc>
          <w:tcPr>
            <w:tcW w:type="dxa" w:w="3312"/>
          </w:tcPr>
          <w:p>
            <w:pPr>
              <w:spacing w:after="0" w:line="240" w:lineRule="auto"/>
            </w:pPr>
            <w:r/>
            <w:r>
              <w:rPr>
                <w:sz w:val="18"/>
              </w:rPr>
              <w:t>Dated two years later</w:t>
            </w:r>
          </w:p>
        </w:tc>
        <w:tc>
          <w:tcPr>
            <w:tcW w:type="dxa" w:w="1584"/>
          </w:tcPr>
          <w:p>
            <w:pPr>
              <w:spacing w:after="0" w:line="240" w:lineRule="auto"/>
              <w:jc w:val="center"/>
            </w:pPr>
            <w:r/>
            <w:r>
              <w:rPr>
                <w:sz w:val="18"/>
              </w:rPr>
              <w:t>−0.048* (0.025)</w:t>
            </w:r>
          </w:p>
        </w:tc>
        <w:tc>
          <w:tcPr>
            <w:tcW w:type="dxa" w:w="1080"/>
          </w:tcPr>
          <w:p>
            <w:pPr>
              <w:spacing w:after="0" w:line="240" w:lineRule="auto"/>
              <w:jc w:val="center"/>
            </w:pPr>
            <w:r/>
            <w:r>
              <w:rPr>
                <w:sz w:val="18"/>
              </w:rPr>
              <w:t>0.023</w:t>
            </w:r>
          </w:p>
        </w:tc>
        <w:tc>
          <w:tcPr>
            <w:tcW w:type="dxa" w:w="1584"/>
          </w:tcPr>
          <w:p>
            <w:pPr>
              <w:spacing w:after="0" w:line="240" w:lineRule="auto"/>
              <w:jc w:val="center"/>
            </w:pPr>
            <w:r/>
            <w:r>
              <w:rPr>
                <w:sz w:val="18"/>
              </w:rPr>
              <w:t>−0.022 (0.028)</w:t>
            </w:r>
          </w:p>
        </w:tc>
        <w:tc>
          <w:tcPr>
            <w:tcW w:type="dxa" w:w="1080"/>
          </w:tcPr>
          <w:p>
            <w:pPr>
              <w:spacing w:after="0" w:line="240" w:lineRule="auto"/>
              <w:jc w:val="center"/>
            </w:pPr>
            <w:r/>
            <w:r>
              <w:rPr>
                <w:sz w:val="18"/>
              </w:rPr>
              <w:t>0.076</w:t>
            </w:r>
          </w:p>
        </w:tc>
      </w:tr>
      <w:tr>
        <w:tc>
          <w:tcPr>
            <w:tcW w:type="dxa" w:w="3312"/>
          </w:tcPr>
          <w:p>
            <w:pPr>
              <w:spacing w:after="0" w:line="240" w:lineRule="auto"/>
            </w:pPr>
            <w:r/>
            <w:r>
              <w:rPr>
                <w:sz w:val="18"/>
              </w:rPr>
              <w:t>Malaysia, first scored 2021–2022</w:t>
            </w:r>
          </w:p>
        </w:tc>
        <w:tc>
          <w:tcPr>
            <w:tcW w:type="dxa" w:w="1584"/>
          </w:tcPr>
          <w:p>
            <w:pPr>
              <w:spacing w:after="0" w:line="240" w:lineRule="auto"/>
              <w:jc w:val="center"/>
            </w:pPr>
            <w:r/>
            <w:r>
              <w:rPr>
                <w:sz w:val="18"/>
              </w:rPr>
              <w:t>0.021 (0.037)</w:t>
            </w:r>
          </w:p>
        </w:tc>
        <w:tc>
          <w:tcPr>
            <w:tcW w:type="dxa" w:w="1080"/>
          </w:tcPr>
          <w:p>
            <w:pPr>
              <w:spacing w:after="0" w:line="240" w:lineRule="auto"/>
              <w:jc w:val="center"/>
            </w:pPr>
            <w:r/>
            <w:r>
              <w:rPr>
                <w:sz w:val="18"/>
              </w:rPr>
              <w:t>0.549</w:t>
            </w:r>
          </w:p>
        </w:tc>
        <w:tc>
          <w:tcPr>
            <w:tcW w:type="dxa" w:w="1584"/>
          </w:tcPr>
          <w:p>
            <w:pPr>
              <w:spacing w:after="0" w:line="240" w:lineRule="auto"/>
              <w:jc w:val="center"/>
            </w:pPr>
            <w:r/>
            <w:r>
              <w:rPr>
                <w:sz w:val="18"/>
              </w:rPr>
              <w:t>−0.146*** (0.051)</w:t>
            </w:r>
          </w:p>
        </w:tc>
        <w:tc>
          <w:tcPr>
            <w:tcW w:type="dxa" w:w="1080"/>
          </w:tcPr>
          <w:p>
            <w:pPr>
              <w:spacing w:after="0" w:line="240" w:lineRule="auto"/>
              <w:jc w:val="center"/>
            </w:pPr>
            <w:r/>
            <w:r>
              <w:rPr>
                <w:sz w:val="18"/>
              </w:rPr>
              <w:t>0.491</w:t>
            </w:r>
          </w:p>
        </w:tc>
      </w:tr>
      <w:tr>
        <w:tc>
          <w:tcPr>
            <w:tcW w:type="dxa" w:w="3312"/>
          </w:tcPr>
          <w:p>
            <w:pPr>
              <w:spacing w:after="0" w:line="240" w:lineRule="auto"/>
            </w:pPr>
            <w:r/>
            <w:r>
              <w:rPr>
                <w:sz w:val="18"/>
              </w:rPr>
              <w:t>Thailand and Singapore, 2019–2020</w:t>
            </w:r>
          </w:p>
        </w:tc>
        <w:tc>
          <w:tcPr>
            <w:tcW w:type="dxa" w:w="1584"/>
          </w:tcPr>
          <w:p>
            <w:pPr>
              <w:spacing w:after="0" w:line="240" w:lineRule="auto"/>
              <w:jc w:val="center"/>
            </w:pPr>
            <w:r/>
            <w:r>
              <w:rPr>
                <w:sz w:val="18"/>
              </w:rPr>
              <w:t>−0.009 (0.048)</w:t>
            </w:r>
          </w:p>
        </w:tc>
        <w:tc>
          <w:tcPr>
            <w:tcW w:type="dxa" w:w="1080"/>
          </w:tcPr>
          <w:p>
            <w:pPr>
              <w:spacing w:after="0" w:line="240" w:lineRule="auto"/>
              <w:jc w:val="center"/>
            </w:pPr>
            <w:r/>
            <w:r>
              <w:rPr>
                <w:sz w:val="18"/>
              </w:rPr>
              <w:t>0.006</w:t>
            </w:r>
          </w:p>
        </w:tc>
        <w:tc>
          <w:tcPr>
            <w:tcW w:type="dxa" w:w="1584"/>
          </w:tcPr>
          <w:p>
            <w:pPr>
              <w:spacing w:after="0" w:line="240" w:lineRule="auto"/>
              <w:jc w:val="center"/>
            </w:pPr>
            <w:r/>
            <w:r>
              <w:rPr>
                <w:sz w:val="18"/>
              </w:rPr>
              <w:t>0.041 (0.052)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All other cohorts</w:t>
            </w:r>
          </w:p>
        </w:tc>
        <w:tc>
          <w:tcPr>
            <w:tcW w:type="dxa" w:w="1584"/>
          </w:tcPr>
          <w:p>
            <w:pPr>
              <w:spacing w:after="0" w:line="240" w:lineRule="auto"/>
              <w:jc w:val="center"/>
            </w:pPr>
            <w:r/>
            <w:r>
              <w:rPr>
                <w:sz w:val="18"/>
              </w:rPr>
              <w:t>−0.016 (0.034)</w:t>
            </w:r>
          </w:p>
        </w:tc>
        <w:tc>
          <w:tcPr>
            <w:tcW w:type="dxa" w:w="1080"/>
          </w:tcPr>
          <w:p>
            <w:pPr>
              <w:spacing w:after="0" w:line="240" w:lineRule="auto"/>
              <w:jc w:val="center"/>
            </w:pPr>
            <w:r/>
            <w:r>
              <w:rPr>
                <w:sz w:val="18"/>
              </w:rPr>
              <w:t>0.006</w:t>
            </w:r>
          </w:p>
        </w:tc>
        <w:tc>
          <w:tcPr>
            <w:tcW w:type="dxa" w:w="1584"/>
          </w:tcPr>
          <w:p>
            <w:pPr>
              <w:spacing w:after="0" w:line="240" w:lineRule="auto"/>
              <w:jc w:val="center"/>
            </w:pPr>
            <w:r/>
            <w:r>
              <w:rPr>
                <w:sz w:val="18"/>
              </w:rPr>
              <w:t>0.005 (0.037)</w:t>
            </w:r>
          </w:p>
        </w:tc>
        <w:tc>
          <w:tcPr>
            <w:tcW w:type="dxa" w:w="1080"/>
          </w:tcPr>
          <w:p>
            <w:pPr>
              <w:spacing w:after="0" w:line="240" w:lineRule="auto"/>
              <w:jc w:val="center"/>
            </w:pPr>
            <w:r/>
            <w:r>
              <w:rPr>
                <w:sz w:val="18"/>
              </w:rPr>
              <w:t>0.652</w:t>
            </w:r>
          </w:p>
        </w:tc>
      </w:tr>
      <w:tr>
        <w:tc>
          <w:tcPr>
            <w:tcW w:type="dxa" w:w="3312"/>
          </w:tcPr>
          <w:p>
            <w:pPr>
              <w:spacing w:after="0" w:line="240" w:lineRule="auto"/>
            </w:pPr>
            <w:r/>
            <w:r>
              <w:rPr>
                <w:sz w:val="18"/>
              </w:rPr>
              <w:t>Cohorts first scored by 2019</w:t>
            </w:r>
          </w:p>
        </w:tc>
        <w:tc>
          <w:tcPr>
            <w:tcW w:type="dxa" w:w="1584"/>
          </w:tcPr>
          <w:p>
            <w:pPr>
              <w:spacing w:after="0" w:line="240" w:lineRule="auto"/>
              <w:jc w:val="center"/>
            </w:pPr>
            <w:r/>
            <w:r>
              <w:rPr>
                <w:sz w:val="18"/>
              </w:rPr>
              <w:t>0.094** (0.047)</w:t>
            </w:r>
          </w:p>
        </w:tc>
        <w:tc>
          <w:tcPr>
            <w:tcW w:type="dxa" w:w="1080"/>
          </w:tcPr>
          <w:p>
            <w:pPr>
              <w:spacing w:after="0" w:line="240" w:lineRule="auto"/>
              <w:jc w:val="center"/>
            </w:pPr>
            <w:r/>
            <w:r>
              <w:rPr>
                <w:sz w:val="18"/>
              </w:rPr>
              <w:t>0.003</w:t>
            </w:r>
          </w:p>
        </w:tc>
        <w:tc>
          <w:tcPr>
            <w:tcW w:type="dxa" w:w="1584"/>
          </w:tcPr>
          <w:p>
            <w:pPr>
              <w:spacing w:after="0" w:line="240" w:lineRule="auto"/>
              <w:jc w:val="center"/>
            </w:pPr>
            <w:r/>
            <w:r>
              <w:rPr>
                <w:sz w:val="18"/>
              </w:rPr>
              <w:t>0.185*** (0.052)</w:t>
            </w:r>
          </w:p>
        </w:tc>
        <w:tc>
          <w:tcPr>
            <w:tcW w:type="dxa" w:w="1080"/>
          </w:tcPr>
          <w:p>
            <w:pPr>
              <w:spacing w:after="0" w:line="240" w:lineRule="auto"/>
              <w:jc w:val="center"/>
            </w:pPr>
            <w:r/>
            <w:r>
              <w:rPr>
                <w:sz w:val="18"/>
              </w:rPr>
              <w:t>&lt;0.001</w:t>
            </w:r>
          </w:p>
        </w:tc>
      </w:tr>
      <w:tr>
        <w:tc>
          <w:tcPr>
            <w:tcW w:type="dxa" w:w="3312"/>
          </w:tcPr>
          <w:p>
            <w:pPr>
              <w:spacing w:after="0" w:line="240" w:lineRule="auto"/>
            </w:pPr>
            <w:r/>
            <w:r>
              <w:rPr>
                <w:sz w:val="18"/>
              </w:rPr>
              <w:t>Cohorts first scored from 2020</w:t>
            </w:r>
          </w:p>
        </w:tc>
        <w:tc>
          <w:tcPr>
            <w:tcW w:type="dxa" w:w="1584"/>
          </w:tcPr>
          <w:p>
            <w:pPr>
              <w:spacing w:after="0" w:line="240" w:lineRule="auto"/>
              <w:jc w:val="center"/>
            </w:pPr>
            <w:r/>
            <w:r>
              <w:rPr>
                <w:sz w:val="18"/>
              </w:rPr>
              <w:t>−0.010 (0.026)</w:t>
            </w:r>
          </w:p>
        </w:tc>
        <w:tc>
          <w:tcPr>
            <w:tcW w:type="dxa" w:w="1080"/>
          </w:tcPr>
          <w:p>
            <w:pPr>
              <w:spacing w:after="0" w:line="240" w:lineRule="auto"/>
              <w:jc w:val="center"/>
            </w:pPr>
            <w:r/>
            <w:r>
              <w:rPr>
                <w:sz w:val="18"/>
              </w:rPr>
              <w:t>0.199</w:t>
            </w:r>
          </w:p>
        </w:tc>
        <w:tc>
          <w:tcPr>
            <w:tcW w:type="dxa" w:w="1584"/>
          </w:tcPr>
          <w:p>
            <w:pPr>
              <w:spacing w:after="0" w:line="240" w:lineRule="auto"/>
              <w:jc w:val="center"/>
            </w:pPr>
            <w:r/>
            <w:r>
              <w:rPr>
                <w:sz w:val="18"/>
              </w:rPr>
              <w:t>−0.087*** (0.033)</w:t>
            </w:r>
          </w:p>
        </w:tc>
        <w:tc>
          <w:tcPr>
            <w:tcW w:type="dxa" w:w="1080"/>
          </w:tcPr>
          <w:p>
            <w:pPr>
              <w:spacing w:after="0" w:line="240" w:lineRule="auto"/>
              <w:jc w:val="center"/>
            </w:pPr>
            <w:r/>
            <w:r>
              <w:rPr>
                <w:sz w:val="18"/>
              </w:rPr>
              <w:t>0.106</w:t>
            </w:r>
          </w:p>
        </w:tc>
      </w:tr>
      <w:tr>
        <w:tc>
          <w:tcPr>
            <w:tcW w:type="dxa" w:w="3312"/>
          </w:tcPr>
          <w:p>
            <w:pPr>
              <w:spacing w:after="0" w:line="240" w:lineRule="auto"/>
            </w:pPr>
            <w:r/>
            <w:r>
              <w:rPr>
                <w:sz w:val="18"/>
              </w:rPr>
              <w:t>High residual initial score</w:t>
            </w:r>
          </w:p>
        </w:tc>
        <w:tc>
          <w:tcPr>
            <w:tcW w:type="dxa" w:w="1584"/>
          </w:tcPr>
          <w:p>
            <w:pPr>
              <w:spacing w:after="0" w:line="240" w:lineRule="auto"/>
              <w:jc w:val="center"/>
            </w:pPr>
            <w:r/>
            <w:r>
              <w:rPr>
                <w:sz w:val="18"/>
              </w:rPr>
              <w:t>−0.012 (0.029)</w:t>
            </w:r>
          </w:p>
        </w:tc>
        <w:tc>
          <w:tcPr>
            <w:tcW w:type="dxa" w:w="1080"/>
          </w:tcPr>
          <w:p>
            <w:pPr>
              <w:spacing w:after="0" w:line="240" w:lineRule="auto"/>
              <w:jc w:val="center"/>
            </w:pPr>
            <w:r/>
          </w:p>
        </w:tc>
        <w:tc>
          <w:tcPr>
            <w:tcW w:type="dxa" w:w="1584"/>
          </w:tcPr>
          <w:p>
            <w:pPr>
              <w:spacing w:after="0" w:line="240" w:lineRule="auto"/>
              <w:jc w:val="center"/>
            </w:pPr>
            <w:r/>
            <w:r>
              <w:rPr>
                <w:sz w:val="18"/>
              </w:rPr>
              <w:t>−0.051 (0.035)</w:t>
            </w:r>
          </w:p>
        </w:tc>
        <w:tc>
          <w:tcPr>
            <w:tcW w:type="dxa" w:w="1080"/>
          </w:tcPr>
          <w:p>
            <w:pPr>
              <w:spacing w:after="0" w:line="240" w:lineRule="auto"/>
              <w:jc w:val="center"/>
            </w:pPr>
            <w:r/>
          </w:p>
        </w:tc>
      </w:tr>
      <w:tr>
        <w:tc>
          <w:tcPr>
            <w:tcW w:type="dxa" w:w="3312"/>
          </w:tcPr>
          <w:p>
            <w:pPr>
              <w:spacing w:after="0" w:line="240" w:lineRule="auto"/>
            </w:pPr>
            <w:r/>
            <w:r>
              <w:rPr>
                <w:sz w:val="18"/>
              </w:rPr>
              <w:t>Low residual initial score</w:t>
            </w:r>
          </w:p>
        </w:tc>
        <w:tc>
          <w:tcPr>
            <w:tcW w:type="dxa" w:w="1584"/>
          </w:tcPr>
          <w:p>
            <w:pPr>
              <w:spacing w:after="0" w:line="240" w:lineRule="auto"/>
              <w:jc w:val="center"/>
            </w:pPr>
            <w:r/>
            <w:r>
              <w:rPr>
                <w:sz w:val="18"/>
              </w:rPr>
              <w:t>0.016 (0.033)</w:t>
            </w:r>
          </w:p>
        </w:tc>
        <w:tc>
          <w:tcPr>
            <w:tcW w:type="dxa" w:w="1080"/>
          </w:tcPr>
          <w:p>
            <w:pPr>
              <w:spacing w:after="0" w:line="240" w:lineRule="auto"/>
              <w:jc w:val="center"/>
            </w:pPr>
            <w:r/>
          </w:p>
        </w:tc>
        <w:tc>
          <w:tcPr>
            <w:tcW w:type="dxa" w:w="1584"/>
          </w:tcPr>
          <w:p>
            <w:pPr>
              <w:spacing w:after="0" w:line="240" w:lineRule="auto"/>
              <w:jc w:val="center"/>
            </w:pPr>
            <w:r/>
            <w:r>
              <w:rPr>
                <w:sz w:val="18"/>
              </w:rPr>
              <w:t>−0.059 (0.041)</w:t>
            </w:r>
          </w:p>
        </w:tc>
        <w:tc>
          <w:tcPr>
            <w:tcW w:type="dxa" w:w="1080"/>
          </w:tcPr>
          <w:p>
            <w:pPr>
              <w:spacing w:after="0" w:line="240" w:lineRule="auto"/>
              <w:jc w:val="center"/>
            </w:pPr>
            <w:r/>
          </w:p>
        </w:tc>
      </w:tr>
      <w:t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 (0.046)</w:t>
            </w:r>
          </w:p>
        </w:tc>
        <w:tc>
          <w:tcPr>
            <w:tcW w:type="dxa" w:w="1080"/>
            <w:tcBorders>
              <w:bottom w:val="single" w:sz="6" w:color="000000"/>
            </w:tcBorders>
          </w:tcPr>
          <w:p>
            <w:pPr>
              <w:spacing w:after="0" w:line="240" w:lineRule="auto"/>
              <w:jc w:val="center"/>
            </w:pPr>
            <w:r/>
          </w:p>
        </w:tc>
      </w:tr>
    </w:tbl>
    <w:p>
      <w:pPr>
        <w:spacing w:line="240" w:lineRule="auto" w:after="40" w:before="0"/>
      </w:pPr>
      <w:r>
        <w:rPr>
          <w:sz w:val="20"/>
        </w:rPr>
        <w:t>Cells show the average effect over event years 0 to 3 with bootstrap standard errors in parentheses and the joint pre-trend p-value of Eq. (8); all rows are exploratory. *, **, and *** denote significance at 10%, 5%, and 1% (unadjusted p-values).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S8</w:t>
      </w:r>
      <w:r>
        <w:t xml:space="preserve"> </w:t>
      </w:r>
      <w:r>
        <w:rPr/>
        <w:t>Decomposition of the gap between the static two-way fixed effects estimate and the baseline estimate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4320"/>
        <w:gridCol w:w="2015"/>
        <w:gridCol w:w="2015"/>
      </w:tblGrid>
      <w:tr>
        <w:tc>
          <w:tcPr>
            <w:tcW w:type="dxa" w:w="4320"/>
            <w:tcBorders>
              <w:top w:val="single" w:sz="6" w:color="000000"/>
              <w:bottom w:val="single" w:sz="6" w:color="000000"/>
            </w:tcBorders>
          </w:tcPr>
          <w:p>
            <w:pPr>
              <w:spacing w:after="0" w:line="240" w:lineRule="auto"/>
            </w:pPr>
            <w:r/>
            <w:r>
              <w:rPr>
                <w:b/>
                <w:sz w:val="18"/>
              </w:rPr>
              <w:t>Estimator</w:t>
            </w:r>
          </w:p>
        </w:tc>
        <w:tc>
          <w:tcPr>
            <w:tcW w:type="dxa" w:w="2016"/>
            <w:tcBorders>
              <w:top w:val="single" w:sz="6" w:color="000000"/>
              <w:bottom w:val="single" w:sz="6" w:color="000000"/>
            </w:tcBorders>
          </w:tcPr>
          <w:p>
            <w:pPr>
              <w:spacing w:after="0" w:line="240" w:lineRule="auto"/>
              <w:jc w:val="center"/>
            </w:pPr>
            <w:r/>
            <w:r>
              <w:rPr>
                <w:b/>
                <w:sz w:val="18"/>
              </w:rPr>
              <w:t>ln(MTB)</w:t>
            </w:r>
          </w:p>
        </w:tc>
        <w:tc>
          <w:tcPr>
            <w:tcW w:type="dxa" w:w="2016"/>
            <w:tcBorders>
              <w:top w:val="single" w:sz="6" w:color="000000"/>
              <w:bottom w:val="single" w:sz="6" w:color="000000"/>
            </w:tcBorders>
          </w:tcPr>
          <w:p>
            <w:pPr>
              <w:spacing w:after="0" w:line="240" w:lineRule="auto"/>
              <w:jc w:val="center"/>
            </w:pPr>
            <w:r/>
            <w:r>
              <w:rPr>
                <w:b/>
                <w:sz w:val="18"/>
              </w:rPr>
              <w:t>ln(market cap)</w:t>
            </w:r>
          </w:p>
        </w:tc>
      </w:tr>
      <w:tr>
        <w:tc>
          <w:tcPr>
            <w:tcW w:type="dxa" w:w="4320"/>
          </w:tcPr>
          <w:p>
            <w:pPr>
              <w:spacing w:after="0" w:line="240" w:lineRule="auto"/>
            </w:pPr>
            <w:r/>
            <w:r>
              <w:rPr>
                <w:sz w:val="18"/>
              </w:rPr>
              <w:t>Static TWFE, all firm-years (R6)</w:t>
            </w:r>
          </w:p>
        </w:tc>
        <w:tc>
          <w:tcPr>
            <w:tcW w:type="dxa" w:w="2016"/>
          </w:tcPr>
          <w:p>
            <w:pPr>
              <w:spacing w:after="0" w:line="240" w:lineRule="auto"/>
              <w:jc w:val="center"/>
            </w:pPr>
            <w:r/>
            <w:r>
              <w:rPr>
                <w:sz w:val="18"/>
              </w:rPr>
              <w:t>0.064** (0.026)</w:t>
            </w:r>
          </w:p>
        </w:tc>
        <w:tc>
          <w:tcPr>
            <w:tcW w:type="dxa" w:w="2016"/>
          </w:tcPr>
          <w:p>
            <w:pPr>
              <w:spacing w:after="0" w:line="240" w:lineRule="auto"/>
              <w:jc w:val="center"/>
            </w:pPr>
            <w:r/>
            <w:r>
              <w:rPr>
                <w:sz w:val="18"/>
              </w:rPr>
              <w:t>0.185*** (0.032)</w:t>
            </w:r>
          </w:p>
        </w:tc>
      </w:tr>
      <w:tr>
        <w:tc>
          <w:tcPr>
            <w:tcW w:type="dxa" w:w="4320"/>
          </w:tcPr>
          <w:p>
            <w:pPr>
              <w:spacing w:after="0" w:line="240" w:lineRule="auto"/>
            </w:pPr>
            <w:r/>
            <w:r>
              <w:rPr>
                <w:sz w:val="18"/>
              </w:rPr>
              <w:t>Static TWFE, never-scored controls, event years −5 to 3</w:t>
            </w:r>
          </w:p>
        </w:tc>
        <w:tc>
          <w:tcPr>
            <w:tcW w:type="dxa" w:w="2016"/>
          </w:tcPr>
          <w:p>
            <w:pPr>
              <w:spacing w:after="0" w:line="240" w:lineRule="auto"/>
              <w:jc w:val="center"/>
            </w:pPr>
            <w:r/>
            <w:r>
              <w:rPr>
                <w:sz w:val="18"/>
              </w:rPr>
              <w:t>0.058** (0.025)</w:t>
            </w:r>
          </w:p>
        </w:tc>
        <w:tc>
          <w:tcPr>
            <w:tcW w:type="dxa" w:w="2016"/>
          </w:tcPr>
          <w:p>
            <w:pPr>
              <w:spacing w:after="0" w:line="240" w:lineRule="auto"/>
              <w:jc w:val="center"/>
            </w:pPr>
            <w:r/>
            <w:r>
              <w:rPr>
                <w:sz w:val="18"/>
              </w:rPr>
              <w:t>0.149*** (0.030)</w:t>
            </w:r>
          </w:p>
        </w:tc>
      </w:tr>
      <w:tr>
        <w:tc>
          <w:tcPr>
            <w:tcW w:type="dxa" w:w="4320"/>
          </w:tcPr>
          <w:p>
            <w:pPr>
              <w:spacing w:after="0" w:line="240" w:lineRule="auto"/>
            </w:pPr>
            <w:r/>
            <w:r>
              <w:rPr>
                <w:sz w:val="18"/>
              </w:rPr>
              <w:t>Heterogeneity-robust, no covariates (R2)</w:t>
            </w:r>
          </w:p>
        </w:tc>
        <w:tc>
          <w:tcPr>
            <w:tcW w:type="dxa" w:w="2016"/>
          </w:tcPr>
          <w:p>
            <w:pPr>
              <w:spacing w:after="0" w:line="240" w:lineRule="auto"/>
              <w:jc w:val="center"/>
            </w:pPr>
            <w:r/>
            <w:r>
              <w:rPr>
                <w:sz w:val="18"/>
              </w:rPr>
              <w:t>0.025 (0.022)</w:t>
            </w:r>
          </w:p>
        </w:tc>
        <w:tc>
          <w:tcPr>
            <w:tcW w:type="dxa" w:w="2016"/>
          </w:tcPr>
          <w:p>
            <w:pPr>
              <w:spacing w:after="0" w:line="240" w:lineRule="auto"/>
              <w:jc w:val="center"/>
            </w:pPr>
            <w:r/>
            <w:r>
              <w:rPr>
                <w:sz w:val="18"/>
              </w:rPr>
              <w:t>0.016 (0.025)</w:t>
            </w:r>
          </w:p>
        </w:tc>
      </w:tr>
      <w:t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 (0.024)</w:t>
            </w:r>
          </w:p>
        </w:tc>
        <w:tc>
          <w:tcPr>
            <w:tcW w:type="dxa" w:w="2016"/>
            <w:tcBorders>
              <w:bottom w:val="single" w:sz="6" w:color="000000"/>
            </w:tcBorders>
          </w:tcPr>
          <w:p>
            <w:pPr>
              <w:spacing w:after="0" w:line="240" w:lineRule="auto"/>
              <w:jc w:val="center"/>
            </w:pPr>
            <w:r/>
            <w:r>
              <w:rPr>
                <w:sz w:val="18"/>
              </w:rPr>
              <w:t>−0.055* (0.030)</w:t>
            </w:r>
          </w:p>
        </w:tc>
      </w:tr>
    </w:tbl>
    <w:p>
      <w:pPr>
        <w:spacing w:line="240" w:lineRule="auto" w:after="40" w:before="0"/>
      </w:pPr>
      <w:r>
        <w:rPr>
          <w:sz w:val="20"/>
        </w:rPr>
        <w:t>Rows move step by step from Eq. (11) on all firm-years to the baseline of Eq. (6), with standard errors in parentheses (firm-clustered for TWFE, bootstrap otherwise). *, **, and *** denote significance at 10%, 5%, and 1%.</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S2</w:t>
      </w:r>
      <w:r>
        <w:t xml:space="preserve"> </w:t>
      </w:r>
      <w:r>
        <w:rPr/>
        <w:t>Event-time effects on ln(MTB) under alternative specifications and dating</w:t>
      </w:r>
    </w:p>
    <w:p>
      <w:pPr>
        <w:jc w:val="center"/>
      </w:pPr>
      <w:r>
        <w:drawing>
          <wp:inline xmlns:a="http://schemas.openxmlformats.org/drawingml/2006/main" xmlns:pic="http://schemas.openxmlformats.org/drawingml/2006/picture">
            <wp:extent cx="5760720" cy="6203852"/>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760720" cy="6203852"/>
                    </a:xfrm>
                    <a:prstGeom prst="rect"/>
                  </pic:spPr>
                </pic:pic>
              </a:graphicData>
            </a:graphic>
          </wp:inline>
        </w:drawing>
      </w:r>
    </w:p>
    <w:p>
      <w:pPr>
        <w:spacing w:line="240" w:lineRule="auto" w:after="40" w:before="0"/>
      </w:pPr>
      <w:r>
        <w:rPr>
          <w:sz w:val="20"/>
        </w:rPr>
        <w:t>Panel A varies the size covariate and the support with the first scored fiscal year as event; panel B dates the event one year later. Marker shape and line type identify the specification, and bars are bootstrap 95% intervals.</w:t>
      </w:r>
    </w:p>
    <w:p>
      <w:pPr>
        <w:spacing w:line="240" w:lineRule="auto" w:after="40" w:before="0"/>
      </w:pPr>
      <w:r>
        <w:rPr>
          <w:sz w:val="20"/>
        </w:rPr>
        <w:t>Source: Authors' calculations from LSEG ESG scores and Compustat Global.</w:t>
      </w:r>
    </w:p>
    <w:p>
      <w:r>
        <w:br w:type="page"/>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