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r>
        <w:rPr/>
        <w:t>Nguyen Van Trung (corresponding author)</w:t>
      </w:r>
    </w:p>
    <w:p>
      <w:pPr>
        <w:spacing w:line="240" w:lineRule="auto" w:after="0" w:before="0"/>
      </w:pPr>
      <w:r>
        <w:rPr/>
        <w:t>Academy of Policy and Development, Hanoi, Vietnam</w:t>
      </w:r>
    </w:p>
    <w:p>
      <w:pPr>
        <w:spacing w:line="240" w:lineRule="auto" w:after="0" w:before="0"/>
      </w:pPr>
      <w:r>
        <w:rPr/>
        <w:t>kontrungcany@gmail.com</w:t>
      </w:r>
    </w:p>
    <w:p>
      <w:pPr>
        <w:spacing w:line="240" w:lineRule="auto" w:after="0" w:before="0"/>
      </w:pPr>
    </w:p>
    <w:p>
      <w:pPr>
        <w:spacing w:line="240" w:lineRule="auto" w:after="0" w:before="0"/>
      </w:pPr>
      <w:r>
        <w:rPr/>
        <w:t>The Editor</w:t>
      </w:r>
    </w:p>
    <w:p>
      <w:pPr>
        <w:spacing w:line="240" w:lineRule="auto" w:after="0" w:before="0"/>
      </w:pPr>
    </w:p>
    <w:p>
      <w:pPr>
        <w:spacing w:line="360" w:lineRule="auto" w:after="120" w:before="0"/>
        <w:jc w:val="both"/>
      </w:pPr>
      <w:r>
        <w:rPr/>
        <w:t>Dear Editor,</w:t>
      </w:r>
    </w:p>
    <w:p>
      <w:pPr>
        <w:spacing w:line="360" w:lineRule="auto" w:after="120" w:before="0"/>
        <w:jc w:val="both"/>
      </w:pPr>
      <w:r>
        <w:rPr/>
        <w:t>We submit the manuscript "Who Gets an ESG Score? Coverage Selection and Firm Value in Five Southeast Asian Markets" for consideration as a research paper.</w:t>
      </w:r>
    </w:p>
    <w:p>
      <w:pPr>
        <w:spacing w:line="360" w:lineRule="auto" w:after="120" w:before="0"/>
        <w:jc w:val="both"/>
      </w:pPr>
      <w:r>
        <w:rPr/>
        <w:t>The paper asks which listed firms enter the ESG-rated universe in emerging markets and whether entering it changes how the equity market values them. Following 675 non-financial firms in Indonesia, Malaysia, the Philippines, Singapore, and Thailand that received a first LSEG ESG score, and comparing them with 2,613 never-scored firms, we find that firms entering through selective coverage waves had outgrown comparable unscored firms beforehand, whereas Malaysian firms covered in a wholesale expansion had not. Under parallel trends, market-to-book ratios did not rise after the first score, whatever the level of the score, while a static two-way fixed effects regression on the same data would attribute a valuation gain of 6.6 percent to coverage. The paper speaks to research on ESG ratings as information, on ESG investor demand, and on the composition of the rated universe that ESG screens and indices draw on. We registered the hypotheses, sample rules, estimator, and robustness checks in a pre-analysis plan before estimation and report all pre-specified results, including a placebo test that fails.</w:t>
      </w:r>
    </w:p>
    <w:p>
      <w:pPr>
        <w:spacing w:line="360" w:lineRule="auto" w:after="120" w:before="0"/>
        <w:jc w:val="both"/>
      </w:pPr>
      <w:r>
        <w:rPr/>
        <w:t>The manuscript is original, has not been published elsewhere, and is not under consideration by another journal. All authors have approved the submission and declare no competing interests. The manuscript file is anonymized for double-anonymous review; author details, acknowledgements, and the declaration of generative AI use are in the separate title page. Tables are supplied in a separate file, and the supplementary material contains eight tables and two figures referred to in the text. The underlying LSEG and Compustat data are licensed and cannot be redistributed; the R code, the pre-analysis plan, and all aggregate output files are available on request and will be deposited in a public repository upon acceptance.</w:t>
      </w:r>
    </w:p>
    <w:p>
      <w:pPr>
        <w:spacing w:line="360" w:lineRule="auto" w:after="120" w:before="0"/>
        <w:jc w:val="both"/>
      </w:pPr>
      <w:r>
        <w:rPr/>
        <w:t>Sincerely,</w:t>
      </w:r>
    </w:p>
    <w:p>
      <w:pPr>
        <w:spacing w:line="360" w:lineRule="auto" w:after="120" w:before="0"/>
        <w:jc w:val="both"/>
      </w:pPr>
      <w:r>
        <w:rPr/>
        <w:t>Nguyen Van Trung, on behalf of Nguyen Thanh Binh, Ha Hong Hanh, and Nguyen Bach Diep</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