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0"/>
        <w:jc w:val="center"/>
      </w:pPr>
      <w:r>
        <w:rPr>
          <w:b/>
        </w:rPr>
        <w:t>BÀI KIỂM TRA TỰ LUẬN</w:t>
      </w:r>
    </w:p>
    <w:p>
      <w:pPr>
        <w:spacing w:line="312" w:lineRule="auto" w:after="0"/>
        <w:jc w:val="center"/>
      </w:pPr>
      <w:r>
        <w:rPr>
          <w:b/>
        </w:rPr>
        <w:t>HỌC PHẦN PHÂN TÍCH TÀI CHÍNH DOANH NGHIỆP</w:t>
      </w:r>
    </w:p>
    <w:p>
      <w:pPr>
        <w:spacing w:line="312" w:lineRule="auto" w:after="0"/>
      </w:pPr>
      <w:r>
        <w:t>Họ và tên:</w:t>
      </w:r>
    </w:p>
    <w:p>
      <w:pPr>
        <w:spacing w:line="312" w:lineRule="auto" w:after="0"/>
      </w:pPr>
      <w:r>
        <w:t>Mã sinh viên:</w:t>
      </w:r>
    </w:p>
    <w:p>
      <w:pPr>
        <w:spacing w:line="312" w:lineRule="auto" w:after="0"/>
      </w:pPr>
      <w:r>
        <w:t>Lớp:</w:t>
      </w:r>
    </w:p>
    <w:p>
      <w:pPr>
        <w:keepNext/>
        <w:spacing w:line="312" w:lineRule="auto" w:after="120" w:before="240"/>
        <w:jc w:val="both"/>
      </w:pPr>
      <w:r>
        <w:rPr>
          <w:b/>
        </w:rPr>
        <w:t>Câu 1. Những điểm hạn chế của báo cáo tài chính trên quan điểm phân tích tài chính doanh nghiệp</w:t>
      </w:r>
    </w:p>
    <w:p>
      <w:pPr>
        <w:spacing w:line="312" w:lineRule="auto" w:after="120"/>
        <w:ind w:firstLine="567"/>
        <w:jc w:val="both"/>
      </w:pPr>
      <w:r>
        <w:rPr>
          <w:b w:val="0"/>
        </w:rPr>
        <w:t>Báo cáo tài chính (BCTC) gồm bảng cân đối kế toán, báo cáo kết quả hoạt động kinh doanh, báo cáo lưu chuyển tiền tệ và thuyết minh. Đây là nguồn dữ liệu chính của người phân tích. Tuy nhiên, doanh nghiệp lập BCTC để tuân thủ chuẩn mực kế toán, nên BCTC không trả lời trực tiếp câu hỏi doanh nghiệp đáng giá bao nhiêu và rủi ro đến đâu. Từ góc độ phân tích, BCTC có tám hạn chế chính.</w:t>
      </w:r>
    </w:p>
    <w:p>
      <w:pPr>
        <w:spacing w:line="312" w:lineRule="auto" w:after="120"/>
        <w:ind w:firstLine="567"/>
        <w:jc w:val="both"/>
      </w:pPr>
      <w:r>
        <w:rPr>
          <w:b/>
        </w:rPr>
        <w:t>Thứ nhất, nguyên tắc giá gốc làm giá trị sổ sách lệch khỏi giá trị thị trường.</w:t>
      </w:r>
      <w:r>
        <w:rPr>
          <w:b w:val="0"/>
        </w:rPr>
        <w:t xml:space="preserve"> Theo chuẩn mực kế toán Việt Nam (VAS), tài sản cố định, bất động sản đầu tư và hàng tồn kho ghi theo giá gốc trừ khấu hao hoặc dự phòng. Một mảnh đất doanh nghiệp mua năm 2005 vẫn nằm trên bảng cân đối kế toán theo giá năm 2005, dù giá thị trường đã tăng nhiều lần. Ngược lại, máy móc lạc hậu có thể còn giá trị còn lại lớn trên sổ nhưng không bán được. Người phân tích nhìn vào tổng tài sản hay vốn chủ sở hữu vì vậy chưa biết giá trị kinh tế thực của doanh nghiệp.</w:t>
      </w:r>
    </w:p>
    <w:p>
      <w:pPr>
        <w:spacing w:line="312" w:lineRule="auto" w:after="120"/>
        <w:ind w:firstLine="567"/>
        <w:jc w:val="both"/>
      </w:pPr>
      <w:r>
        <w:rPr>
          <w:b/>
        </w:rPr>
        <w:t>Thứ hai, nhiều nguồn lực tạo giá trị không xuất hiện trên bảng cân đối kế toán.</w:t>
      </w:r>
      <w:r>
        <w:rPr>
          <w:b w:val="0"/>
        </w:rPr>
        <w:t xml:space="preserve"> VAS 04 không cho phép ghi nhận thương hiệu, danh sách khách hàng hay bí quyết do doanh nghiệp tự tạo ra là tài sản; chi phí nghiên cứu được ghi thẳng vào chi phí trong kỳ. Đội ngũ nhân sự, quan hệ với nhà phân phối và vị thế thị trường cũng không có dòng nào trên BCTC. Với doanh nghiệp công nghệ, dược phẩm hay hàng tiêu dùng có thương hiệu mạnh, BCTC bỏ sót phần lớn nguồn tạo ra lợi nhuận.</w:t>
      </w:r>
    </w:p>
    <w:p>
      <w:pPr>
        <w:spacing w:line="312" w:lineRule="auto" w:after="120"/>
        <w:ind w:firstLine="567"/>
        <w:jc w:val="both"/>
      </w:pPr>
      <w:r>
        <w:rPr>
          <w:b/>
        </w:rPr>
        <w:t>Thứ ba, số liệu phụ thuộc vào ước tính và lựa chọn chính sách kế toán.</w:t>
      </w:r>
      <w:r>
        <w:rPr>
          <w:b w:val="0"/>
        </w:rPr>
        <w:t xml:space="preserve"> Thời gian khấu hao, mức trích lập dự phòng nợ phải thu khó đòi, dự phòng giảm giá hàng tồn kho đều do ban giám đốc ước tính. Doanh nghiệp còn được chọn phương pháp tính giá hàng xuất kho (nhập trước, xuất trước hoặc bình quân gia quyền theo VAS 02) và phương pháp khấu hao. Hai doanh nghiệp có hoạt động giống hệt nhau vẫn báo cáo lợi nhuận khác nhau chỉ vì khác chính sách kế toán. Khoảng tự do này cũng mở đường cho điều chỉnh lợi nhuận, chẳng hạn giảm trích lập dự phòng trong năm kinh doanh kém để giữ lợi nhuận ổn định.</w:t>
      </w:r>
    </w:p>
    <w:p>
      <w:pPr>
        <w:spacing w:line="312" w:lineRule="auto" w:after="120"/>
        <w:ind w:firstLine="567"/>
        <w:jc w:val="both"/>
      </w:pPr>
      <w:r>
        <w:rPr>
          <w:b/>
        </w:rPr>
        <w:t>Thứ tư, lợi nhuận kế toán theo cơ sở dồn tích không đồng nghĩa với tiền.</w:t>
      </w:r>
      <w:r>
        <w:rPr>
          <w:b w:val="0"/>
        </w:rPr>
        <w:t xml:space="preserve"> Doanh thu được ghi nhận khi chuyển giao hàng hóa, dịch vụ, không phải khi thu tiền. Một doanh nghiệp bán chịu nhiều có thể báo lãi lớn trong khi dòng tiền từ hoạt động kinh doanh âm và phải vay để trả lương. Nếu người phân tích chỉ đọc báo cáo kết quả kinh doanh mà bỏ qua báo cáo lưu chuyển tiền tệ, họ sẽ đánh giá quá cao khả năng thanh toán của doanh nghiệp.</w:t>
      </w:r>
    </w:p>
    <w:p>
      <w:pPr>
        <w:spacing w:line="312" w:lineRule="auto" w:after="120"/>
        <w:ind w:firstLine="567"/>
        <w:jc w:val="both"/>
      </w:pPr>
      <w:r>
        <w:rPr>
          <w:b/>
        </w:rPr>
        <w:t>Thứ năm, bảng cân đối kế toán chỉ phản ánh một thời điểm.</w:t>
      </w:r>
      <w:r>
        <w:rPr>
          <w:b w:val="0"/>
        </w:rPr>
        <w:t xml:space="preserve"> Số liệu ngày 31/12 có thể không đại diện cho cả năm, nhất là với doanh nghiệp kinh doanh theo mùa vụ. Doanh nghiệp cũng có thể "làm đẹp" báo cáo cuối kỳ: trả bớt nợ ngắn hạn, đẩy mạnh bán hàng tháng 12 rồi nhận hàng trả lại tháng 1, hoặc hoãn mua nguyên vật liệu. Các chỉ tiêu tính trên số dư cuối kỳ sẽ tốt hơn thực tế.</w:t>
      </w:r>
    </w:p>
    <w:p>
      <w:pPr>
        <w:spacing w:line="312" w:lineRule="auto" w:after="120"/>
        <w:ind w:firstLine="567"/>
        <w:jc w:val="both"/>
      </w:pPr>
      <w:r>
        <w:rPr>
          <w:b/>
        </w:rPr>
        <w:t>Thứ sáu, BCTC mang tính lịch sử và công bố chậm.</w:t>
      </w:r>
      <w:r>
        <w:rPr>
          <w:b w:val="0"/>
        </w:rPr>
        <w:t xml:space="preserve"> BCTC năm thường công bố sau khi kết thúc năm tài chính vài tháng. Người phân tích dùng số liệu quá khứ để ra quyết định cho tương lai, trong khi lãi suất, tỷ giá, giá nguyên liệu có thể đã thay đổi. BCTC không chứa dự báo và không phản ánh các sự kiện xảy ra sau ngày lập báo cáo, trừ những sự kiện được thuyết minh.</w:t>
      </w:r>
    </w:p>
    <w:p>
      <w:pPr>
        <w:spacing w:line="312" w:lineRule="auto" w:after="120"/>
        <w:ind w:firstLine="567"/>
        <w:jc w:val="both"/>
      </w:pPr>
      <w:r>
        <w:rPr>
          <w:b/>
        </w:rPr>
        <w:t>Thứ bảy, nhiều nghĩa vụ nằm ngoài bảng cân đối kế toán.</w:t>
      </w:r>
      <w:r>
        <w:rPr>
          <w:b w:val="0"/>
        </w:rPr>
        <w:t xml:space="preserve"> Theo VAS 06, tài sản thuê hoạt động không được ghi nhận, nên nghĩa vụ trả tiền thuê dài hạn không hiện lên thành nợ phải trả. Các khoản bảo lãnh cho công ty liên quan, cam kết mua hàng hay nợ tiềm tàng từ tranh chấp chỉ nằm trong thuyết minh, thậm chí không được trình bày đầy đủ. Hệ số nợ tính từ bảng cân đối kế toán vì vậy có thể thấp hơn mức rủi ro thực tế.</w:t>
      </w:r>
    </w:p>
    <w:p>
      <w:pPr>
        <w:spacing w:line="312" w:lineRule="auto" w:after="120"/>
        <w:ind w:firstLine="567"/>
        <w:jc w:val="both"/>
      </w:pPr>
      <w:r>
        <w:rPr>
          <w:b/>
        </w:rPr>
        <w:t>Thứ tám, BCTC thiếu thông tin phi tài chính và phụ thuộc chất lượng kiểm toán.</w:t>
      </w:r>
      <w:r>
        <w:rPr>
          <w:b w:val="0"/>
        </w:rPr>
        <w:t xml:space="preserve"> BCTC không cho biết chất lượng quản trị, năng lực cạnh tranh, rủi ro pháp lý hay tác động môi trường, xã hội. Giao dịch với bên liên quan có thể làm méo doanh thu và lợi nhuận nếu thuyết minh sơ sài. Ngoài ra, hệ thống VAS hiện hành còn khác biệt với chuẩn mực báo cáo tài chính quốc tế (IFRS), nên số liệu của doanh nghiệp Việt Nam khó so sánh trực tiếp với doanh nghiệp nước ngoài.</w:t>
      </w:r>
    </w:p>
    <w:p>
      <w:pPr>
        <w:spacing w:line="312" w:lineRule="auto" w:after="120"/>
        <w:ind w:firstLine="567"/>
        <w:jc w:val="both"/>
      </w:pPr>
      <w:r>
        <w:rPr>
          <w:b w:val="0"/>
        </w:rPr>
        <w:t>Từ những hạn chế trên, người phân tích không dừng ở các con số trên báo cáo chính. Họ cần đọc kỹ thuyết minh, đối chiếu lợi nhuận với dòng tiền, điều chỉnh các khoản mục bị ghi nhận lệch, xem ý kiến kiểm toán và bổ sung thông tin ngành, thông tin thị trường.</w:t>
      </w:r>
    </w:p>
    <w:p>
      <w:pPr>
        <w:keepNext/>
        <w:spacing w:line="312" w:lineRule="auto" w:after="120" w:before="240"/>
        <w:jc w:val="both"/>
      </w:pPr>
      <w:r>
        <w:rPr>
          <w:b/>
        </w:rPr>
        <w:t>Câu 2. Những điểm hạn chế của việc sử dụng các tỷ số tài chính trong phân tích tài chính</w:t>
      </w:r>
    </w:p>
    <w:p>
      <w:pPr>
        <w:spacing w:line="312" w:lineRule="auto" w:after="120"/>
        <w:ind w:firstLine="567"/>
        <w:jc w:val="both"/>
      </w:pPr>
      <w:r>
        <w:rPr>
          <w:b w:val="0"/>
        </w:rPr>
        <w:t>Tỷ số tài chính đưa số liệu tuyệt đối về dạng tương đối, giúp so sánh doanh nghiệp qua các năm và với doanh nghiệp khác. Tuy vậy, tỷ số chỉ là công cụ tính toán trên BCTC, nên nó mang theo hạn chế của BCTC và có thêm những hạn chế riêng.</w:t>
      </w:r>
    </w:p>
    <w:p>
      <w:pPr>
        <w:spacing w:line="312" w:lineRule="auto" w:after="120"/>
        <w:ind w:firstLine="567"/>
        <w:jc w:val="both"/>
      </w:pPr>
      <w:r>
        <w:rPr>
          <w:b/>
        </w:rPr>
        <w:t>Thứ nhất, tỷ số chỉ tốt bằng dữ liệu đầu vào.</w:t>
      </w:r>
      <w:r>
        <w:rPr>
          <w:b w:val="0"/>
        </w:rPr>
        <w:t xml:space="preserve"> Mọi hạn chế nêu ở Câu 1 đều truyền sang tỷ số. Nếu doanh nghiệp trích lập thiếu dự phòng nợ phải thu, cả lợi nhuận lẫn tài sản ngắn hạn đều bị ghi cao. Khi đó tỷ suất sinh lời trên tài sản (ROA) và hệ số thanh toán hiện hành cùng đẹp hơn thực tế, người phân tích nhìn tỷ số sẽ không phát hiện ra.</w:t>
      </w:r>
    </w:p>
    <w:p>
      <w:pPr>
        <w:spacing w:line="312" w:lineRule="auto" w:after="120"/>
        <w:ind w:firstLine="567"/>
        <w:jc w:val="both"/>
      </w:pPr>
      <w:r>
        <w:rPr>
          <w:b/>
        </w:rPr>
        <w:t>Thứ hai, tỷ số tính trên số dư cuối kỳ dễ bị "làm đẹp".</w:t>
      </w:r>
      <w:r>
        <w:rPr>
          <w:b w:val="0"/>
        </w:rPr>
        <w:t xml:space="preserve"> Ví dụ, ngày 31/12 một doanh nghiệp có tài sản ngắn hạn 60 tỷ đồng và nợ ngắn hạn 40 tỷ đồng, hệ số thanh toán hiện hành bằng 60/40 = 1,5. Nếu ngay trước ngày khóa sổ doanh nghiệp dùng 20 tỷ đồng tiền để trả nợ ngắn hạn, hệ số này tăng lên 40/20 = 2,0 dù khả năng thanh toán thực chất không thay đổi. Ngoài ra, khi tỷ số lấy chỉ tiêu thời kỳ (lợi nhuận, doanh thu) chia cho chỉ tiêu thời điểm (tài sản, vốn chủ sở hữu cuối kỳ), kết quả sẽ lệch nếu quy mô doanh nghiệp tăng giảm mạnh trong năm. Dùng số bình quân đầu kỳ và cuối kỳ giảm được sai lệch này nhưng không loại bỏ hết.</w:t>
      </w:r>
    </w:p>
    <w:p>
      <w:pPr>
        <w:spacing w:line="312" w:lineRule="auto" w:after="120"/>
        <w:ind w:firstLine="567"/>
        <w:jc w:val="both"/>
      </w:pPr>
      <w:r>
        <w:rPr>
          <w:b/>
        </w:rPr>
        <w:t>Thứ ba, khác biệt chính sách kế toán làm tỷ số của các doanh nghiệp không so sánh được.</w:t>
      </w:r>
      <w:r>
        <w:rPr>
          <w:b w:val="0"/>
        </w:rPr>
        <w:t xml:space="preserve"> Giả sử hai doanh nghiệp cùng mua một máy móc giá 1.000 triệu đồng, dùng trong 5 năm. Doanh nghiệp A khấu hao đường thẳng, chi phí khấu hao năm đầu 200 triệu đồng. Doanh nghiệp B khấu hao theo số dư giảm dần với hệ số 2, chi phí năm đầu 400 triệu đồng. Nếu mọi yếu tố khác như nhau, lợi nhuận năm đầu của B thấp hơn A 200 triệu đồng và giá trị còn lại của tài sản cũng thấp hơn, nên ROA và biên lợi nhuận của hai doanh nghiệp khác nhau dù hiệu quả kinh doanh như nhau.</w:t>
      </w:r>
    </w:p>
    <w:p>
      <w:pPr>
        <w:spacing w:line="312" w:lineRule="auto" w:after="120"/>
        <w:ind w:firstLine="567"/>
        <w:jc w:val="both"/>
      </w:pPr>
      <w:r>
        <w:rPr>
          <w:b/>
        </w:rPr>
        <w:t>Thứ tư, không có ngưỡng "tốt" chung cho mọi doanh nghiệp.</w:t>
      </w:r>
      <w:r>
        <w:rPr>
          <w:b w:val="0"/>
        </w:rPr>
        <w:t xml:space="preserve"> Một tỷ số chỉ có ý nghĩa khi đặt cạnh xu hướng của chính doanh nghiệp và trung bình ngành. Vòng quay hàng tồn kho 10 lần một năm có thể thấp đối với chuỗi bán lẻ thực phẩm tươi sống nhưng cao đối với doanh nghiệp đóng tàu. Doanh nghiệp hoạt động nhiều ngành càng khó chọn chuẩn so sánh, còn số liệu trung bình ngành ở Việt Nam nhiều khi không đầy đủ hoặc không cùng phương pháp tính.</w:t>
      </w:r>
    </w:p>
    <w:p>
      <w:pPr>
        <w:spacing w:line="312" w:lineRule="auto" w:after="120"/>
        <w:ind w:firstLine="567"/>
        <w:jc w:val="both"/>
      </w:pPr>
      <w:r>
        <w:rPr>
          <w:b/>
        </w:rPr>
        <w:t>Thứ năm, một tỷ số đơn lẻ có thể dẫn đến kết luận sai.</w:t>
      </w:r>
      <w:r>
        <w:rPr>
          <w:b w:val="0"/>
        </w:rPr>
        <w:t xml:space="preserve"> Hai doanh nghiệp cùng có tỷ suất sinh lời trên vốn chủ sở hữu (ROE) 20%. Phân tích theo mô hình Dupont, ROE bằng biên lợi nhuận ròng nhân vòng quay tổng tài sản nhân đòn bẩy tài chính (tổng tài sản chia vốn chủ sở hữu). Doanh nghiệp X đạt 20% nhờ biên lợi nhuận 10%, vòng quay 1 lần và đòn bẩy 2 lần. Doanh nghiệp Y đạt 20% với biên lợi nhuận 4%, vòng quay 1 lần nhưng đòn bẩy 5 lần. ROE bằng nhau nhưng Y vay nợ gấp nhiều lần X và rủi ro cao hơn hẳn. Tương tự, ROE còn tăng khi vốn chủ sở hữu giảm do lỗ lũy kế, và mất ý nghĩa khi vốn chủ sở hữu âm.</w:t>
      </w:r>
    </w:p>
    <w:p>
      <w:pPr>
        <w:spacing w:line="312" w:lineRule="auto" w:after="120"/>
        <w:ind w:firstLine="567"/>
        <w:jc w:val="both"/>
      </w:pPr>
      <w:r>
        <w:rPr>
          <w:b/>
        </w:rPr>
        <w:t>Thứ sáu, các tỷ số có thể mâu thuẫn với nhau.</w:t>
      </w:r>
      <w:r>
        <w:rPr>
          <w:b w:val="0"/>
        </w:rPr>
        <w:t xml:space="preserve"> Một doanh nghiệp có hệ số thanh toán hiện hành 2,5, nghe có vẻ an toàn. Nhưng nếu 70% tài sản ngắn hạn là hàng tồn kho chậm luân chuyển, hệ số thanh toán nhanh (không tính hàng tồn kho) chỉ còn 0,75, tức tài sản dễ chuyển thành tiền chưa đủ trả nợ ngắn hạn. Hệ số thanh toán cao ở đây phản ánh hàng tồn đọng.</w:t>
      </w:r>
    </w:p>
    <w:p>
      <w:pPr>
        <w:spacing w:line="312" w:lineRule="auto" w:after="120"/>
        <w:ind w:firstLine="567"/>
        <w:jc w:val="both"/>
      </w:pPr>
      <w:r>
        <w:rPr>
          <w:b/>
        </w:rPr>
        <w:t>Thứ bảy, tỷ số chịu ảnh hưởng của lạm phát và nguyên tắc giá gốc.</w:t>
      </w:r>
      <w:r>
        <w:rPr>
          <w:b w:val="0"/>
        </w:rPr>
        <w:t xml:space="preserve"> Doanh nghiệp có tài sản cố định mua từ lâu, ghi theo giá gốc thấp, sẽ có ROA và vòng quay tài sản cao hơn doanh nghiệp vừa đầu tư dây chuyền mới, dù doanh nghiệp mới có thể hiệu quả hơn. Khi lạm phát cao, doanh thu và chi phí tính theo giá hiện hành còn tài sản theo giá cũ, nên các tỷ số hiệu quả sử dụng tài sản bị thổi phồng.</w:t>
      </w:r>
    </w:p>
    <w:p>
      <w:pPr>
        <w:spacing w:line="312" w:lineRule="auto" w:after="120"/>
        <w:ind w:firstLine="567"/>
        <w:jc w:val="both"/>
      </w:pPr>
      <w:r>
        <w:rPr>
          <w:b/>
        </w:rPr>
        <w:t>Thứ tám, tỷ số chỉ cho biết "cái gì" mà không cho biết "vì sao".</w:t>
      </w:r>
      <w:r>
        <w:rPr>
          <w:b w:val="0"/>
        </w:rPr>
        <w:t xml:space="preserve"> Tỷ số báo hiệu biên lợi nhuận giảm, nhưng không nói nguyên nhân là giá nguyên liệu tăng, doanh nghiệp giảm giá bán để giành thị phần hay chi phí quản lý phình to. Tỷ số cũng phản ánh quá khứ, không dự báo được tác động của thay đổi chính sách, cạnh tranh hay lãi suất.</w:t>
      </w:r>
    </w:p>
    <w:p>
      <w:pPr>
        <w:spacing w:line="312" w:lineRule="auto" w:after="120"/>
        <w:ind w:firstLine="567"/>
        <w:jc w:val="both"/>
      </w:pPr>
      <w:r>
        <w:rPr>
          <w:b w:val="0"/>
        </w:rPr>
        <w:t>Vì vậy, người phân tích cần dùng tỷ số theo hệ thống: xem xu hướng qua nhiều năm, so với doanh nghiệp cùng ngành, phân tích Dupont để tìm nguồn gốc biến động, kết hợp với báo cáo lưu chuyển tiền tệ, thuyết minh BCTC và thông tin phi tài chính. Tỷ số giúp người phân tích biết cần tìm hiểu thêm ở đâu; kết luận về tình hình tài chính chỉ đưa ra sau khi đã kiểm chứng bằng các nguồn đó.</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