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Internet Appendix</w:t>
      </w:r>
    </w:p>
    <w:p>
      <w:pPr>
        <w:spacing w:line="360" w:lineRule="auto" w:after="240" w:before="0"/>
        <w:jc w:val="center"/>
      </w:pPr>
      <w:r>
        <w:rPr>
          <w:b/>
        </w:rPr>
        <w:t>Rated Firms Gain Value Before, Not After, Their First ESG Score: Evidence from Five Southeast Asian Markets</w:t>
      </w:r>
    </w:p>
    <w:p>
      <w:pPr>
        <w:spacing w:line="360" w:lineRule="auto" w:after="120" w:before="0"/>
        <w:jc w:val="both"/>
      </w:pPr>
      <w:r>
        <w:rPr/>
        <w:t>This Internet Appendix accompanies "Rated Firms Gain Value Before, Not After, Their First ESG Score: Evidence from Five Southeast Asian Markets." Table IA1 re-estimates the average effects of the first ESG score over event years 0 to 3 after excluding one market at a time. Table IA2 and Figure IA1 show the number of non-financial firms that received their first LSEG ESG score in each year, by market.</w:t>
      </w:r>
    </w:p>
    <w:p>
      <w:r>
        <w:br w:type="page"/>
      </w:r>
    </w:p>
    <w:p>
      <w:pPr>
        <w:spacing w:line="240" w:lineRule="auto" w:after="120" w:before="0"/>
      </w:pPr>
      <w:r>
        <w:rPr>
          <w:b/>
        </w:rPr>
        <w:t>Table IA1</w:t>
      </w:r>
      <w:r>
        <w:t xml:space="preserve"> </w:t>
      </w:r>
      <w:r>
        <w:rPr/>
        <w:t>Leave-one-market-out estimates of the average effect of the first ESG score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11"/>
        <w:gridCol w:w="1512"/>
        <w:gridCol w:w="1512"/>
        <w:gridCol w:w="1512"/>
        <w:gridCol w:w="1512"/>
      </w:tblGrid>
      <w:tr>
        <w:tc>
          <w:tcPr>
            <w:tcW w:type="dxa" w:w="3312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1512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ln(MTB)</w:t>
            </w:r>
          </w:p>
        </w:tc>
        <w:tc>
          <w:tcPr>
            <w:tcW w:type="dxa" w:w="1512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ln(market capitalization)</w:t>
            </w:r>
          </w:p>
        </w:tc>
        <w:tc>
          <w:tcPr>
            <w:tcW w:type="dxa" w:w="1512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Book leverage</w:t>
            </w:r>
          </w:p>
        </w:tc>
        <w:tc>
          <w:tcPr>
            <w:tcW w:type="dxa" w:w="1512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ln(total assets)</w:t>
            </w:r>
          </w:p>
        </w:tc>
      </w:tr>
      <w:tr>
        <w:tc>
          <w:tcPr>
            <w:tcW w:type="dxa" w:w="331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Excluding Indonesia</w:t>
            </w:r>
          </w:p>
        </w:tc>
        <w:tc>
          <w:tcPr>
            <w:tcW w:type="dxa" w:w="1512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0.017 (0.024)</w:t>
            </w:r>
          </w:p>
        </w:tc>
        <w:tc>
          <w:tcPr>
            <w:tcW w:type="dxa" w:w="1512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−0.030 (0.030)</w:t>
            </w:r>
          </w:p>
        </w:tc>
        <w:tc>
          <w:tcPr>
            <w:tcW w:type="dxa" w:w="1512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0.011** (0.005)</w:t>
            </w:r>
          </w:p>
        </w:tc>
        <w:tc>
          <w:tcPr>
            <w:tcW w:type="dxa" w:w="1512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0.037* (0.020)</w:t>
            </w:r>
          </w:p>
        </w:tc>
      </w:tr>
      <w:tr>
        <w:tc>
          <w:tcPr>
            <w:tcW w:type="dxa" w:w="331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Excluding Malaysia</w:t>
            </w:r>
          </w:p>
        </w:tc>
        <w:tc>
          <w:tcPr>
            <w:tcW w:type="dxa" w:w="1512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−0.003 (0.035)</w:t>
            </w:r>
          </w:p>
        </w:tc>
        <w:tc>
          <w:tcPr>
            <w:tcW w:type="dxa" w:w="1512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0.037 (0.038)</w:t>
            </w:r>
          </w:p>
        </w:tc>
        <w:tc>
          <w:tcPr>
            <w:tcW w:type="dxa" w:w="1512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0.022*** (0.008)</w:t>
            </w:r>
          </w:p>
        </w:tc>
        <w:tc>
          <w:tcPr>
            <w:tcW w:type="dxa" w:w="1512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0.046 (0.029)</w:t>
            </w:r>
          </w:p>
        </w:tc>
      </w:tr>
      <w:tr>
        <w:tc>
          <w:tcPr>
            <w:tcW w:type="dxa" w:w="331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Excluding Philippines</w:t>
            </w:r>
          </w:p>
        </w:tc>
        <w:tc>
          <w:tcPr>
            <w:tcW w:type="dxa" w:w="1512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−0.001 (0.025)</w:t>
            </w:r>
          </w:p>
        </w:tc>
        <w:tc>
          <w:tcPr>
            <w:tcW w:type="dxa" w:w="1512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−0.066** (0.031)</w:t>
            </w:r>
          </w:p>
        </w:tc>
        <w:tc>
          <w:tcPr>
            <w:tcW w:type="dxa" w:w="1512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0.009* (0.005)</w:t>
            </w:r>
          </w:p>
        </w:tc>
        <w:tc>
          <w:tcPr>
            <w:tcW w:type="dxa" w:w="1512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0.031* (0.019)</w:t>
            </w:r>
          </w:p>
        </w:tc>
      </w:tr>
      <w:tr>
        <w:tc>
          <w:tcPr>
            <w:tcW w:type="dxa" w:w="331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Excluding Singapore</w:t>
            </w:r>
          </w:p>
        </w:tc>
        <w:tc>
          <w:tcPr>
            <w:tcW w:type="dxa" w:w="1512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−0.007 (0.025)</w:t>
            </w:r>
          </w:p>
        </w:tc>
        <w:tc>
          <w:tcPr>
            <w:tcW w:type="dxa" w:w="1512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−0.066** (0.032)</w:t>
            </w:r>
          </w:p>
        </w:tc>
        <w:tc>
          <w:tcPr>
            <w:tcW w:type="dxa" w:w="1512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0.005 (0.005)</w:t>
            </w:r>
          </w:p>
        </w:tc>
        <w:tc>
          <w:tcPr>
            <w:tcW w:type="dxa" w:w="1512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0.063*** (0.019)</w:t>
            </w:r>
          </w:p>
        </w:tc>
      </w:tr>
      <w:tr>
        <w:tc>
          <w:tcPr>
            <w:tcW w:type="dxa" w:w="3312"/>
            <w:tcBorders>
              <w:bottom w:val="single" w:sz="6" w:color="000000"/>
            </w:tcBorders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Excluding Thailand</w:t>
            </w:r>
          </w:p>
        </w:tc>
        <w:tc>
          <w:tcPr>
            <w:tcW w:type="dxa" w:w="1512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0.004 (0.029)</w:t>
            </w:r>
          </w:p>
        </w:tc>
        <w:tc>
          <w:tcPr>
            <w:tcW w:type="dxa" w:w="1512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−0.096** (0.037)</w:t>
            </w:r>
          </w:p>
        </w:tc>
        <w:tc>
          <w:tcPr>
            <w:tcW w:type="dxa" w:w="1512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0.004 (0.005)</w:t>
            </w:r>
          </w:p>
        </w:tc>
        <w:tc>
          <w:tcPr>
            <w:tcW w:type="dxa" w:w="1512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0.040* (0.021)</w:t>
            </w:r>
          </w:p>
        </w:tc>
      </w:tr>
    </w:tbl>
    <w:p>
      <w:pPr>
        <w:spacing w:line="240" w:lineRule="auto" w:after="40" w:before="0"/>
      </w:pPr>
      <w:r>
        <w:rPr>
          <w:sz w:val="20"/>
        </w:rPr>
        <w:t>Each cell reports the average effect over event years 0 to 3 with the bootstrap standard error in parentheses, estimated as in the baseline after dropping all firms from the named market; *, **, and *** denote significance at the 10%, 5%, and 1% levels based on unadjusted p-values.</w:t>
      </w:r>
    </w:p>
    <w:p>
      <w:pPr>
        <w:spacing w:line="240" w:lineRule="auto" w:after="40" w:before="0"/>
      </w:pPr>
      <w:r>
        <w:rPr>
          <w:sz w:val="20"/>
        </w:rPr>
        <w:t>Source: Authors' calculations from LSEG ESG scores and Compustat Global.</w:t>
      </w:r>
    </w:p>
    <w:p>
      <w:r>
        <w:br w:type="page"/>
      </w:r>
    </w:p>
    <w:p>
      <w:pPr>
        <w:spacing w:line="240" w:lineRule="auto" w:after="120" w:before="0"/>
      </w:pPr>
      <w:r>
        <w:rPr>
          <w:b/>
        </w:rPr>
        <w:t>Table IA2</w:t>
      </w:r>
      <w:r>
        <w:t xml:space="preserve"> </w:t>
      </w:r>
      <w:r>
        <w:rPr/>
        <w:t>Number of non-financial firms by year of first LSEG ESG score and market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2"/>
        <w:gridCol w:w="1224"/>
        <w:gridCol w:w="1224"/>
        <w:gridCol w:w="1296"/>
        <w:gridCol w:w="1296"/>
        <w:gridCol w:w="1224"/>
        <w:gridCol w:w="1080"/>
      </w:tblGrid>
      <w:tr>
        <w:tc>
          <w:tcPr>
            <w:tcW w:type="dxa" w:w="1872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First score year</w:t>
            </w:r>
          </w:p>
        </w:tc>
        <w:tc>
          <w:tcPr>
            <w:tcW w:type="dxa" w:w="1224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Indonesia</w:t>
            </w:r>
          </w:p>
        </w:tc>
        <w:tc>
          <w:tcPr>
            <w:tcW w:type="dxa" w:w="1224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Malaysia</w:t>
            </w:r>
          </w:p>
        </w:tc>
        <w:tc>
          <w:tcPr>
            <w:tcW w:type="dxa" w:w="1296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Philippines</w:t>
            </w:r>
          </w:p>
        </w:tc>
        <w:tc>
          <w:tcPr>
            <w:tcW w:type="dxa" w:w="1296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Singapore</w:t>
            </w:r>
          </w:p>
        </w:tc>
        <w:tc>
          <w:tcPr>
            <w:tcW w:type="dxa" w:w="1224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Thailand</w:t>
            </w:r>
          </w:p>
        </w:tc>
        <w:tc>
          <w:tcPr>
            <w:tcW w:type="dxa" w:w="1080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Total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2015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2016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9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2017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2018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2019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18</w:t>
            </w:r>
          </w:p>
        </w:tc>
        <w:tc>
          <w:tcPr>
            <w:tcW w:type="dxa" w:w="1080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2020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34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47</w:t>
            </w:r>
          </w:p>
        </w:tc>
        <w:tc>
          <w:tcPr>
            <w:tcW w:type="dxa" w:w="1080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2021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96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31</w:t>
            </w:r>
          </w:p>
        </w:tc>
        <w:tc>
          <w:tcPr>
            <w:tcW w:type="dxa" w:w="1080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141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2022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13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193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26</w:t>
            </w:r>
          </w:p>
        </w:tc>
        <w:tc>
          <w:tcPr>
            <w:tcW w:type="dxa" w:w="1080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237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2023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83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16</w:t>
            </w:r>
          </w:p>
        </w:tc>
        <w:tc>
          <w:tcPr>
            <w:tcW w:type="dxa" w:w="1080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109</w:t>
            </w:r>
          </w:p>
        </w:tc>
      </w:tr>
      <w:tr>
        <w:tc>
          <w:tcPr>
            <w:tcW w:type="dxa" w:w="1872"/>
            <w:tcBorders>
              <w:bottom w:val="single" w:sz="6" w:color="000000"/>
            </w:tcBorders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2024</w:t>
            </w:r>
          </w:p>
        </w:tc>
        <w:tc>
          <w:tcPr>
            <w:tcW w:type="dxa" w:w="1224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224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16</w:t>
            </w:r>
          </w:p>
        </w:tc>
        <w:tc>
          <w:tcPr>
            <w:tcW w:type="dxa" w:w="1296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296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224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17</w:t>
            </w:r>
          </w:p>
        </w:tc>
        <w:tc>
          <w:tcPr>
            <w:tcW w:type="dxa" w:w="1080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36</w:t>
            </w:r>
          </w:p>
        </w:tc>
      </w:tr>
    </w:tbl>
    <w:p>
      <w:pPr>
        <w:spacing w:line="240" w:lineRule="auto" w:after="40" w:before="0"/>
      </w:pPr>
      <w:r>
        <w:rPr>
          <w:sz w:val="20"/>
        </w:rPr>
        <w:t>Counts cover firms in the estimation sample; firms first scored in 2014 are excluded because they have no pre-coverage year.</w:t>
      </w:r>
    </w:p>
    <w:p>
      <w:pPr>
        <w:spacing w:line="240" w:lineRule="auto" w:after="40" w:before="0"/>
      </w:pPr>
      <w:r>
        <w:rPr>
          <w:sz w:val="20"/>
        </w:rPr>
        <w:t>Source: Authors' calculations from LSEG ESG scores.</w:t>
      </w:r>
    </w:p>
    <w:p>
      <w:r>
        <w:br w:type="page"/>
      </w:r>
    </w:p>
    <w:p>
      <w:pPr>
        <w:spacing w:line="240" w:lineRule="auto" w:after="120" w:before="0"/>
      </w:pPr>
      <w:r>
        <w:rPr>
          <w:b/>
        </w:rPr>
        <w:t>Fig. IA1</w:t>
      </w:r>
      <w:r>
        <w:t xml:space="preserve"> </w:t>
      </w:r>
      <w:r>
        <w:rPr/>
        <w:t>Number of non-financial firms by year of first LSEG ESG score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0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IA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40" w:before="0"/>
      </w:pPr>
      <w:r>
        <w:rPr>
          <w:sz w:val="20"/>
        </w:rPr>
        <w:t>Bars show the number of firms in the estimation sample that received their first LSEG ESG score in each year, all five markets combined.</w:t>
      </w:r>
    </w:p>
    <w:p>
      <w:pPr>
        <w:spacing w:line="240" w:lineRule="auto" w:after="40" w:before="0"/>
      </w:pPr>
      <w:r>
        <w:rPr>
          <w:sz w:val="20"/>
        </w:rPr>
        <w:t>Source: Authors' calculations from LSEG ESG scores.</w:t>
      </w:r>
    </w:p>
    <w:p>
      <w:r>
        <w:br w:type="page"/>
      </w:r>
    </w:p>
    <w:sectPr w:rsidR="00FC693F" w:rsidRPr="0006063C" w:rsidSect="00034616">
      <w:footerReference w:type="default" r:id="rId9"/>
      <w:pgSz w:w="12240" w:h="15840"/>
      <w:pgMar w:top="2160" w:right="1440" w:bottom="21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