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4AEE77" w14:textId="77777777" w:rsidR="0056063A" w:rsidRPr="00772DEF" w:rsidRDefault="00000000" w:rsidP="00772DEF">
      <w:pPr>
        <w:spacing w:after="240" w:line="300" w:lineRule="auto"/>
        <w:jc w:val="center"/>
        <w:rPr>
          <w:rFonts w:cs="Times New Roman"/>
          <w:szCs w:val="24"/>
        </w:rPr>
      </w:pPr>
      <w:r w:rsidRPr="00772DEF">
        <w:rPr>
          <w:rFonts w:cs="Times New Roman"/>
          <w:b/>
          <w:szCs w:val="24"/>
        </w:rPr>
        <w:t>Rated at the Peak? Firm Valuation around the First LSEG ESG Score in Five Southeast Asian Markets</w:t>
      </w:r>
    </w:p>
    <w:p w14:paraId="10AB4F42" w14:textId="77777777" w:rsidR="0056063A" w:rsidRPr="00772DEF" w:rsidRDefault="00000000" w:rsidP="00772DEF">
      <w:pPr>
        <w:spacing w:after="240" w:line="300" w:lineRule="auto"/>
        <w:jc w:val="center"/>
        <w:rPr>
          <w:rFonts w:cs="Times New Roman"/>
          <w:szCs w:val="24"/>
        </w:rPr>
      </w:pPr>
      <w:r w:rsidRPr="00772DEF">
        <w:rPr>
          <w:rFonts w:cs="Times New Roman"/>
          <w:szCs w:val="24"/>
        </w:rPr>
        <w:t>Running title: Valuation around first ESG scores</w:t>
      </w:r>
    </w:p>
    <w:p w14:paraId="170C4C67"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t>Abstract</w:t>
      </w:r>
    </w:p>
    <w:p w14:paraId="4DDBD273" w14:textId="77777777" w:rsidR="0056063A" w:rsidRPr="00772DEF" w:rsidRDefault="00000000" w:rsidP="00772DEF">
      <w:pPr>
        <w:spacing w:after="120" w:line="300" w:lineRule="auto"/>
        <w:jc w:val="both"/>
        <w:rPr>
          <w:rFonts w:cs="Times New Roman"/>
          <w:szCs w:val="24"/>
        </w:rPr>
      </w:pPr>
      <w:r w:rsidRPr="00772DEF">
        <w:rPr>
          <w:rFonts w:cs="Times New Roman"/>
          <w:szCs w:val="24"/>
        </w:rPr>
        <w:t>Using the staggered first appearance of London Stock Exchange Group (LSEG) environmental, social, and governance (ESG) scores for 675 non-financial firms in five Southeast Asian markets, mostly Malaysian and Thai, and 2,613 never-scored firms, we estimate heterogeneity-robust difference-in-differences effects on market-to-book ratios. Before their first scored year, scored firms' market capitalization and market-to-book ratios grew faster than those of comparable firms. Under parallel trends, market-to-book ratios did not rise afterwards (estimate 0.002; 95% interval −0.046 to 0.048). The first scored year coincides with a valuation peak, and we detect no later gain.</w:t>
      </w:r>
    </w:p>
    <w:p w14:paraId="0525671D" w14:textId="77777777" w:rsidR="0056063A" w:rsidRPr="00772DEF" w:rsidRDefault="00000000" w:rsidP="00772DEF">
      <w:pPr>
        <w:spacing w:after="120" w:line="300" w:lineRule="auto"/>
        <w:rPr>
          <w:rFonts w:cs="Times New Roman"/>
          <w:szCs w:val="24"/>
        </w:rPr>
      </w:pPr>
      <w:r w:rsidRPr="00772DEF">
        <w:rPr>
          <w:rFonts w:cs="Times New Roman"/>
          <w:szCs w:val="24"/>
        </w:rPr>
        <w:t>Keywords: Difference-in-differences; ESG ratings; Firm valuation; Rating coverage; Selection; Southeast Asia; Staggered adoption</w:t>
      </w:r>
    </w:p>
    <w:p w14:paraId="06F17524" w14:textId="77777777" w:rsidR="0056063A" w:rsidRPr="00772DEF" w:rsidRDefault="00000000" w:rsidP="00772DEF">
      <w:pPr>
        <w:spacing w:after="120" w:line="300" w:lineRule="auto"/>
        <w:rPr>
          <w:rFonts w:cs="Times New Roman"/>
          <w:szCs w:val="24"/>
        </w:rPr>
      </w:pPr>
      <w:r w:rsidRPr="00772DEF">
        <w:rPr>
          <w:rFonts w:cs="Times New Roman"/>
          <w:szCs w:val="24"/>
        </w:rPr>
        <w:t>JEL classification: G14, G15, G32, M14, Q56</w:t>
      </w:r>
    </w:p>
    <w:p w14:paraId="7827A2FE" w14:textId="77777777" w:rsidR="0056063A" w:rsidRPr="00772DEF" w:rsidRDefault="00000000" w:rsidP="00772DEF">
      <w:pPr>
        <w:spacing w:line="300" w:lineRule="auto"/>
        <w:rPr>
          <w:rFonts w:cs="Times New Roman"/>
          <w:szCs w:val="24"/>
        </w:rPr>
      </w:pPr>
      <w:r w:rsidRPr="00772DEF">
        <w:rPr>
          <w:rFonts w:cs="Times New Roman"/>
          <w:szCs w:val="24"/>
        </w:rPr>
        <w:br w:type="page"/>
      </w:r>
    </w:p>
    <w:p w14:paraId="23A4DDF7"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lastRenderedPageBreak/>
        <w:t>1. Introduction</w:t>
      </w:r>
    </w:p>
    <w:p w14:paraId="06E41198"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Environmental, social, and governance (ESG) scores enter portfolio screens, index rules, and fund mandates, so whether a listed firm is scored at all can matter as much as its score. An unscored firm cannot enter a portfolio that holds only rated stocks, and a first score can widen the firm's investor base. Merton (1987) shows that a larger investor base raises a stock's price, and investors who value ESG attributes accept lower expected returns on assets they can classify as sustainable (Pástor et al., 2021; Pedersen et al., 2021). Both arguments predict that the initiation of ESG coverage raises a firm's valuation.</w:t>
      </w:r>
    </w:p>
    <w:p w14:paraId="7683A4EB"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A second prediction reverses the direction of causality. Providers choose which firms to score and likely add a firm once it is large, liquid, or visible enough to matter to their clients, for example after it joins an index. Additions to a major index raise prices (Harris &amp; Gurel, 1986; Shleifer, 1986), and part of the effect reverses within weeks (Harris &amp; Gurel, 1986). If coverage follows growth in market value, a comparison of rated and unrated firms, or a regression pooling all years around coverage, attributes past growth to the rating.</w:t>
      </w:r>
    </w:p>
    <w:p w14:paraId="335ACE1F"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studies of rating coverage that we build on use U.S. firms and outcomes other than valuation. Tsang et al. (2024) link coverage by more ESG raters to fewer ESG violations, and Bikmetova and Pirinsky (2026) link additional coverage to lower toxic emissions, better ratings, and more ownership by high-ESG institutions. Dividends also change after coverage by non-financial rating agencies begins (Tsang et al., 2025). For valuation, sell-side analysts offer a closer analogue: the loss of analyst coverage lowers prices (Kelly &amp; Ljungqvist, 2012), and the first report on a neglected stock earns a positive return driven by favorable coverage rather than by coverage itself (Demiroglu &amp; Ryngaert, 2010). We do not know whether a first ESG score moves valuations in emerging markets, where most listed firms are unscored and coverage has expanded in waves.</w:t>
      </w:r>
    </w:p>
    <w:p w14:paraId="3DA253C1"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 xml:space="preserve">We study Indonesia, Malaysia, the Philippines, Singapore, and Thailand. The London Stock Exchange Group (LSEG), whose scores were earlier distributed as Refinitiv ESG and ASSET4, extended coverage in market-specific waves: 577 of the 675 non-financial firms that entered coverage between 2015 and 2024 did so in 2020 to 2023. Most scored firms are Malaysian or Thai, and most listed firms remained unscored. We treat the first fiscal year with an LSEG ESG score as a staggered event and estimate group-time average treatment effects on the treated (ATT) with the estimator of Callaway and Sant'Anna (2021). This estimator avoids the biases of two-way fixed effects regressions under staggered timing and heterogeneous effects (Baker et al., </w:t>
      </w:r>
      <w:r w:rsidRPr="00772DEF">
        <w:rPr>
          <w:rFonts w:cs="Times New Roman"/>
          <w:szCs w:val="24"/>
        </w:rPr>
        <w:lastRenderedPageBreak/>
        <w:t>2022; Goodman-Bacon, 2021). The primary outcome is the log market-to-book (MTB) ratio. A pre-analysis plan, committed to version control before the estimation code and included in the replication package, records the hypotheses, sample rules, estimator, and robustness checks, and we label every later analysis as exploratory.</w:t>
      </w:r>
    </w:p>
    <w:p w14:paraId="1773DA73"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evidence has three parts. First, over the four years from event year −5 to the base year, the market capitalization of scored firms grew 14.1 percent more and their MTB ratio 10.0 percent more than those of comparable never-scored firms. Second, under conditional parallel trends from the base year, the average effect on MTB over the first four years is 0.002, with a 95% confidence interval from −0.046 to 0.048. Third, when we date coverage one year later to allow for the time needed to publish a score, the effect becomes −0.068 (p = 0.004); because this decline is measured from the year of peak valuation, it cannot separate a reversal of the run-up from an effect of coverage. A static two-way fixed effects regression on the same data attributes a 6.6 percent MTB increase to coverage, showing how pooling turns selection into an apparent rating effect.</w:t>
      </w:r>
    </w:p>
    <w:p w14:paraId="52901E41"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We do not claim that coverage has no effect on valuation. The run-up casts doubt on the parallel-trends assumption behind the post-coverage estimates. When we allow post-coverage departures from parallel trends of up to a quarter of the largest pre-coverage year-to-year change, following Rambachan and Roth (2023), the MTB interval widens to −0.071 to 0.073. Because the upper limit of the unadjusted interval lies just below a 5 percent increase, any such departure admits positive effects of that size. The data support an ordering of events: the first score follows relative growth and coincides with a valuation peak, and under parallel trends no heterogeneity-robust specification detects a later gain.</w:t>
      </w:r>
    </w:p>
    <w:p w14:paraId="7DE59174"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We contribute to research on the financial consequences of ESG ratings with emerging-market evidence on the extensive margin of coverage, and we show that selection into coverage matters for any comparison of rated and unrated firms. The results also show that pre-coverage dynamics, which pre-trend tests treat as a nuisance (Roth, 2022), can be the economic finding.</w:t>
      </w:r>
    </w:p>
    <w:p w14:paraId="6B0A1A48"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Section 2 reviews the literature and states the hypotheses, Section 3 describes the setting and data, and Sections 4 and 5 present the methods and results. Section 6 discusses the results, Section 7 states the limitations, and Section 8 concludes.</w:t>
      </w:r>
    </w:p>
    <w:p w14:paraId="7D9F21D5"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lastRenderedPageBreak/>
        <w:t>2. Related Literature and Hypotheses</w:t>
      </w:r>
    </w:p>
    <w:p w14:paraId="5CE1D4F3"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2.1. Ratings, investor demand, and valuation</w:t>
      </w:r>
    </w:p>
    <w:p w14:paraId="5EB34FC2"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Two mechanisms link a first ESG score to a firm's valuation. Under investor recognition, a stock known to few investors trades at a discount because a small group bears its idiosyncratic risk (Merton, 1987), and a first score makes the firm visible to ESG-screening investors. Under investor preference, assets classified as sustainable command higher prices and lower expected returns (Pástor et al., 2021; Pedersen et al., 2021). Both predict that coverage raises valuation, the second more so for firms with a high initial score. Both also require investors to act on this particular score, yet U.S. ESG funds respond more to one provider's ratings than to those of others (Berg, Heeb, et al., 2022), and providers disagree (Berg, Kölbel, et al., 2022) in ways that are priced (Avramov et al., 2022; Gibson Brandon et al., 2021).</w:t>
      </w:r>
    </w:p>
    <w:p w14:paraId="2007AB62"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2.2. Coverage as a selection event</w:t>
      </w:r>
    </w:p>
    <w:p w14:paraId="61468346"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and larger firms receive higher scores from the provider we study (Dobrick et al., 2023). If providers select firms that have grown, a comparison of scored and unscored firms mixes the effect of coverage with the growth that led to it.</w:t>
      </w:r>
    </w:p>
    <w:p w14:paraId="692708DE"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Sell-side coverage offers an analogy: losing analyst coverage lowers prices (Kelly &amp; Ljungqvist, 2012), and the first coverage of a neglected stock raises its price only when the coverage is favorable (Demiroglu &amp; Ryngaert, 2010). Any valuation effect of a first ESG score should then concentrate in firms with favorable scores and in firms that were less visible before coverage.</w:t>
      </w:r>
    </w:p>
    <w:p w14:paraId="198C10D5"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2.3. Hypotheses</w:t>
      </w:r>
    </w:p>
    <w:p w14:paraId="2D6E693D"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pre-analysis plan states three hypotheses, each tested two-sided.</w:t>
      </w:r>
    </w:p>
    <w:p w14:paraId="7FC802ED"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H</w:t>
      </w:r>
      <w:r w:rsidRPr="00772DEF">
        <w:rPr>
          <w:rFonts w:cs="Times New Roman"/>
          <w:szCs w:val="24"/>
          <w:vertAlign w:val="subscript"/>
        </w:rPr>
        <w:t>1</w:t>
      </w:r>
      <w:r w:rsidRPr="00772DEF">
        <w:rPr>
          <w:rFonts w:cs="Times New Roman"/>
          <w:szCs w:val="24"/>
        </w:rPr>
        <w:t xml:space="preserve"> (primary): The initiation of LSEG ESG coverage changes the log MTB ratio of scored firms relative to comparable never-scored firms. The recognition and preference channels predict a positive effect; the selection view predicts no effect after coverage and relative growth before it.</w:t>
      </w:r>
    </w:p>
    <w:p w14:paraId="37254006"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lastRenderedPageBreak/>
        <w:t>H</w:t>
      </w:r>
      <w:r w:rsidRPr="00772DEF">
        <w:rPr>
          <w:rFonts w:cs="Times New Roman"/>
          <w:szCs w:val="24"/>
          <w:vertAlign w:val="subscript"/>
        </w:rPr>
        <w:t>2</w:t>
      </w:r>
      <w:r w:rsidRPr="00772DEF">
        <w:rPr>
          <w:rFonts w:cs="Times New Roman"/>
          <w:szCs w:val="24"/>
        </w:rPr>
        <w:t xml:space="preserve"> (secondary): Coverage changes log market capitalization, book leverage, and log total assets.</w:t>
      </w:r>
    </w:p>
    <w:p w14:paraId="2B15FEAC"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H</w:t>
      </w:r>
      <w:r w:rsidRPr="00772DEF">
        <w:rPr>
          <w:rFonts w:cs="Times New Roman"/>
          <w:szCs w:val="24"/>
          <w:vertAlign w:val="subscript"/>
        </w:rPr>
        <w:t>3</w:t>
      </w:r>
      <w:r w:rsidRPr="00772DEF">
        <w:rPr>
          <w:rFonts w:cs="Times New Roman"/>
          <w:szCs w:val="24"/>
        </w:rPr>
        <w:t xml:space="preserve"> (heterogeneity): The effect on log MTB differs between firms with initial scores above and below their cohort median, as the preference channel and the evidence on favorable first coverage suggest.</w:t>
      </w:r>
    </w:p>
    <w:p w14:paraId="05D7D3D2"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t>3. Institutional Setting and Data</w:t>
      </w:r>
    </w:p>
    <w:p w14:paraId="43E5CFC5"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3.1. ESG rating coverage in the five markets</w:t>
      </w:r>
    </w:p>
    <w:p w14:paraId="6260800C"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Disclosure rules differ across the five markets. Singapore, the most developed market, requires every listed issuer to publish a comply-or-explain sustainability report for financial years ending on or after 31 December 2017 (Singapore Exchange, 2016). In Malaysia, FTSE Russell, another part of LSEG, scored only the FTSE Bursa Malaysia EMAS constituents, about 30 percent of listed companies, until Bursa Malaysia and LSEG agreed in November 2022 to score all Main and ACE Market companies (Bernama, 2022). We do not document the timing of reporting rules in the other four markets. The LSEG ESG score we study, formerly Refinitiv ESG, is a separate product, so some newly covered firms may already have had FTSE Russell or other scores that our data do not record.</w:t>
      </w:r>
    </w:p>
    <w:p w14:paraId="2B1D3124"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pooled estimates are therefore weighted toward Malaysia and Thailand, and the Supplemental Appendix reports market-level estimates. The data do not record why coverage expanded when it did.</w:t>
      </w:r>
    </w:p>
    <w:p w14:paraId="19F2F152"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3.2. Sample and coverage timing</w:t>
      </w:r>
    </w:p>
    <w:p w14:paraId="182095F5"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data cover all 3,709 firms listed in the five markets from 2014 to 2024, or 40,799 firm-years, and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14:paraId="35259033"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 xml:space="preserve">Dropping financial firms leaves 3,423 firms. A firm's treatment year, g, is its first fiscal year with an LSEG ESG score. Only 17 of the 675 scored firms have a later year without a score, so </w:t>
      </w:r>
      <w:r w:rsidRPr="00772DEF">
        <w:rPr>
          <w:rFonts w:cs="Times New Roman"/>
          <w:szCs w:val="24"/>
        </w:rPr>
        <w:lastRenderedPageBreak/>
        <w:t>we treat coverage as permanent, the staggered-adoption setting of Callaway and Sant'Anna (2021). Excluding the 135 firms scored in 2014, which have no pre-coverage year, leaves a full firm-year grid of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Table S4 of the Supplemental Appendix reports firm-years by outcome, and Table S6 scored firms by event year. Of the 274 scored firms with a base-year MTB ratio in cohorts observed through event year 3, 271, or 98.9 percent, still have one in event year 3; the others have no MTB ratio in event year 3. Never-scored firms are much smaller on average, and many trade thinly. The comparison of changes adjusted for size, country, and industry does not need similar levels, but it needs enough never-scored firms of comparable size; a check in Section 4.5 drops small control firms.</w:t>
      </w:r>
    </w:p>
    <w:p w14:paraId="7D19D734"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treatment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historical years were filled in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year later.</w:t>
      </w:r>
    </w:p>
    <w:p w14:paraId="6361EE8F"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3.3. Outcomes</w:t>
      </w:r>
    </w:p>
    <w:p w14:paraId="3F09C9C7"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share counts, which the data cannot separate because they contain neither stock returns nor shares outstanding, so we use MTB for valuation and market capitalization for size. Amounts are in U.S. dollars as recorded in the data set. We winsorize MTB, market capitalization, leverage, and total assets at the 1st and 99th percentiles of the pooled sample before taking logarithms.</w:t>
      </w:r>
    </w:p>
    <w:p w14:paraId="758EAB5C"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lastRenderedPageBreak/>
        <w:t>4. Methods</w:t>
      </w:r>
    </w:p>
    <w:p w14:paraId="7D50E0FA"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4.1. Target parameter and identification</w:t>
      </w:r>
    </w:p>
    <w:p w14:paraId="22D3E111"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In the notation of Callaway and Sant'Anna (2021), let G</w:t>
      </w:r>
      <w:r w:rsidRPr="00772DEF">
        <w:rPr>
          <w:rFonts w:cs="Times New Roman"/>
          <w:szCs w:val="24"/>
          <w:vertAlign w:val="subscript"/>
        </w:rPr>
        <w:t>i</w:t>
      </w:r>
      <w:r w:rsidRPr="00772DEF">
        <w:rPr>
          <w:rFonts w:cs="Times New Roman"/>
          <w:szCs w:val="24"/>
        </w:rPr>
        <w:t xml:space="preserve"> be the first year in which firm i has an LSEG ESG score, with G</w:t>
      </w:r>
      <w:r w:rsidRPr="00772DEF">
        <w:rPr>
          <w:rFonts w:cs="Times New Roman"/>
          <w:szCs w:val="24"/>
          <w:vertAlign w:val="subscript"/>
        </w:rPr>
        <w:t>i</w:t>
      </w:r>
      <w:r w:rsidRPr="00772DEF">
        <w:rPr>
          <w:rFonts w:cs="Times New Roman"/>
          <w:szCs w:val="24"/>
        </w:rPr>
        <w:t xml:space="preserve"> = ∞ if it is never scored, and let Y</w:t>
      </w:r>
      <w:r w:rsidRPr="00772DEF">
        <w:rPr>
          <w:rFonts w:cs="Times New Roman"/>
          <w:szCs w:val="24"/>
          <w:vertAlign w:val="subscript"/>
        </w:rPr>
        <w:t>i,t</w:t>
      </w:r>
      <w:r w:rsidRPr="00772DEF">
        <w:rPr>
          <w:rFonts w:cs="Times New Roman"/>
          <w:szCs w:val="24"/>
        </w:rPr>
        <w:t>(g) be the potential outcome of firm i in year t if it were first scored in year g. The group-time average treatment effect on the treated is</w:t>
      </w:r>
    </w:p>
    <w:p w14:paraId="356E0199" w14:textId="50187C67"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tab/>
      </w:r>
      <m:oMath>
        <m:r>
          <m:rPr>
            <m:sty m:val="p"/>
          </m:rPr>
          <w:rPr>
            <w:rFonts w:ascii="Cambria Math" w:hAnsi="Cambria Math" w:cs="Times New Roman"/>
            <w:szCs w:val="24"/>
          </w:rPr>
          <m:t>ATT</m:t>
        </m:r>
        <m:d>
          <m:dPr>
            <m:ctrlPr>
              <w:rPr>
                <w:rFonts w:ascii="Cambria Math" w:hAnsi="Cambria Math" w:cs="Times New Roman"/>
                <w:szCs w:val="24"/>
              </w:rPr>
            </m:ctrlPr>
          </m:dPr>
          <m:e>
            <m:r>
              <m:rPr>
                <m:sty m:val="p"/>
              </m:rPr>
              <w:rPr>
                <w:rFonts w:ascii="Cambria Math" w:hAnsi="Cambria Math" w:cs="Times New Roman"/>
                <w:szCs w:val="24"/>
              </w:rPr>
              <m:t>g,t</m:t>
            </m:r>
          </m:e>
        </m:d>
        <m:r>
          <m:rPr>
            <m:scr m:val="double-struck"/>
            <m:sty m:val="p"/>
          </m:rPr>
          <w:rPr>
            <w:rFonts w:ascii="Cambria Math" w:hAnsi="Cambria Math" w:cs="Times New Roman"/>
            <w:szCs w:val="24"/>
          </w:rPr>
          <m:t>=E</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m:rPr>
                    <m:sty m:val="p"/>
                  </m:rPr>
                  <w:rPr>
                    <w:rFonts w:ascii="Cambria Math" w:hAnsi="Cambria Math" w:cs="Times New Roman"/>
                    <w:szCs w:val="24"/>
                  </w:rPr>
                  <m:t>Y</m:t>
                </m:r>
              </m:e>
              <m:sub>
                <m:r>
                  <m:rPr>
                    <m:sty m:val="p"/>
                  </m:rPr>
                  <w:rPr>
                    <w:rFonts w:ascii="Cambria Math" w:hAnsi="Cambria Math" w:cs="Times New Roman"/>
                    <w:szCs w:val="24"/>
                  </w:rPr>
                  <m:t>i,t</m:t>
                </m:r>
              </m:sub>
            </m:sSub>
            <m:d>
              <m:dPr>
                <m:ctrlPr>
                  <w:rPr>
                    <w:rFonts w:ascii="Cambria Math" w:hAnsi="Cambria Math" w:cs="Times New Roman"/>
                    <w:szCs w:val="24"/>
                  </w:rPr>
                </m:ctrlPr>
              </m:dPr>
              <m:e>
                <m:r>
                  <m:rPr>
                    <m:sty m:val="p"/>
                  </m:rPr>
                  <w:rPr>
                    <w:rFonts w:ascii="Cambria Math" w:hAnsi="Cambria Math" w:cs="Times New Roman"/>
                    <w:szCs w:val="24"/>
                  </w:rPr>
                  <m:t>g</m:t>
                </m:r>
              </m:e>
            </m:d>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Y</m:t>
                </m:r>
              </m:e>
              <m:sub>
                <m:r>
                  <m:rPr>
                    <m:sty m:val="p"/>
                  </m:rPr>
                  <w:rPr>
                    <w:rFonts w:ascii="Cambria Math" w:hAnsi="Cambria Math" w:cs="Times New Roman"/>
                    <w:szCs w:val="24"/>
                  </w:rPr>
                  <m:t>i,t</m:t>
                </m:r>
              </m:sub>
            </m:sSub>
            <m:d>
              <m:dPr>
                <m:ctrlPr>
                  <w:rPr>
                    <w:rFonts w:ascii="Cambria Math" w:hAnsi="Cambria Math" w:cs="Times New Roman"/>
                    <w:szCs w:val="24"/>
                  </w:rPr>
                </m:ctrlPr>
              </m:dPr>
              <m:e>
                <m:r>
                  <m:rPr>
                    <m:sty m:val="p"/>
                  </m:rPr>
                  <w:rPr>
                    <w:rFonts w:ascii="Cambria Math" w:hAnsi="Cambria Math" w:cs="Times New Roman"/>
                    <w:szCs w:val="24"/>
                  </w:rPr>
                  <m:t>∞</m:t>
                </m:r>
              </m:e>
            </m:d>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G</m:t>
                </m:r>
              </m:e>
              <m:sub>
                <m:r>
                  <m:rPr>
                    <m:sty m:val="p"/>
                  </m:rPr>
                  <w:rPr>
                    <w:rFonts w:ascii="Cambria Math" w:hAnsi="Cambria Math" w:cs="Times New Roman"/>
                    <w:szCs w:val="24"/>
                  </w:rPr>
                  <m:t>i</m:t>
                </m:r>
              </m:sub>
            </m:sSub>
            <m:r>
              <m:rPr>
                <m:sty m:val="p"/>
              </m:rPr>
              <w:rPr>
                <w:rFonts w:ascii="Cambria Math" w:hAnsi="Cambria Math" w:cs="Times New Roman"/>
                <w:szCs w:val="24"/>
              </w:rPr>
              <m:t>=g</m:t>
            </m:r>
          </m:e>
        </m:d>
      </m:oMath>
      <w:r w:rsidRPr="00772DEF">
        <w:rPr>
          <w:rFonts w:cs="Times New Roman"/>
          <w:szCs w:val="24"/>
        </w:rPr>
        <w:tab/>
        <w:t>(1)</w:t>
      </w:r>
    </w:p>
    <w:p w14:paraId="58401BCE"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average effect in year t for firms first scored in year g. We identify it under conditional parallel trends relative to the year before coverage:</w:t>
      </w:r>
    </w:p>
    <w:p w14:paraId="2E7783C8" w14:textId="356A98E1"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tab/>
      </w:r>
      <m:oMath>
        <m:r>
          <m:rPr>
            <m:scr m:val="double-struck"/>
            <m:sty m:val="p"/>
          </m:rPr>
          <w:rPr>
            <w:rFonts w:ascii="Cambria Math" w:hAnsi="Cambria Math" w:cs="Times New Roman"/>
            <w:szCs w:val="24"/>
          </w:rPr>
          <m:t>E</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m:rPr>
                    <m:sty m:val="p"/>
                  </m:rPr>
                  <w:rPr>
                    <w:rFonts w:ascii="Cambria Math" w:hAnsi="Cambria Math" w:cs="Times New Roman"/>
                    <w:szCs w:val="24"/>
                  </w:rPr>
                  <m:t>Y</m:t>
                </m:r>
              </m:e>
              <m:sub>
                <m:r>
                  <m:rPr>
                    <m:sty m:val="p"/>
                  </m:rPr>
                  <w:rPr>
                    <w:rFonts w:ascii="Cambria Math" w:hAnsi="Cambria Math" w:cs="Times New Roman"/>
                    <w:szCs w:val="24"/>
                  </w:rPr>
                  <m:t>i,t</m:t>
                </m:r>
              </m:sub>
            </m:sSub>
            <m:d>
              <m:dPr>
                <m:ctrlPr>
                  <w:rPr>
                    <w:rFonts w:ascii="Cambria Math" w:hAnsi="Cambria Math" w:cs="Times New Roman"/>
                    <w:szCs w:val="24"/>
                  </w:rPr>
                </m:ctrlPr>
              </m:dPr>
              <m:e>
                <m:r>
                  <m:rPr>
                    <m:sty m:val="p"/>
                  </m:rPr>
                  <w:rPr>
                    <w:rFonts w:ascii="Cambria Math" w:hAnsi="Cambria Math" w:cs="Times New Roman"/>
                    <w:szCs w:val="24"/>
                  </w:rPr>
                  <m:t>∞</m:t>
                </m:r>
              </m:e>
            </m:d>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Y</m:t>
                </m:r>
              </m:e>
              <m:sub>
                <m:r>
                  <m:rPr>
                    <m:sty m:val="p"/>
                  </m:rPr>
                  <w:rPr>
                    <w:rFonts w:ascii="Cambria Math" w:hAnsi="Cambria Math" w:cs="Times New Roman"/>
                    <w:szCs w:val="24"/>
                  </w:rPr>
                  <m:t>i,g-1</m:t>
                </m:r>
              </m:sub>
            </m:sSub>
            <m:d>
              <m:dPr>
                <m:ctrlPr>
                  <w:rPr>
                    <w:rFonts w:ascii="Cambria Math" w:hAnsi="Cambria Math" w:cs="Times New Roman"/>
                    <w:szCs w:val="24"/>
                  </w:rPr>
                </m:ctrlPr>
              </m:dPr>
              <m:e>
                <m:r>
                  <m:rPr>
                    <m:sty m:val="p"/>
                  </m:rPr>
                  <w:rPr>
                    <w:rFonts w:ascii="Cambria Math" w:hAnsi="Cambria Math" w:cs="Times New Roman"/>
                    <w:szCs w:val="24"/>
                  </w:rPr>
                  <m:t>∞</m:t>
                </m:r>
              </m:e>
            </m:d>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X</m:t>
                </m:r>
              </m:e>
              <m:sub>
                <m:r>
                  <m:rPr>
                    <m:sty m:val="p"/>
                  </m:rPr>
                  <w:rPr>
                    <w:rFonts w:ascii="Cambria Math" w:hAnsi="Cambria Math" w:cs="Times New Roman"/>
                    <w:szCs w:val="24"/>
                  </w:rPr>
                  <m:t>i</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G</m:t>
                </m:r>
              </m:e>
              <m:sub>
                <m:r>
                  <m:rPr>
                    <m:sty m:val="p"/>
                  </m:rPr>
                  <w:rPr>
                    <w:rFonts w:ascii="Cambria Math" w:hAnsi="Cambria Math" w:cs="Times New Roman"/>
                    <w:szCs w:val="24"/>
                  </w:rPr>
                  <m:t>i</m:t>
                </m:r>
              </m:sub>
            </m:sSub>
            <m:r>
              <m:rPr>
                <m:sty m:val="p"/>
              </m:rPr>
              <w:rPr>
                <w:rFonts w:ascii="Cambria Math" w:hAnsi="Cambria Math" w:cs="Times New Roman"/>
                <w:szCs w:val="24"/>
              </w:rPr>
              <m:t>=g</m:t>
            </m:r>
          </m:e>
        </m:d>
        <m:r>
          <m:rPr>
            <m:scr m:val="double-struck"/>
            <m:sty m:val="p"/>
          </m:rPr>
          <w:rPr>
            <w:rFonts w:ascii="Cambria Math" w:hAnsi="Cambria Math" w:cs="Times New Roman"/>
            <w:szCs w:val="24"/>
          </w:rPr>
          <m:t>=E</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m:rPr>
                    <m:sty m:val="p"/>
                  </m:rPr>
                  <w:rPr>
                    <w:rFonts w:ascii="Cambria Math" w:hAnsi="Cambria Math" w:cs="Times New Roman"/>
                    <w:szCs w:val="24"/>
                  </w:rPr>
                  <m:t>Y</m:t>
                </m:r>
              </m:e>
              <m:sub>
                <m:r>
                  <m:rPr>
                    <m:sty m:val="p"/>
                  </m:rPr>
                  <w:rPr>
                    <w:rFonts w:ascii="Cambria Math" w:hAnsi="Cambria Math" w:cs="Times New Roman"/>
                    <w:szCs w:val="24"/>
                  </w:rPr>
                  <m:t>i,t</m:t>
                </m:r>
              </m:sub>
            </m:sSub>
            <m:d>
              <m:dPr>
                <m:ctrlPr>
                  <w:rPr>
                    <w:rFonts w:ascii="Cambria Math" w:hAnsi="Cambria Math" w:cs="Times New Roman"/>
                    <w:szCs w:val="24"/>
                  </w:rPr>
                </m:ctrlPr>
              </m:dPr>
              <m:e>
                <m:r>
                  <m:rPr>
                    <m:sty m:val="p"/>
                  </m:rPr>
                  <w:rPr>
                    <w:rFonts w:ascii="Cambria Math" w:hAnsi="Cambria Math" w:cs="Times New Roman"/>
                    <w:szCs w:val="24"/>
                  </w:rPr>
                  <m:t>∞</m:t>
                </m:r>
              </m:e>
            </m:d>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Y</m:t>
                </m:r>
              </m:e>
              <m:sub>
                <m:r>
                  <m:rPr>
                    <m:sty m:val="p"/>
                  </m:rPr>
                  <w:rPr>
                    <w:rFonts w:ascii="Cambria Math" w:hAnsi="Cambria Math" w:cs="Times New Roman"/>
                    <w:szCs w:val="24"/>
                  </w:rPr>
                  <m:t>i,g-1</m:t>
                </m:r>
              </m:sub>
            </m:sSub>
            <m:d>
              <m:dPr>
                <m:ctrlPr>
                  <w:rPr>
                    <w:rFonts w:ascii="Cambria Math" w:hAnsi="Cambria Math" w:cs="Times New Roman"/>
                    <w:szCs w:val="24"/>
                  </w:rPr>
                </m:ctrlPr>
              </m:dPr>
              <m:e>
                <m:r>
                  <m:rPr>
                    <m:sty m:val="p"/>
                  </m:rPr>
                  <w:rPr>
                    <w:rFonts w:ascii="Cambria Math" w:hAnsi="Cambria Math" w:cs="Times New Roman"/>
                    <w:szCs w:val="24"/>
                  </w:rPr>
                  <m:t>∞</m:t>
                </m:r>
              </m:e>
            </m:d>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X</m:t>
                </m:r>
              </m:e>
              <m:sub>
                <m:r>
                  <m:rPr>
                    <m:sty m:val="p"/>
                  </m:rPr>
                  <w:rPr>
                    <w:rFonts w:ascii="Cambria Math" w:hAnsi="Cambria Math" w:cs="Times New Roman"/>
                    <w:szCs w:val="24"/>
                  </w:rPr>
                  <m:t>i</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G</m:t>
                </m:r>
              </m:e>
              <m:sub>
                <m:r>
                  <m:rPr>
                    <m:sty m:val="p"/>
                  </m:rPr>
                  <w:rPr>
                    <w:rFonts w:ascii="Cambria Math" w:hAnsi="Cambria Math" w:cs="Times New Roman"/>
                    <w:szCs w:val="24"/>
                  </w:rPr>
                  <m:t>i</m:t>
                </m:r>
              </m:sub>
            </m:sSub>
            <m:r>
              <m:rPr>
                <m:sty m:val="p"/>
              </m:rPr>
              <w:rPr>
                <w:rFonts w:ascii="Cambria Math" w:hAnsi="Cambria Math" w:cs="Times New Roman"/>
                <w:szCs w:val="24"/>
              </w:rPr>
              <m:t>=∞</m:t>
            </m:r>
          </m:e>
        </m:d>
      </m:oMath>
      <w:r w:rsidRPr="00772DEF">
        <w:rPr>
          <w:rFonts w:cs="Times New Roman"/>
          <w:szCs w:val="24"/>
        </w:rPr>
        <w:tab/>
        <w:t>(2)</w:t>
      </w:r>
    </w:p>
    <w:p w14:paraId="3A07503F"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where X</w:t>
      </w:r>
      <w:r w:rsidRPr="00772DEF">
        <w:rPr>
          <w:rFonts w:cs="Times New Roman"/>
          <w:szCs w:val="24"/>
          <w:vertAlign w:val="subscript"/>
        </w:rPr>
        <w:t>i</w:t>
      </w:r>
      <w:r w:rsidRPr="00772DEF">
        <w:rPr>
          <w:rFonts w:cs="Times New Roman"/>
          <w:szCs w:val="24"/>
        </w:rPr>
        <w:t xml:space="preserve"> contains country and industry indicators and log total assets and its square, measured in year g − 1. Because assumption (2) concerns changes in outcomes, the size differences in Table 1 do not violate it by themselves, but a different growth path before coverage would. We test this implication with the pre-coverage estimates but do not rely on the test alone.</w:t>
      </w:r>
    </w:p>
    <w:p w14:paraId="459E4A64"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4.2. Estimation</w:t>
      </w:r>
    </w:p>
    <w:p w14:paraId="6498BF6F"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For each cohort g and year t, we regress the long difference ΔY</w:t>
      </w:r>
      <w:r w:rsidRPr="00772DEF">
        <w:rPr>
          <w:rFonts w:cs="Times New Roman"/>
          <w:szCs w:val="24"/>
          <w:vertAlign w:val="subscript"/>
        </w:rPr>
        <w:t>i,t</w:t>
      </w:r>
      <w:r w:rsidRPr="00772DEF">
        <w:rPr>
          <w:rFonts w:cs="Times New Roman"/>
          <w:szCs w:val="24"/>
        </w:rPr>
        <w:t xml:space="preserve"> = Y</w:t>
      </w:r>
      <w:r w:rsidRPr="00772DEF">
        <w:rPr>
          <w:rFonts w:cs="Times New Roman"/>
          <w:szCs w:val="24"/>
          <w:vertAlign w:val="subscript"/>
        </w:rPr>
        <w:t>i,t</w:t>
      </w:r>
      <w:r w:rsidRPr="00772DEF">
        <w:rPr>
          <w:rFonts w:cs="Times New Roman"/>
          <w:szCs w:val="24"/>
        </w:rPr>
        <w:t xml:space="preserve"> − Y</w:t>
      </w:r>
      <w:r w:rsidRPr="00772DEF">
        <w:rPr>
          <w:rFonts w:cs="Times New Roman"/>
          <w:szCs w:val="24"/>
          <w:vertAlign w:val="subscript"/>
        </w:rPr>
        <w:t>i,g−1</w:t>
      </w:r>
      <w:r w:rsidRPr="00772DEF">
        <w:rPr>
          <w:rFonts w:cs="Times New Roman"/>
          <w:szCs w:val="24"/>
        </w:rPr>
        <w:t xml:space="preserve"> on X</w:t>
      </w:r>
      <w:r w:rsidRPr="00772DEF">
        <w:rPr>
          <w:rFonts w:cs="Times New Roman"/>
          <w:szCs w:val="24"/>
          <w:vertAlign w:val="subscript"/>
        </w:rPr>
        <w:t>i</w:t>
      </w:r>
      <w:r w:rsidRPr="00772DEF">
        <w:rPr>
          <w:rFonts w:cs="Times New Roman"/>
          <w:szCs w:val="24"/>
        </w:rPr>
        <w:t xml:space="preserve"> among never-scored firms (Sant'Anna &amp; Zhao, 2020):</w:t>
      </w:r>
    </w:p>
    <w:p w14:paraId="52F4EEBF" w14:textId="4039D060"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tab/>
      </w:r>
      <m:oMath>
        <m:r>
          <m:rPr>
            <m:sty m:val="p"/>
          </m:rPr>
          <w:rPr>
            <w:rFonts w:ascii="Cambria Math" w:hAnsi="Cambria Math" w:cs="Times New Roman"/>
            <w:szCs w:val="24"/>
          </w:rPr>
          <m:t>Δ</m:t>
        </m:r>
        <m:sSub>
          <m:sSubPr>
            <m:ctrlPr>
              <w:rPr>
                <w:rFonts w:ascii="Cambria Math" w:hAnsi="Cambria Math" w:cs="Times New Roman"/>
                <w:szCs w:val="24"/>
              </w:rPr>
            </m:ctrlPr>
          </m:sSubPr>
          <m:e>
            <m:r>
              <m:rPr>
                <m:sty m:val="p"/>
              </m:rPr>
              <w:rPr>
                <w:rFonts w:ascii="Cambria Math" w:hAnsi="Cambria Math" w:cs="Times New Roman"/>
                <w:szCs w:val="24"/>
              </w:rPr>
              <m:t>Y</m:t>
            </m:r>
          </m:e>
          <m:sub>
            <m:r>
              <m:rPr>
                <m:sty m:val="p"/>
              </m:rPr>
              <w:rPr>
                <w:rFonts w:ascii="Cambria Math" w:hAnsi="Cambria Math" w:cs="Times New Roman"/>
                <w:szCs w:val="24"/>
              </w:rPr>
              <m:t>i,t</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X</m:t>
            </m:r>
          </m:e>
          <m:sub>
            <m:r>
              <m:rPr>
                <m:sty m:val="p"/>
              </m:rPr>
              <w:rPr>
                <w:rFonts w:ascii="Cambria Math" w:hAnsi="Cambria Math" w:cs="Times New Roman"/>
                <w:szCs w:val="24"/>
              </w:rPr>
              <m:t>i</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β</m:t>
            </m:r>
          </m:e>
          <m:sub>
            <m:r>
              <m:rPr>
                <m:sty m:val="p"/>
              </m:rPr>
              <w:rPr>
                <w:rFonts w:ascii="Cambria Math" w:hAnsi="Cambria Math" w:cs="Times New Roman"/>
                <w:szCs w:val="24"/>
              </w:rPr>
              <m:t>g,t</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u</m:t>
            </m:r>
          </m:e>
          <m:sub>
            <m:r>
              <m:rPr>
                <m:sty m:val="p"/>
              </m:rPr>
              <w:rPr>
                <w:rFonts w:ascii="Cambria Math" w:hAnsi="Cambria Math" w:cs="Times New Roman"/>
                <w:szCs w:val="24"/>
              </w:rPr>
              <m:t>i,t</m:t>
            </m:r>
          </m:sub>
        </m:sSub>
        <m:r>
          <m:rPr>
            <m:sty m:val="p"/>
          </m:rPr>
          <w:rPr>
            <w:rFonts w:ascii="Cambria Math" w:hAnsi="Cambria Math" w:cs="Times New Roman"/>
            <w:szCs w:val="24"/>
          </w:rPr>
          <m:t>,  </m:t>
        </m:r>
        <m:sSub>
          <m:sSubPr>
            <m:ctrlPr>
              <w:rPr>
                <w:rFonts w:ascii="Cambria Math" w:hAnsi="Cambria Math" w:cs="Times New Roman"/>
                <w:szCs w:val="24"/>
              </w:rPr>
            </m:ctrlPr>
          </m:sSubPr>
          <m:e>
            <m:r>
              <m:rPr>
                <m:sty m:val="p"/>
              </m:rPr>
              <w:rPr>
                <w:rFonts w:ascii="Cambria Math" w:hAnsi="Cambria Math" w:cs="Times New Roman"/>
                <w:szCs w:val="24"/>
              </w:rPr>
              <m:t>G</m:t>
            </m:r>
          </m:e>
          <m:sub>
            <m:r>
              <m:rPr>
                <m:sty m:val="p"/>
              </m:rPr>
              <w:rPr>
                <w:rFonts w:ascii="Cambria Math" w:hAnsi="Cambria Math" w:cs="Times New Roman"/>
                <w:szCs w:val="24"/>
              </w:rPr>
              <m:t>i</m:t>
            </m:r>
          </m:sub>
        </m:sSub>
        <m:r>
          <m:rPr>
            <m:sty m:val="p"/>
          </m:rPr>
          <w:rPr>
            <w:rFonts w:ascii="Cambria Math" w:hAnsi="Cambria Math" w:cs="Times New Roman"/>
            <w:szCs w:val="24"/>
          </w:rPr>
          <m:t>=∞</m:t>
        </m:r>
      </m:oMath>
      <w:r w:rsidRPr="00772DEF">
        <w:rPr>
          <w:rFonts w:cs="Times New Roman"/>
          <w:szCs w:val="24"/>
        </w:rPr>
        <w:tab/>
        <w:t>(3)</w:t>
      </w:r>
    </w:p>
    <w:p w14:paraId="19780508"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where β</w:t>
      </w:r>
      <w:r w:rsidRPr="00772DEF">
        <w:rPr>
          <w:rFonts w:cs="Times New Roman"/>
          <w:szCs w:val="24"/>
          <w:vertAlign w:val="subscript"/>
        </w:rPr>
        <w:t>g,t</w:t>
      </w:r>
      <w:r w:rsidRPr="00772DEF">
        <w:rPr>
          <w:rFonts w:cs="Times New Roman"/>
          <w:szCs w:val="24"/>
        </w:rPr>
        <w:t xml:space="preserve"> is the cell's coefficient vector and u</w:t>
      </w:r>
      <w:r w:rsidRPr="00772DEF">
        <w:rPr>
          <w:rFonts w:cs="Times New Roman"/>
          <w:szCs w:val="24"/>
          <w:vertAlign w:val="subscript"/>
        </w:rPr>
        <w:t>i,t</w:t>
      </w:r>
      <w:r w:rsidRPr="00772DEF">
        <w:rPr>
          <w:rFonts w:cs="Times New Roman"/>
          <w:szCs w:val="24"/>
        </w:rPr>
        <w:t xml:space="preserve"> the error. We omit the propensity-score model of the doubly robust estimator because size overlap is poor: 24.6 percent of scored firms are larger in the base year than the 95th percentile of never-scored firms. For the largest scored firms the outcome regression therefore extrapolates, and check R4 trims controls only from below. The estimated group-time effect is</w:t>
      </w:r>
    </w:p>
    <w:p w14:paraId="2C65D01C" w14:textId="6DCAA4E4"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tab/>
      </w:r>
      <m:oMath>
        <m:acc>
          <m:accPr>
            <m:ctrlPr>
              <w:rPr>
                <w:rFonts w:ascii="Cambria Math" w:hAnsi="Cambria Math" w:cs="Times New Roman"/>
                <w:szCs w:val="24"/>
              </w:rPr>
            </m:ctrlPr>
          </m:accPr>
          <m:e>
            <m:r>
              <m:rPr>
                <m:sty m:val="p"/>
              </m:rPr>
              <w:rPr>
                <w:rFonts w:ascii="Cambria Math" w:hAnsi="Cambria Math" w:cs="Times New Roman"/>
                <w:szCs w:val="24"/>
              </w:rPr>
              <m:t>ATT</m:t>
            </m:r>
          </m:e>
        </m:acc>
        <m:d>
          <m:dPr>
            <m:ctrlPr>
              <w:rPr>
                <w:rFonts w:ascii="Cambria Math" w:hAnsi="Cambria Math" w:cs="Times New Roman"/>
                <w:szCs w:val="24"/>
              </w:rPr>
            </m:ctrlPr>
          </m:dPr>
          <m:e>
            <m:r>
              <m:rPr>
                <m:sty m:val="p"/>
              </m:rPr>
              <w:rPr>
                <w:rFonts w:ascii="Cambria Math" w:hAnsi="Cambria Math" w:cs="Times New Roman"/>
                <w:szCs w:val="24"/>
              </w:rPr>
              <m:t>g,t</m:t>
            </m:r>
          </m:e>
        </m:d>
        <m:r>
          <m:rPr>
            <m:sty m:val="p"/>
          </m:rP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1</m:t>
            </m:r>
          </m:num>
          <m:den>
            <m:sSub>
              <m:sSubPr>
                <m:ctrlPr>
                  <w:rPr>
                    <w:rFonts w:ascii="Cambria Math" w:hAnsi="Cambria Math" w:cs="Times New Roman"/>
                    <w:szCs w:val="24"/>
                  </w:rPr>
                </m:ctrlPr>
              </m:sSubPr>
              <m:e>
                <m:r>
                  <m:rPr>
                    <m:sty m:val="p"/>
                  </m:rPr>
                  <w:rPr>
                    <w:rFonts w:ascii="Cambria Math" w:hAnsi="Cambria Math" w:cs="Times New Roman"/>
                    <w:szCs w:val="24"/>
                  </w:rPr>
                  <m:t>N</m:t>
                </m:r>
              </m:e>
              <m:sub>
                <m:r>
                  <m:rPr>
                    <m:sty m:val="p"/>
                  </m:rPr>
                  <w:rPr>
                    <w:rFonts w:ascii="Cambria Math" w:hAnsi="Cambria Math" w:cs="Times New Roman"/>
                    <w:szCs w:val="24"/>
                  </w:rPr>
                  <m:t>g,t</m:t>
                </m:r>
              </m:sub>
            </m:sSub>
          </m:den>
        </m:f>
        <m:nary>
          <m:naryPr>
            <m:chr m:val="∑"/>
            <m:limLoc m:val="undOvr"/>
            <m:supHide m:val="1"/>
            <m:ctrlPr>
              <w:rPr>
                <w:rFonts w:ascii="Cambria Math" w:hAnsi="Cambria Math" w:cs="Times New Roman"/>
                <w:szCs w:val="24"/>
              </w:rPr>
            </m:ctrlPr>
          </m:naryPr>
          <m:sub>
            <m:r>
              <m:rPr>
                <m:sty m:val="p"/>
              </m:rPr>
              <w:rPr>
                <w:rFonts w:ascii="Cambria Math" w:hAnsi="Cambria Math" w:cs="Times New Roman"/>
                <w:szCs w:val="24"/>
              </w:rPr>
              <m:t>i: </m:t>
            </m:r>
            <m:sSub>
              <m:sSubPr>
                <m:ctrlPr>
                  <w:rPr>
                    <w:rFonts w:ascii="Cambria Math" w:hAnsi="Cambria Math" w:cs="Times New Roman"/>
                    <w:szCs w:val="24"/>
                  </w:rPr>
                </m:ctrlPr>
              </m:sSubPr>
              <m:e>
                <m:r>
                  <m:rPr>
                    <m:sty m:val="p"/>
                  </m:rPr>
                  <w:rPr>
                    <w:rFonts w:ascii="Cambria Math" w:hAnsi="Cambria Math" w:cs="Times New Roman"/>
                    <w:szCs w:val="24"/>
                  </w:rPr>
                  <m:t>G</m:t>
                </m:r>
              </m:e>
              <m:sub>
                <m:r>
                  <m:rPr>
                    <m:sty m:val="p"/>
                  </m:rPr>
                  <w:rPr>
                    <w:rFonts w:ascii="Cambria Math" w:hAnsi="Cambria Math" w:cs="Times New Roman"/>
                    <w:szCs w:val="24"/>
                  </w:rPr>
                  <m:t>i</m:t>
                </m:r>
              </m:sub>
            </m:sSub>
            <m:r>
              <m:rPr>
                <m:sty m:val="p"/>
              </m:rPr>
              <w:rPr>
                <w:rFonts w:ascii="Cambria Math" w:hAnsi="Cambria Math" w:cs="Times New Roman"/>
                <w:szCs w:val="24"/>
              </w:rPr>
              <m:t>=g</m:t>
            </m:r>
          </m:sub>
          <m:sup>
            <m:r>
              <m:rPr>
                <m:sty m:val="p"/>
              </m:rPr>
              <w:rPr>
                <w:rFonts w:ascii="Cambria Math" w:hAnsi="Cambria Math" w:cs="Times New Roman"/>
                <w:szCs w:val="24"/>
              </w:rPr>
              <m:t>​</m:t>
            </m:r>
          </m:sup>
          <m:e>
            <m:d>
              <m:dPr>
                <m:ctrlPr>
                  <w:rPr>
                    <w:rFonts w:ascii="Cambria Math" w:hAnsi="Cambria Math" w:cs="Times New Roman"/>
                    <w:szCs w:val="24"/>
                  </w:rPr>
                </m:ctrlPr>
              </m:dPr>
              <m:e>
                <m:r>
                  <m:rPr>
                    <m:sty m:val="p"/>
                  </m:rPr>
                  <w:rPr>
                    <w:rFonts w:ascii="Cambria Math" w:hAnsi="Cambria Math" w:cs="Times New Roman"/>
                    <w:szCs w:val="24"/>
                  </w:rPr>
                  <m:t>Δ</m:t>
                </m:r>
                <m:sSub>
                  <m:sSubPr>
                    <m:ctrlPr>
                      <w:rPr>
                        <w:rFonts w:ascii="Cambria Math" w:hAnsi="Cambria Math" w:cs="Times New Roman"/>
                        <w:szCs w:val="24"/>
                      </w:rPr>
                    </m:ctrlPr>
                  </m:sSubPr>
                  <m:e>
                    <m:r>
                      <m:rPr>
                        <m:sty m:val="p"/>
                      </m:rPr>
                      <w:rPr>
                        <w:rFonts w:ascii="Cambria Math" w:hAnsi="Cambria Math" w:cs="Times New Roman"/>
                        <w:szCs w:val="24"/>
                      </w:rPr>
                      <m:t>Y</m:t>
                    </m:r>
                  </m:e>
                  <m:sub>
                    <m:r>
                      <m:rPr>
                        <m:sty m:val="p"/>
                      </m:rPr>
                      <w:rPr>
                        <w:rFonts w:ascii="Cambria Math" w:hAnsi="Cambria Math" w:cs="Times New Roman"/>
                        <w:szCs w:val="24"/>
                      </w:rPr>
                      <m:t>i,t</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X</m:t>
                    </m:r>
                  </m:e>
                  <m:sub>
                    <m:r>
                      <m:rPr>
                        <m:sty m:val="p"/>
                      </m:rPr>
                      <w:rPr>
                        <w:rFonts w:ascii="Cambria Math" w:hAnsi="Cambria Math" w:cs="Times New Roman"/>
                        <w:szCs w:val="24"/>
                      </w:rPr>
                      <m:t>i</m:t>
                    </m:r>
                  </m:sub>
                </m:sSub>
                <m:r>
                  <m:rPr>
                    <m:sty m:val="p"/>
                  </m:rPr>
                  <w:rPr>
                    <w:rFonts w:ascii="Cambria Math" w:hAnsi="Cambria Math" w:cs="Times New Roman"/>
                    <w:szCs w:val="24"/>
                  </w:rPr>
                  <m:t>'</m:t>
                </m:r>
                <m:sSub>
                  <m:sSubPr>
                    <m:ctrlPr>
                      <w:rPr>
                        <w:rFonts w:ascii="Cambria Math" w:hAnsi="Cambria Math" w:cs="Times New Roman"/>
                        <w:szCs w:val="24"/>
                      </w:rPr>
                    </m:ctrlPr>
                  </m:sSubPr>
                  <m:e>
                    <m:acc>
                      <m:accPr>
                        <m:ctrlPr>
                          <w:rPr>
                            <w:rFonts w:ascii="Cambria Math" w:hAnsi="Cambria Math" w:cs="Times New Roman"/>
                            <w:szCs w:val="24"/>
                          </w:rPr>
                        </m:ctrlPr>
                      </m:accPr>
                      <m:e>
                        <m:r>
                          <m:rPr>
                            <m:sty m:val="p"/>
                          </m:rPr>
                          <w:rPr>
                            <w:rFonts w:ascii="Cambria Math" w:hAnsi="Cambria Math" w:cs="Times New Roman"/>
                            <w:szCs w:val="24"/>
                          </w:rPr>
                          <m:t>β</m:t>
                        </m:r>
                      </m:e>
                    </m:acc>
                  </m:e>
                  <m:sub>
                    <m:r>
                      <m:rPr>
                        <m:sty m:val="p"/>
                      </m:rPr>
                      <w:rPr>
                        <w:rFonts w:ascii="Cambria Math" w:hAnsi="Cambria Math" w:cs="Times New Roman"/>
                        <w:szCs w:val="24"/>
                      </w:rPr>
                      <m:t>g,t</m:t>
                    </m:r>
                  </m:sub>
                </m:sSub>
              </m:e>
            </m:d>
          </m:e>
        </m:nary>
      </m:oMath>
      <w:r w:rsidRPr="00772DEF">
        <w:rPr>
          <w:rFonts w:cs="Times New Roman"/>
          <w:szCs w:val="24"/>
        </w:rPr>
        <w:tab/>
        <w:t>(4)</w:t>
      </w:r>
    </w:p>
    <w:p w14:paraId="58ED9198"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where N</w:t>
      </w:r>
      <w:r w:rsidRPr="00772DEF">
        <w:rPr>
          <w:rFonts w:cs="Times New Roman"/>
          <w:szCs w:val="24"/>
          <w:vertAlign w:val="subscript"/>
        </w:rPr>
        <w:t>g,t</w:t>
      </w:r>
      <w:r w:rsidRPr="00772DEF">
        <w:rPr>
          <w:rFonts w:cs="Times New Roman"/>
          <w:szCs w:val="24"/>
        </w:rPr>
        <w:t xml:space="preserve"> is the number of firms first scored in year g with data in years g − 1 and t, and β̂</w:t>
      </w:r>
      <w:r w:rsidRPr="00772DEF">
        <w:rPr>
          <w:rFonts w:cs="Times New Roman"/>
          <w:szCs w:val="24"/>
          <w:vertAlign w:val="subscript"/>
        </w:rPr>
        <w:t>g,t</w:t>
      </w:r>
      <w:r w:rsidRPr="00772DEF">
        <w:rPr>
          <w:rFonts w:cs="Times New Roman"/>
          <w:szCs w:val="24"/>
        </w:rPr>
        <w:t xml:space="preserve"> is estimated from Eq. (3). We average by years since coverage, e = t − g, weighting cohorts by their number of scored firms (Callaway &amp; Sant'Anna, 2021):</w:t>
      </w:r>
    </w:p>
    <w:p w14:paraId="2CF762BD" w14:textId="2F3FB328"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lastRenderedPageBreak/>
        <w:tab/>
      </w:r>
      <m:oMath>
        <m:acc>
          <m:accPr>
            <m:ctrlPr>
              <w:rPr>
                <w:rFonts w:ascii="Cambria Math" w:hAnsi="Cambria Math" w:cs="Times New Roman"/>
                <w:szCs w:val="24"/>
              </w:rPr>
            </m:ctrlPr>
          </m:accPr>
          <m:e>
            <m:r>
              <m:rPr>
                <m:sty m:val="p"/>
              </m:rPr>
              <w:rPr>
                <w:rFonts w:ascii="Cambria Math" w:hAnsi="Cambria Math" w:cs="Times New Roman"/>
                <w:szCs w:val="24"/>
              </w:rPr>
              <m:t>θ</m:t>
            </m:r>
          </m:e>
        </m:acc>
        <m:d>
          <m:dPr>
            <m:ctrlPr>
              <w:rPr>
                <w:rFonts w:ascii="Cambria Math" w:hAnsi="Cambria Math" w:cs="Times New Roman"/>
                <w:szCs w:val="24"/>
              </w:rPr>
            </m:ctrlPr>
          </m:dPr>
          <m:e>
            <m:r>
              <m:rPr>
                <m:sty m:val="p"/>
              </m:rPr>
              <w:rPr>
                <w:rFonts w:ascii="Cambria Math" w:hAnsi="Cambria Math" w:cs="Times New Roman"/>
                <w:szCs w:val="24"/>
              </w:rPr>
              <m:t>e</m:t>
            </m:r>
          </m:e>
        </m:d>
        <m:r>
          <m:rPr>
            <m:sty m:val="p"/>
          </m:rPr>
          <w:rPr>
            <w:rFonts w:ascii="Cambria Math" w:hAnsi="Cambria Math" w:cs="Times New Roman"/>
            <w:szCs w:val="24"/>
          </w:rPr>
          <m:t>=</m:t>
        </m:r>
        <m:nary>
          <m:naryPr>
            <m:chr m:val="∑"/>
            <m:limLoc m:val="undOvr"/>
            <m:supHide m:val="1"/>
            <m:ctrlPr>
              <w:rPr>
                <w:rFonts w:ascii="Cambria Math" w:hAnsi="Cambria Math" w:cs="Times New Roman"/>
                <w:szCs w:val="24"/>
              </w:rPr>
            </m:ctrlPr>
          </m:naryPr>
          <m:sub>
            <m:r>
              <m:rPr>
                <m:sty m:val="p"/>
              </m:rPr>
              <w:rPr>
                <w:rFonts w:ascii="Cambria Math" w:hAnsi="Cambria Math" w:cs="Times New Roman"/>
                <w:szCs w:val="24"/>
              </w:rPr>
              <m:t>g</m:t>
            </m:r>
          </m:sub>
          <m:sup>
            <m:r>
              <m:rPr>
                <m:sty m:val="p"/>
              </m:rPr>
              <w:rPr>
                <w:rFonts w:ascii="Cambria Math" w:hAnsi="Cambria Math" w:cs="Times New Roman"/>
                <w:szCs w:val="24"/>
              </w:rPr>
              <m:t>​</m:t>
            </m:r>
          </m:sup>
          <m:e>
            <m:f>
              <m:fPr>
                <m:ctrlPr>
                  <w:rPr>
                    <w:rFonts w:ascii="Cambria Math" w:hAnsi="Cambria Math" w:cs="Times New Roman"/>
                    <w:szCs w:val="24"/>
                  </w:rPr>
                </m:ctrlPr>
              </m:fPr>
              <m:num>
                <m:sSub>
                  <m:sSubPr>
                    <m:ctrlPr>
                      <w:rPr>
                        <w:rFonts w:ascii="Cambria Math" w:hAnsi="Cambria Math" w:cs="Times New Roman"/>
                        <w:szCs w:val="24"/>
                      </w:rPr>
                    </m:ctrlPr>
                  </m:sSubPr>
                  <m:e>
                    <m:r>
                      <m:rPr>
                        <m:sty m:val="p"/>
                      </m:rPr>
                      <w:rPr>
                        <w:rFonts w:ascii="Cambria Math" w:hAnsi="Cambria Math" w:cs="Times New Roman"/>
                        <w:szCs w:val="24"/>
                      </w:rPr>
                      <m:t>N</m:t>
                    </m:r>
                  </m:e>
                  <m:sub>
                    <m:r>
                      <m:rPr>
                        <m:sty m:val="p"/>
                      </m:rPr>
                      <w:rPr>
                        <w:rFonts w:ascii="Cambria Math" w:hAnsi="Cambria Math" w:cs="Times New Roman"/>
                        <w:szCs w:val="24"/>
                      </w:rPr>
                      <m:t>g,g+e</m:t>
                    </m:r>
                  </m:sub>
                </m:sSub>
              </m:num>
              <m:den>
                <m:nary>
                  <m:naryPr>
                    <m:chr m:val="∑"/>
                    <m:limLoc m:val="undOvr"/>
                    <m:supHide m:val="1"/>
                    <m:ctrlPr>
                      <w:rPr>
                        <w:rFonts w:ascii="Cambria Math" w:hAnsi="Cambria Math" w:cs="Times New Roman"/>
                        <w:szCs w:val="24"/>
                      </w:rPr>
                    </m:ctrlPr>
                  </m:naryPr>
                  <m:sub>
                    <m:r>
                      <m:rPr>
                        <m:sty m:val="p"/>
                      </m:rPr>
                      <w:rPr>
                        <w:rFonts w:ascii="Cambria Math" w:hAnsi="Cambria Math" w:cs="Times New Roman"/>
                        <w:szCs w:val="24"/>
                      </w:rPr>
                      <m:t>h</m:t>
                    </m:r>
                  </m:sub>
                  <m:sup>
                    <m:r>
                      <m:rPr>
                        <m:sty m:val="p"/>
                      </m:rPr>
                      <w:rPr>
                        <w:rFonts w:ascii="Cambria Math" w:hAnsi="Cambria Math" w:cs="Times New Roman"/>
                        <w:szCs w:val="24"/>
                      </w:rPr>
                      <m:t>​</m:t>
                    </m:r>
                  </m:sup>
                  <m:e>
                    <m:sSub>
                      <m:sSubPr>
                        <m:ctrlPr>
                          <w:rPr>
                            <w:rFonts w:ascii="Cambria Math" w:hAnsi="Cambria Math" w:cs="Times New Roman"/>
                            <w:szCs w:val="24"/>
                          </w:rPr>
                        </m:ctrlPr>
                      </m:sSubPr>
                      <m:e>
                        <m:r>
                          <m:rPr>
                            <m:sty m:val="p"/>
                          </m:rPr>
                          <w:rPr>
                            <w:rFonts w:ascii="Cambria Math" w:hAnsi="Cambria Math" w:cs="Times New Roman"/>
                            <w:szCs w:val="24"/>
                          </w:rPr>
                          <m:t>N</m:t>
                        </m:r>
                      </m:e>
                      <m:sub>
                        <m:r>
                          <m:rPr>
                            <m:sty m:val="p"/>
                          </m:rPr>
                          <w:rPr>
                            <w:rFonts w:ascii="Cambria Math" w:hAnsi="Cambria Math" w:cs="Times New Roman"/>
                            <w:szCs w:val="24"/>
                          </w:rPr>
                          <m:t>h,h+e</m:t>
                        </m:r>
                      </m:sub>
                    </m:sSub>
                  </m:e>
                </m:nary>
              </m:den>
            </m:f>
          </m:e>
        </m:nary>
        <m:r>
          <m:rPr>
            <m:sty m:val="p"/>
          </m:rPr>
          <w:rPr>
            <w:rFonts w:ascii="Cambria Math" w:hAnsi="Cambria Math" w:cs="Times New Roman"/>
            <w:szCs w:val="24"/>
          </w:rPr>
          <m:t> </m:t>
        </m:r>
        <m:acc>
          <m:accPr>
            <m:ctrlPr>
              <w:rPr>
                <w:rFonts w:ascii="Cambria Math" w:hAnsi="Cambria Math" w:cs="Times New Roman"/>
                <w:szCs w:val="24"/>
              </w:rPr>
            </m:ctrlPr>
          </m:accPr>
          <m:e>
            <m:r>
              <m:rPr>
                <m:sty m:val="p"/>
              </m:rPr>
              <w:rPr>
                <w:rFonts w:ascii="Cambria Math" w:hAnsi="Cambria Math" w:cs="Times New Roman"/>
                <w:szCs w:val="24"/>
              </w:rPr>
              <m:t>ATT</m:t>
            </m:r>
          </m:e>
        </m:acc>
        <m:d>
          <m:dPr>
            <m:ctrlPr>
              <w:rPr>
                <w:rFonts w:ascii="Cambria Math" w:hAnsi="Cambria Math" w:cs="Times New Roman"/>
                <w:szCs w:val="24"/>
              </w:rPr>
            </m:ctrlPr>
          </m:dPr>
          <m:e>
            <m:r>
              <m:rPr>
                <m:sty m:val="p"/>
              </m:rPr>
              <w:rPr>
                <w:rFonts w:ascii="Cambria Math" w:hAnsi="Cambria Math" w:cs="Times New Roman"/>
                <w:szCs w:val="24"/>
              </w:rPr>
              <m:t>g,g+e</m:t>
            </m:r>
          </m:e>
        </m:d>
      </m:oMath>
      <w:r w:rsidRPr="00772DEF">
        <w:rPr>
          <w:rFonts w:cs="Times New Roman"/>
          <w:szCs w:val="24"/>
        </w:rPr>
        <w:tab/>
        <w:t>(5)</w:t>
      </w:r>
    </w:p>
    <w:p w14:paraId="2993C36E"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where h indexes cohorts. The headline estimate averages all cells from the first scored year to three years later with the same weights:</w:t>
      </w:r>
    </w:p>
    <w:p w14:paraId="24BD137A" w14:textId="71CC7280"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tab/>
      </w:r>
      <m:oMath>
        <m:sSub>
          <m:sSubPr>
            <m:ctrlPr>
              <w:rPr>
                <w:rFonts w:ascii="Cambria Math" w:hAnsi="Cambria Math" w:cs="Times New Roman"/>
                <w:szCs w:val="24"/>
              </w:rPr>
            </m:ctrlPr>
          </m:sSubPr>
          <m:e>
            <m:acc>
              <m:accPr>
                <m:ctrlPr>
                  <w:rPr>
                    <w:rFonts w:ascii="Cambria Math" w:hAnsi="Cambria Math" w:cs="Times New Roman"/>
                    <w:szCs w:val="24"/>
                  </w:rPr>
                </m:ctrlPr>
              </m:accPr>
              <m:e>
                <m:r>
                  <m:rPr>
                    <m:sty m:val="p"/>
                  </m:rPr>
                  <w:rPr>
                    <w:rFonts w:ascii="Cambria Math" w:hAnsi="Cambria Math" w:cs="Times New Roman"/>
                    <w:szCs w:val="24"/>
                  </w:rPr>
                  <m:t>θ</m:t>
                </m:r>
              </m:e>
            </m:acc>
          </m:e>
          <m:sub>
            <m:r>
              <m:rPr>
                <m:sty m:val="p"/>
              </m:rPr>
              <w:rPr>
                <w:rFonts w:ascii="Cambria Math" w:hAnsi="Cambria Math" w:cs="Times New Roman"/>
                <w:szCs w:val="24"/>
              </w:rPr>
              <m:t>post</m:t>
            </m:r>
          </m:sub>
        </m:sSub>
        <m:r>
          <m:rPr>
            <m:sty m:val="p"/>
          </m:rPr>
          <w:rPr>
            <w:rFonts w:ascii="Cambria Math" w:hAnsi="Cambria Math" w:cs="Times New Roman"/>
            <w:szCs w:val="24"/>
          </w:rPr>
          <m:t>=</m:t>
        </m:r>
        <m:f>
          <m:fPr>
            <m:ctrlPr>
              <w:rPr>
                <w:rFonts w:ascii="Cambria Math" w:hAnsi="Cambria Math" w:cs="Times New Roman"/>
                <w:szCs w:val="24"/>
              </w:rPr>
            </m:ctrlPr>
          </m:fPr>
          <m:num>
            <m:nary>
              <m:naryPr>
                <m:chr m:val="∑"/>
                <m:limLoc m:val="undOvr"/>
                <m:supHide m:val="1"/>
                <m:ctrlPr>
                  <w:rPr>
                    <w:rFonts w:ascii="Cambria Math" w:hAnsi="Cambria Math" w:cs="Times New Roman"/>
                    <w:szCs w:val="24"/>
                  </w:rPr>
                </m:ctrlPr>
              </m:naryPr>
              <m:sub>
                <m:d>
                  <m:dPr>
                    <m:ctrlPr>
                      <w:rPr>
                        <w:rFonts w:ascii="Cambria Math" w:hAnsi="Cambria Math" w:cs="Times New Roman"/>
                        <w:szCs w:val="24"/>
                      </w:rPr>
                    </m:ctrlPr>
                  </m:dPr>
                  <m:e>
                    <m:r>
                      <m:rPr>
                        <m:sty m:val="p"/>
                      </m:rPr>
                      <w:rPr>
                        <w:rFonts w:ascii="Cambria Math" w:hAnsi="Cambria Math" w:cs="Times New Roman"/>
                        <w:szCs w:val="24"/>
                      </w:rPr>
                      <m:t>g,t</m:t>
                    </m:r>
                  </m:e>
                </m:d>
                <m:r>
                  <m:rPr>
                    <m:sty m:val="p"/>
                  </m:rPr>
                  <w:rPr>
                    <w:rFonts w:ascii="Cambria Math" w:hAnsi="Cambria Math" w:cs="Times New Roman"/>
                    <w:szCs w:val="24"/>
                  </w:rPr>
                  <m:t>: 0≤t-g≤3</m:t>
                </m:r>
              </m:sub>
              <m:sup>
                <m:r>
                  <m:rPr>
                    <m:sty m:val="p"/>
                  </m:rPr>
                  <w:rPr>
                    <w:rFonts w:ascii="Cambria Math" w:hAnsi="Cambria Math" w:cs="Times New Roman"/>
                    <w:szCs w:val="24"/>
                  </w:rPr>
                  <m:t>​</m:t>
                </m:r>
              </m:sup>
              <m:e>
                <m:sSub>
                  <m:sSubPr>
                    <m:ctrlPr>
                      <w:rPr>
                        <w:rFonts w:ascii="Cambria Math" w:hAnsi="Cambria Math" w:cs="Times New Roman"/>
                        <w:szCs w:val="24"/>
                      </w:rPr>
                    </m:ctrlPr>
                  </m:sSubPr>
                  <m:e>
                    <m:r>
                      <m:rPr>
                        <m:sty m:val="p"/>
                      </m:rPr>
                      <w:rPr>
                        <w:rFonts w:ascii="Cambria Math" w:hAnsi="Cambria Math" w:cs="Times New Roman"/>
                        <w:szCs w:val="24"/>
                      </w:rPr>
                      <m:t>N</m:t>
                    </m:r>
                  </m:e>
                  <m:sub>
                    <m:r>
                      <m:rPr>
                        <m:sty m:val="p"/>
                      </m:rPr>
                      <w:rPr>
                        <w:rFonts w:ascii="Cambria Math" w:hAnsi="Cambria Math" w:cs="Times New Roman"/>
                        <w:szCs w:val="24"/>
                      </w:rPr>
                      <m:t>g,t</m:t>
                    </m:r>
                  </m:sub>
                </m:sSub>
              </m:e>
            </m:nary>
            <m:r>
              <m:rPr>
                <m:sty m:val="p"/>
              </m:rPr>
              <w:rPr>
                <w:rFonts w:ascii="Cambria Math" w:hAnsi="Cambria Math" w:cs="Times New Roman"/>
                <w:szCs w:val="24"/>
              </w:rPr>
              <m:t> </m:t>
            </m:r>
            <m:acc>
              <m:accPr>
                <m:ctrlPr>
                  <w:rPr>
                    <w:rFonts w:ascii="Cambria Math" w:hAnsi="Cambria Math" w:cs="Times New Roman"/>
                    <w:szCs w:val="24"/>
                  </w:rPr>
                </m:ctrlPr>
              </m:accPr>
              <m:e>
                <m:r>
                  <m:rPr>
                    <m:sty m:val="p"/>
                  </m:rPr>
                  <w:rPr>
                    <w:rFonts w:ascii="Cambria Math" w:hAnsi="Cambria Math" w:cs="Times New Roman"/>
                    <w:szCs w:val="24"/>
                  </w:rPr>
                  <m:t>ATT</m:t>
                </m:r>
              </m:e>
            </m:acc>
            <m:d>
              <m:dPr>
                <m:ctrlPr>
                  <w:rPr>
                    <w:rFonts w:ascii="Cambria Math" w:hAnsi="Cambria Math" w:cs="Times New Roman"/>
                    <w:szCs w:val="24"/>
                  </w:rPr>
                </m:ctrlPr>
              </m:dPr>
              <m:e>
                <m:r>
                  <m:rPr>
                    <m:sty m:val="p"/>
                  </m:rPr>
                  <w:rPr>
                    <w:rFonts w:ascii="Cambria Math" w:hAnsi="Cambria Math" w:cs="Times New Roman"/>
                    <w:szCs w:val="24"/>
                  </w:rPr>
                  <m:t>g,t</m:t>
                </m:r>
              </m:e>
            </m:d>
          </m:num>
          <m:den>
            <m:nary>
              <m:naryPr>
                <m:chr m:val="∑"/>
                <m:limLoc m:val="undOvr"/>
                <m:supHide m:val="1"/>
                <m:ctrlPr>
                  <w:rPr>
                    <w:rFonts w:ascii="Cambria Math" w:hAnsi="Cambria Math" w:cs="Times New Roman"/>
                    <w:szCs w:val="24"/>
                  </w:rPr>
                </m:ctrlPr>
              </m:naryPr>
              <m:sub>
                <m:d>
                  <m:dPr>
                    <m:ctrlPr>
                      <w:rPr>
                        <w:rFonts w:ascii="Cambria Math" w:hAnsi="Cambria Math" w:cs="Times New Roman"/>
                        <w:szCs w:val="24"/>
                      </w:rPr>
                    </m:ctrlPr>
                  </m:dPr>
                  <m:e>
                    <m:r>
                      <m:rPr>
                        <m:sty m:val="p"/>
                      </m:rPr>
                      <w:rPr>
                        <w:rFonts w:ascii="Cambria Math" w:hAnsi="Cambria Math" w:cs="Times New Roman"/>
                        <w:szCs w:val="24"/>
                      </w:rPr>
                      <m:t>g,t</m:t>
                    </m:r>
                  </m:e>
                </m:d>
                <m:r>
                  <m:rPr>
                    <m:sty m:val="p"/>
                  </m:rPr>
                  <w:rPr>
                    <w:rFonts w:ascii="Cambria Math" w:hAnsi="Cambria Math" w:cs="Times New Roman"/>
                    <w:szCs w:val="24"/>
                  </w:rPr>
                  <m:t>: 0≤t-g≤3</m:t>
                </m:r>
              </m:sub>
              <m:sup>
                <m:r>
                  <m:rPr>
                    <m:sty m:val="p"/>
                  </m:rPr>
                  <w:rPr>
                    <w:rFonts w:ascii="Cambria Math" w:hAnsi="Cambria Math" w:cs="Times New Roman"/>
                    <w:szCs w:val="24"/>
                  </w:rPr>
                  <m:t>​</m:t>
                </m:r>
              </m:sup>
              <m:e>
                <m:sSub>
                  <m:sSubPr>
                    <m:ctrlPr>
                      <w:rPr>
                        <w:rFonts w:ascii="Cambria Math" w:hAnsi="Cambria Math" w:cs="Times New Roman"/>
                        <w:szCs w:val="24"/>
                      </w:rPr>
                    </m:ctrlPr>
                  </m:sSubPr>
                  <m:e>
                    <m:r>
                      <m:rPr>
                        <m:sty m:val="p"/>
                      </m:rPr>
                      <w:rPr>
                        <w:rFonts w:ascii="Cambria Math" w:hAnsi="Cambria Math" w:cs="Times New Roman"/>
                        <w:szCs w:val="24"/>
                      </w:rPr>
                      <m:t>N</m:t>
                    </m:r>
                  </m:e>
                  <m:sub>
                    <m:r>
                      <m:rPr>
                        <m:sty m:val="p"/>
                      </m:rPr>
                      <w:rPr>
                        <w:rFonts w:ascii="Cambria Math" w:hAnsi="Cambria Math" w:cs="Times New Roman"/>
                        <w:szCs w:val="24"/>
                      </w:rPr>
                      <m:t>g,t</m:t>
                    </m:r>
                  </m:sub>
                </m:sSub>
              </m:e>
            </m:nary>
          </m:den>
        </m:f>
      </m:oMath>
      <w:r w:rsidRPr="00772DEF">
        <w:rPr>
          <w:rFonts w:cs="Times New Roman"/>
          <w:szCs w:val="24"/>
        </w:rPr>
        <w:tab/>
        <w:t>(6)</w:t>
      </w:r>
    </w:p>
    <w:p w14:paraId="04A0F1DC"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Cohorts first scored after 2021 are not observed for all four post-coverage years, so cohort composition changes across event years; we therefore also report estimates for the cohorts observed through event year three.</w:t>
      </w:r>
    </w:p>
    <w:p w14:paraId="2D6B43CA"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Three design choices need comment. First, the baseline controls are never-scored firms; later-scored firms, which may also be growing toward the provider's universe, join them only in check R1. Second, all comparisons, including pre-coverage ones, use year g − 1 as the base year, so a negative estimate θ̂(e) for e ≤ −2 means that scored firms grew faster than comparable never-scored firms from year g + e to year g − 1. Third, the covariates are measured at the end of any run-up. Because the provider's scores rise with firm size (Dobrick et al., 2023), conditioning on base-year size matches scored firms to never-scored firms of similar size and can absorb part of the run-up, so we also report estimates without covariates and estimates that condition on pre-coverage growth.</w:t>
      </w:r>
    </w:p>
    <w:p w14:paraId="07145F13"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4.3. Inference</w:t>
      </w:r>
    </w:p>
    <w:p w14:paraId="33900257"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14:paraId="36B6A46A" w14:textId="7E9D7D98"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tab/>
      </w:r>
      <m:oMath>
        <m:r>
          <m:rPr>
            <m:sty m:val="p"/>
          </m:rPr>
          <w:rPr>
            <w:rFonts w:ascii="Cambria Math" w:hAnsi="Cambria Math" w:cs="Times New Roman"/>
            <w:szCs w:val="24"/>
          </w:rPr>
          <m:t>MDE=</m:t>
        </m:r>
        <m:d>
          <m:dPr>
            <m:ctrlPr>
              <w:rPr>
                <w:rFonts w:ascii="Cambria Math" w:hAnsi="Cambria Math" w:cs="Times New Roman"/>
                <w:szCs w:val="24"/>
              </w:rPr>
            </m:ctrlPr>
          </m:dPr>
          <m:e>
            <m:sSub>
              <m:sSubPr>
                <m:ctrlPr>
                  <w:rPr>
                    <w:rFonts w:ascii="Cambria Math" w:hAnsi="Cambria Math" w:cs="Times New Roman"/>
                    <w:szCs w:val="24"/>
                  </w:rPr>
                </m:ctrlPr>
              </m:sSubPr>
              <m:e>
                <m:r>
                  <m:rPr>
                    <m:sty m:val="p"/>
                  </m:rPr>
                  <w:rPr>
                    <w:rFonts w:ascii="Cambria Math" w:hAnsi="Cambria Math" w:cs="Times New Roman"/>
                    <w:szCs w:val="24"/>
                  </w:rPr>
                  <m:t>z</m:t>
                </m:r>
              </m:e>
              <m:sub>
                <m:r>
                  <m:rPr>
                    <m:sty m:val="p"/>
                  </m:rPr>
                  <w:rPr>
                    <w:rFonts w:ascii="Cambria Math" w:hAnsi="Cambria Math" w:cs="Times New Roman"/>
                    <w:szCs w:val="24"/>
                  </w:rPr>
                  <m:t>0.975</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z</m:t>
                </m:r>
              </m:e>
              <m:sub>
                <m:r>
                  <m:rPr>
                    <m:sty m:val="p"/>
                  </m:rPr>
                  <w:rPr>
                    <w:rFonts w:ascii="Cambria Math" w:hAnsi="Cambria Math" w:cs="Times New Roman"/>
                    <w:szCs w:val="24"/>
                  </w:rPr>
                  <m:t>0.80</m:t>
                </m:r>
              </m:sub>
            </m:sSub>
          </m:e>
        </m:d>
        <m:r>
          <m:rPr>
            <m:sty m:val="p"/>
          </m:rPr>
          <w:rPr>
            <w:rFonts w:ascii="Cambria Math" w:hAnsi="Cambria Math" w:cs="Times New Roman"/>
            <w:szCs w:val="24"/>
          </w:rPr>
          <m:t> </m:t>
        </m:r>
        <m:acc>
          <m:accPr>
            <m:ctrlPr>
              <w:rPr>
                <w:rFonts w:ascii="Cambria Math" w:hAnsi="Cambria Math" w:cs="Times New Roman"/>
                <w:szCs w:val="24"/>
              </w:rPr>
            </m:ctrlPr>
          </m:accPr>
          <m:e>
            <m:r>
              <m:rPr>
                <m:sty m:val="p"/>
              </m:rPr>
              <w:rPr>
                <w:rFonts w:ascii="Cambria Math" w:hAnsi="Cambria Math" w:cs="Times New Roman"/>
                <w:szCs w:val="24"/>
              </w:rPr>
              <m:t>SE</m:t>
            </m:r>
          </m:e>
        </m:acc>
        <m:r>
          <m:rPr>
            <m:sty m:val="p"/>
          </m:rPr>
          <w:rPr>
            <w:rFonts w:ascii="Cambria Math" w:hAnsi="Cambria Math" w:cs="Times New Roman"/>
            <w:szCs w:val="24"/>
          </w:rPr>
          <m:t>≈2.8 </m:t>
        </m:r>
        <m:acc>
          <m:accPr>
            <m:ctrlPr>
              <w:rPr>
                <w:rFonts w:ascii="Cambria Math" w:hAnsi="Cambria Math" w:cs="Times New Roman"/>
                <w:szCs w:val="24"/>
              </w:rPr>
            </m:ctrlPr>
          </m:accPr>
          <m:e>
            <m:r>
              <m:rPr>
                <m:sty m:val="p"/>
              </m:rPr>
              <w:rPr>
                <w:rFonts w:ascii="Cambria Math" w:hAnsi="Cambria Math" w:cs="Times New Roman"/>
                <w:szCs w:val="24"/>
              </w:rPr>
              <m:t>SE</m:t>
            </m:r>
          </m:e>
        </m:acc>
      </m:oMath>
      <w:r w:rsidRPr="00772DEF">
        <w:rPr>
          <w:rFonts w:cs="Times New Roman"/>
          <w:szCs w:val="24"/>
        </w:rPr>
        <w:tab/>
        <w:t>(7)</w:t>
      </w:r>
    </w:p>
    <w:p w14:paraId="17CE4410"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where z</w:t>
      </w:r>
      <w:r w:rsidRPr="00772DEF">
        <w:rPr>
          <w:rFonts w:cs="Times New Roman"/>
          <w:szCs w:val="24"/>
          <w:vertAlign w:val="subscript"/>
        </w:rPr>
        <w:t>0.975</w:t>
      </w:r>
      <w:r w:rsidRPr="00772DEF">
        <w:rPr>
          <w:rFonts w:cs="Times New Roman"/>
          <w:szCs w:val="24"/>
        </w:rPr>
        <w:t xml:space="preserve"> and z</w:t>
      </w:r>
      <w:r w:rsidRPr="00772DEF">
        <w:rPr>
          <w:rFonts w:cs="Times New Roman"/>
          <w:szCs w:val="24"/>
          <w:vertAlign w:val="subscript"/>
        </w:rPr>
        <w:t>0.80</w:t>
      </w:r>
      <w:r w:rsidRPr="00772DEF">
        <w:rPr>
          <w:rFonts w:cs="Times New Roman"/>
          <w:szCs w:val="24"/>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total assets in Table 2. The joint test of parallel pre-trends is</w:t>
      </w:r>
    </w:p>
    <w:p w14:paraId="5F15CD36" w14:textId="3DA424CE"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lastRenderedPageBreak/>
        <w:tab/>
      </w:r>
      <m:oMath>
        <m:r>
          <m:rPr>
            <m:sty m:val="p"/>
          </m:rPr>
          <w:rPr>
            <w:rFonts w:ascii="Cambria Math" w:hAnsi="Cambria Math" w:cs="Times New Roman"/>
            <w:szCs w:val="24"/>
          </w:rPr>
          <m:t>W=</m:t>
        </m:r>
        <m:sSub>
          <m:sSubPr>
            <m:ctrlPr>
              <w:rPr>
                <w:rFonts w:ascii="Cambria Math" w:hAnsi="Cambria Math" w:cs="Times New Roman"/>
                <w:szCs w:val="24"/>
              </w:rPr>
            </m:ctrlPr>
          </m:sSubPr>
          <m:e>
            <m:acc>
              <m:accPr>
                <m:ctrlPr>
                  <w:rPr>
                    <w:rFonts w:ascii="Cambria Math" w:hAnsi="Cambria Math" w:cs="Times New Roman"/>
                    <w:szCs w:val="24"/>
                  </w:rPr>
                </m:ctrlPr>
              </m:accPr>
              <m:e>
                <m:r>
                  <m:rPr>
                    <m:sty m:val="p"/>
                  </m:rPr>
                  <w:rPr>
                    <w:rFonts w:ascii="Cambria Math" w:hAnsi="Cambria Math" w:cs="Times New Roman"/>
                    <w:szCs w:val="24"/>
                  </w:rPr>
                  <m:t>θ</m:t>
                </m:r>
              </m:e>
            </m:acc>
          </m:e>
          <m:sub>
            <m:r>
              <m:rPr>
                <m:sty m:val="p"/>
              </m:rPr>
              <w:rPr>
                <w:rFonts w:ascii="Cambria Math" w:hAnsi="Cambria Math" w:cs="Times New Roman"/>
                <w:szCs w:val="24"/>
              </w:rPr>
              <m:t>pre</m:t>
            </m:r>
          </m:sub>
        </m:sSub>
        <m:r>
          <m:rPr>
            <m:sty m:val="p"/>
          </m:rPr>
          <w:rPr>
            <w:rFonts w:ascii="Cambria Math" w:hAnsi="Cambria Math" w:cs="Times New Roman"/>
            <w:szCs w:val="24"/>
          </w:rPr>
          <m:t>' </m:t>
        </m:r>
        <m:sSubSup>
          <m:sSubSupPr>
            <m:ctrlPr>
              <w:rPr>
                <w:rFonts w:ascii="Cambria Math" w:hAnsi="Cambria Math" w:cs="Times New Roman"/>
                <w:szCs w:val="24"/>
              </w:rPr>
            </m:ctrlPr>
          </m:sSubSupPr>
          <m:e>
            <m:acc>
              <m:accPr>
                <m:ctrlPr>
                  <w:rPr>
                    <w:rFonts w:ascii="Cambria Math" w:hAnsi="Cambria Math" w:cs="Times New Roman"/>
                    <w:szCs w:val="24"/>
                  </w:rPr>
                </m:ctrlPr>
              </m:accPr>
              <m:e>
                <m:r>
                  <m:rPr>
                    <m:sty m:val="p"/>
                  </m:rPr>
                  <w:rPr>
                    <w:rFonts w:ascii="Cambria Math" w:hAnsi="Cambria Math" w:cs="Times New Roman"/>
                    <w:szCs w:val="24"/>
                  </w:rPr>
                  <m:t>V</m:t>
                </m:r>
              </m:e>
            </m:acc>
          </m:e>
          <m:sub>
            <m:r>
              <m:rPr>
                <m:sty m:val="p"/>
              </m:rPr>
              <w:rPr>
                <w:rFonts w:ascii="Cambria Math" w:hAnsi="Cambria Math" w:cs="Times New Roman"/>
                <w:szCs w:val="24"/>
              </w:rPr>
              <m:t>pre</m:t>
            </m:r>
          </m:sub>
          <m:sup>
            <m:r>
              <m:rPr>
                <m:sty m:val="p"/>
              </m:rPr>
              <w:rPr>
                <w:rFonts w:ascii="Cambria Math" w:hAnsi="Cambria Math" w:cs="Times New Roman"/>
                <w:szCs w:val="24"/>
              </w:rPr>
              <m:t>-1</m:t>
            </m:r>
          </m:sup>
        </m:sSubSup>
        <m:r>
          <m:rPr>
            <m:sty m:val="p"/>
          </m:rPr>
          <w:rPr>
            <w:rFonts w:ascii="Cambria Math" w:hAnsi="Cambria Math" w:cs="Times New Roman"/>
            <w:szCs w:val="24"/>
          </w:rPr>
          <m:t> </m:t>
        </m:r>
        <m:sSub>
          <m:sSubPr>
            <m:ctrlPr>
              <w:rPr>
                <w:rFonts w:ascii="Cambria Math" w:hAnsi="Cambria Math" w:cs="Times New Roman"/>
                <w:szCs w:val="24"/>
              </w:rPr>
            </m:ctrlPr>
          </m:sSubPr>
          <m:e>
            <m:acc>
              <m:accPr>
                <m:ctrlPr>
                  <w:rPr>
                    <w:rFonts w:ascii="Cambria Math" w:hAnsi="Cambria Math" w:cs="Times New Roman"/>
                    <w:szCs w:val="24"/>
                  </w:rPr>
                </m:ctrlPr>
              </m:accPr>
              <m:e>
                <m:r>
                  <m:rPr>
                    <m:sty m:val="p"/>
                  </m:rPr>
                  <w:rPr>
                    <w:rFonts w:ascii="Cambria Math" w:hAnsi="Cambria Math" w:cs="Times New Roman"/>
                    <w:szCs w:val="24"/>
                  </w:rPr>
                  <m:t>θ</m:t>
                </m:r>
              </m:e>
            </m:acc>
          </m:e>
          <m:sub>
            <m:r>
              <m:rPr>
                <m:sty m:val="p"/>
              </m:rPr>
              <w:rPr>
                <w:rFonts w:ascii="Cambria Math" w:hAnsi="Cambria Math" w:cs="Times New Roman"/>
                <w:szCs w:val="24"/>
              </w:rPr>
              <m:t>pre</m:t>
            </m:r>
          </m:sub>
        </m:sSub>
        <m:r>
          <m:rPr>
            <m:sty m:val="p"/>
          </m:rPr>
          <w:rPr>
            <w:rFonts w:ascii="Cambria Math" w:hAnsi="Cambria Math" w:cs="Times New Roman"/>
            <w:szCs w:val="24"/>
          </w:rPr>
          <m:t> ∼ </m:t>
        </m:r>
        <m:sSubSup>
          <m:sSubSupPr>
            <m:ctrlPr>
              <w:rPr>
                <w:rFonts w:ascii="Cambria Math" w:hAnsi="Cambria Math" w:cs="Times New Roman"/>
                <w:szCs w:val="24"/>
              </w:rPr>
            </m:ctrlPr>
          </m:sSubSupPr>
          <m:e>
            <m:r>
              <m:rPr>
                <m:sty m:val="p"/>
              </m:rPr>
              <w:rPr>
                <w:rFonts w:ascii="Cambria Math" w:hAnsi="Cambria Math" w:cs="Times New Roman"/>
                <w:szCs w:val="24"/>
              </w:rPr>
              <m:t>χ</m:t>
            </m:r>
          </m:e>
          <m:sub>
            <m:r>
              <m:rPr>
                <m:sty m:val="p"/>
              </m:rPr>
              <w:rPr>
                <w:rFonts w:ascii="Cambria Math" w:hAnsi="Cambria Math" w:cs="Times New Roman"/>
                <w:szCs w:val="24"/>
              </w:rPr>
              <m:t>4</m:t>
            </m:r>
          </m:sub>
          <m:sup>
            <m:r>
              <m:rPr>
                <m:sty m:val="p"/>
              </m:rPr>
              <w:rPr>
                <w:rFonts w:ascii="Cambria Math" w:hAnsi="Cambria Math" w:cs="Times New Roman"/>
                <w:szCs w:val="24"/>
              </w:rPr>
              <m:t>2</m:t>
            </m:r>
          </m:sup>
        </m:sSubSup>
      </m:oMath>
      <w:r w:rsidRPr="00772DEF">
        <w:rPr>
          <w:rFonts w:cs="Times New Roman"/>
          <w:szCs w:val="24"/>
        </w:rPr>
        <w:tab/>
        <w:t>(8)</w:t>
      </w:r>
    </w:p>
    <w:p w14:paraId="626E81AF"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where θ̂</w:t>
      </w:r>
      <w:r w:rsidRPr="00772DEF">
        <w:rPr>
          <w:rFonts w:cs="Times New Roman"/>
          <w:szCs w:val="24"/>
          <w:vertAlign w:val="subscript"/>
        </w:rPr>
        <w:t>pre</w:t>
      </w:r>
      <w:r w:rsidRPr="00772DEF">
        <w:rPr>
          <w:rFonts w:cs="Times New Roman"/>
          <w:szCs w:val="24"/>
        </w:rPr>
        <w:t xml:space="preserve"> stacks the estimates for e = −5 to −2 and V̂</w:t>
      </w:r>
      <w:r w:rsidRPr="00772DEF">
        <w:rPr>
          <w:rFonts w:cs="Times New Roman"/>
          <w:szCs w:val="24"/>
          <w:vertAlign w:val="subscript"/>
        </w:rPr>
        <w:t>pre</w:t>
      </w:r>
      <w:r w:rsidRPr="00772DEF">
        <w:rPr>
          <w:rFonts w:cs="Times New Roman"/>
          <w:szCs w:val="24"/>
        </w:rPr>
        <w:t xml:space="preserve"> is their bootstrap covariance matrix. Because pre-trend tests can have low power and conditioning on them can distort inference (Roth, 2022), we report W as a diagnostic and do not condition the analysis on it.</w:t>
      </w:r>
    </w:p>
    <w:p w14:paraId="4471F416"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Coverage arrived in market-level waves, so a market-year shock can affect many scored firms at once. The country indicators in Eq. (3) absorb market-wide changes within each cell, and we report leave-one-market-out estimates; five markets are too few clusters for a reliable market-level bootstrap. The firm-level bootstrap does not account for correlation within market-level coverage waves, so the confidence intervals and pre-trend p-values may be too narrow.</w:t>
      </w:r>
    </w:p>
    <w:p w14:paraId="62ADBDD7"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4.4. Sensitivity to departures from parallel trends</w:t>
      </w:r>
    </w:p>
    <w:p w14:paraId="3E58D6BE"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Because the pre-coverage estimates cast doubt on Eq. (2), we add two exploratory checks that the pre-analysis plan did not contain. The first removes a linear pre-coverage trend that passes through zero in the base year:</w:t>
      </w:r>
    </w:p>
    <w:p w14:paraId="7133179A" w14:textId="607EBE85"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tab/>
      </w:r>
      <m:oMath>
        <m:acc>
          <m:accPr>
            <m:ctrlPr>
              <w:rPr>
                <w:rFonts w:ascii="Cambria Math" w:hAnsi="Cambria Math" w:cs="Times New Roman"/>
                <w:szCs w:val="24"/>
              </w:rPr>
            </m:ctrlPr>
          </m:accPr>
          <m:e>
            <m:r>
              <m:rPr>
                <m:sty m:val="p"/>
              </m:rPr>
              <w:rPr>
                <w:rFonts w:ascii="Cambria Math" w:hAnsi="Cambria Math" w:cs="Times New Roman"/>
                <w:szCs w:val="24"/>
              </w:rPr>
              <m:t>b</m:t>
            </m:r>
          </m:e>
        </m:acc>
        <m:r>
          <m:rPr>
            <m:sty m:val="p"/>
          </m:rPr>
          <w:rPr>
            <w:rFonts w:ascii="Cambria Math" w:hAnsi="Cambria Math" w:cs="Times New Roman"/>
            <w:szCs w:val="24"/>
          </w:rPr>
          <m:t>=</m:t>
        </m:r>
        <m:f>
          <m:fPr>
            <m:ctrlPr>
              <w:rPr>
                <w:rFonts w:ascii="Cambria Math" w:hAnsi="Cambria Math" w:cs="Times New Roman"/>
                <w:szCs w:val="24"/>
              </w:rPr>
            </m:ctrlPr>
          </m:fPr>
          <m:num>
            <m:nary>
              <m:naryPr>
                <m:chr m:val="∑"/>
                <m:limLoc m:val="undOvr"/>
                <m:ctrlPr>
                  <w:rPr>
                    <w:rFonts w:ascii="Cambria Math" w:hAnsi="Cambria Math" w:cs="Times New Roman"/>
                    <w:szCs w:val="24"/>
                  </w:rPr>
                </m:ctrlPr>
              </m:naryPr>
              <m:sub>
                <m:r>
                  <m:rPr>
                    <m:sty m:val="p"/>
                  </m:rPr>
                  <w:rPr>
                    <w:rFonts w:ascii="Cambria Math" w:hAnsi="Cambria Math" w:cs="Times New Roman"/>
                    <w:szCs w:val="24"/>
                  </w:rPr>
                  <m:t>e=-5</m:t>
                </m:r>
              </m:sub>
              <m:sup>
                <m:r>
                  <m:rPr>
                    <m:sty m:val="p"/>
                  </m:rPr>
                  <w:rPr>
                    <w:rFonts w:ascii="Cambria Math" w:hAnsi="Cambria Math" w:cs="Times New Roman"/>
                    <w:szCs w:val="24"/>
                  </w:rPr>
                  <m:t>-1</m:t>
                </m:r>
              </m:sup>
              <m:e>
                <m:d>
                  <m:dPr>
                    <m:ctrlPr>
                      <w:rPr>
                        <w:rFonts w:ascii="Cambria Math" w:hAnsi="Cambria Math" w:cs="Times New Roman"/>
                        <w:szCs w:val="24"/>
                      </w:rPr>
                    </m:ctrlPr>
                  </m:dPr>
                  <m:e>
                    <m:r>
                      <m:rPr>
                        <m:sty m:val="p"/>
                      </m:rPr>
                      <w:rPr>
                        <w:rFonts w:ascii="Cambria Math" w:hAnsi="Cambria Math" w:cs="Times New Roman"/>
                        <w:szCs w:val="24"/>
                      </w:rPr>
                      <m:t>e+1</m:t>
                    </m:r>
                  </m:e>
                </m:d>
              </m:e>
            </m:nary>
            <m:r>
              <m:rPr>
                <m:sty m:val="p"/>
              </m:rPr>
              <w:rPr>
                <w:rFonts w:ascii="Cambria Math" w:hAnsi="Cambria Math" w:cs="Times New Roman"/>
                <w:szCs w:val="24"/>
              </w:rPr>
              <m:t> </m:t>
            </m:r>
            <m:acc>
              <m:accPr>
                <m:ctrlPr>
                  <w:rPr>
                    <w:rFonts w:ascii="Cambria Math" w:hAnsi="Cambria Math" w:cs="Times New Roman"/>
                    <w:szCs w:val="24"/>
                  </w:rPr>
                </m:ctrlPr>
              </m:accPr>
              <m:e>
                <m:r>
                  <m:rPr>
                    <m:sty m:val="p"/>
                  </m:rPr>
                  <w:rPr>
                    <w:rFonts w:ascii="Cambria Math" w:hAnsi="Cambria Math" w:cs="Times New Roman"/>
                    <w:szCs w:val="24"/>
                  </w:rPr>
                  <m:t>θ</m:t>
                </m:r>
              </m:e>
            </m:acc>
            <m:d>
              <m:dPr>
                <m:ctrlPr>
                  <w:rPr>
                    <w:rFonts w:ascii="Cambria Math" w:hAnsi="Cambria Math" w:cs="Times New Roman"/>
                    <w:szCs w:val="24"/>
                  </w:rPr>
                </m:ctrlPr>
              </m:dPr>
              <m:e>
                <m:r>
                  <m:rPr>
                    <m:sty m:val="p"/>
                  </m:rPr>
                  <w:rPr>
                    <w:rFonts w:ascii="Cambria Math" w:hAnsi="Cambria Math" w:cs="Times New Roman"/>
                    <w:szCs w:val="24"/>
                  </w:rPr>
                  <m:t>e</m:t>
                </m:r>
              </m:e>
            </m:d>
          </m:num>
          <m:den>
            <m:nary>
              <m:naryPr>
                <m:chr m:val="∑"/>
                <m:limLoc m:val="undOvr"/>
                <m:ctrlPr>
                  <w:rPr>
                    <w:rFonts w:ascii="Cambria Math" w:hAnsi="Cambria Math" w:cs="Times New Roman"/>
                    <w:szCs w:val="24"/>
                  </w:rPr>
                </m:ctrlPr>
              </m:naryPr>
              <m:sub>
                <m:r>
                  <m:rPr>
                    <m:sty m:val="p"/>
                  </m:rPr>
                  <w:rPr>
                    <w:rFonts w:ascii="Cambria Math" w:hAnsi="Cambria Math" w:cs="Times New Roman"/>
                    <w:szCs w:val="24"/>
                  </w:rPr>
                  <m:t>e=-5</m:t>
                </m:r>
              </m:sub>
              <m:sup>
                <m:r>
                  <m:rPr>
                    <m:sty m:val="p"/>
                  </m:rPr>
                  <w:rPr>
                    <w:rFonts w:ascii="Cambria Math" w:hAnsi="Cambria Math" w:cs="Times New Roman"/>
                    <w:szCs w:val="24"/>
                  </w:rPr>
                  <m:t>-1</m:t>
                </m:r>
              </m:sup>
              <m:e>
                <m:sSup>
                  <m:sSupPr>
                    <m:ctrlPr>
                      <w:rPr>
                        <w:rFonts w:ascii="Cambria Math" w:hAnsi="Cambria Math" w:cs="Times New Roman"/>
                        <w:szCs w:val="24"/>
                      </w:rPr>
                    </m:ctrlPr>
                  </m:sSupPr>
                  <m:e>
                    <m:d>
                      <m:dPr>
                        <m:ctrlPr>
                          <w:rPr>
                            <w:rFonts w:ascii="Cambria Math" w:hAnsi="Cambria Math" w:cs="Times New Roman"/>
                            <w:szCs w:val="24"/>
                          </w:rPr>
                        </m:ctrlPr>
                      </m:dPr>
                      <m:e>
                        <m:r>
                          <m:rPr>
                            <m:sty m:val="p"/>
                          </m:rPr>
                          <w:rPr>
                            <w:rFonts w:ascii="Cambria Math" w:hAnsi="Cambria Math" w:cs="Times New Roman"/>
                            <w:szCs w:val="24"/>
                          </w:rPr>
                          <m:t>e+1</m:t>
                        </m:r>
                      </m:e>
                    </m:d>
                  </m:e>
                  <m:sup>
                    <m:r>
                      <m:rPr>
                        <m:sty m:val="p"/>
                      </m:rPr>
                      <w:rPr>
                        <w:rFonts w:ascii="Cambria Math" w:hAnsi="Cambria Math" w:cs="Times New Roman"/>
                        <w:szCs w:val="24"/>
                      </w:rPr>
                      <m:t>2</m:t>
                    </m:r>
                  </m:sup>
                </m:sSup>
              </m:e>
            </m:nary>
          </m:den>
        </m:f>
        <m:r>
          <m:rPr>
            <m:sty m:val="p"/>
          </m:rPr>
          <w:rPr>
            <w:rFonts w:ascii="Cambria Math" w:hAnsi="Cambria Math" w:cs="Times New Roman"/>
            <w:szCs w:val="24"/>
          </w:rPr>
          <m:t>,  </m:t>
        </m:r>
        <m:acc>
          <m:accPr>
            <m:chr m:val="̃"/>
            <m:ctrlPr>
              <w:rPr>
                <w:rFonts w:ascii="Cambria Math" w:hAnsi="Cambria Math" w:cs="Times New Roman"/>
                <w:szCs w:val="24"/>
              </w:rPr>
            </m:ctrlPr>
          </m:accPr>
          <m:e>
            <m:r>
              <m:rPr>
                <m:sty m:val="p"/>
              </m:rPr>
              <w:rPr>
                <w:rFonts w:ascii="Cambria Math" w:hAnsi="Cambria Math" w:cs="Times New Roman"/>
                <w:szCs w:val="24"/>
              </w:rPr>
              <m:t>θ</m:t>
            </m:r>
          </m:e>
        </m:acc>
        <m:d>
          <m:dPr>
            <m:ctrlPr>
              <w:rPr>
                <w:rFonts w:ascii="Cambria Math" w:hAnsi="Cambria Math" w:cs="Times New Roman"/>
                <w:szCs w:val="24"/>
              </w:rPr>
            </m:ctrlPr>
          </m:dPr>
          <m:e>
            <m:r>
              <m:rPr>
                <m:sty m:val="p"/>
              </m:rPr>
              <w:rPr>
                <w:rFonts w:ascii="Cambria Math" w:hAnsi="Cambria Math" w:cs="Times New Roman"/>
                <w:szCs w:val="24"/>
              </w:rPr>
              <m:t>e</m:t>
            </m:r>
          </m:e>
        </m:d>
        <m:r>
          <m:rPr>
            <m:sty m:val="p"/>
          </m:rPr>
          <w:rPr>
            <w:rFonts w:ascii="Cambria Math" w:hAnsi="Cambria Math" w:cs="Times New Roman"/>
            <w:szCs w:val="24"/>
          </w:rPr>
          <m:t>=</m:t>
        </m:r>
        <m:acc>
          <m:accPr>
            <m:ctrlPr>
              <w:rPr>
                <w:rFonts w:ascii="Cambria Math" w:hAnsi="Cambria Math" w:cs="Times New Roman"/>
                <w:szCs w:val="24"/>
              </w:rPr>
            </m:ctrlPr>
          </m:accPr>
          <m:e>
            <m:r>
              <m:rPr>
                <m:sty m:val="p"/>
              </m:rPr>
              <w:rPr>
                <w:rFonts w:ascii="Cambria Math" w:hAnsi="Cambria Math" w:cs="Times New Roman"/>
                <w:szCs w:val="24"/>
              </w:rPr>
              <m:t>θ</m:t>
            </m:r>
          </m:e>
        </m:acc>
        <m:d>
          <m:dPr>
            <m:ctrlPr>
              <w:rPr>
                <w:rFonts w:ascii="Cambria Math" w:hAnsi="Cambria Math" w:cs="Times New Roman"/>
                <w:szCs w:val="24"/>
              </w:rPr>
            </m:ctrlPr>
          </m:dPr>
          <m:e>
            <m:r>
              <m:rPr>
                <m:sty m:val="p"/>
              </m:rPr>
              <w:rPr>
                <w:rFonts w:ascii="Cambria Math" w:hAnsi="Cambria Math" w:cs="Times New Roman"/>
                <w:szCs w:val="24"/>
              </w:rPr>
              <m:t>e</m:t>
            </m:r>
          </m:e>
        </m:d>
        <m:r>
          <m:rPr>
            <m:sty m:val="p"/>
          </m:rPr>
          <w:rPr>
            <w:rFonts w:ascii="Cambria Math" w:hAnsi="Cambria Math" w:cs="Times New Roman"/>
            <w:szCs w:val="24"/>
          </w:rPr>
          <m:t>-</m:t>
        </m:r>
        <m:acc>
          <m:accPr>
            <m:ctrlPr>
              <w:rPr>
                <w:rFonts w:ascii="Cambria Math" w:hAnsi="Cambria Math" w:cs="Times New Roman"/>
                <w:szCs w:val="24"/>
              </w:rPr>
            </m:ctrlPr>
          </m:accPr>
          <m:e>
            <m:r>
              <m:rPr>
                <m:sty m:val="p"/>
              </m:rPr>
              <w:rPr>
                <w:rFonts w:ascii="Cambria Math" w:hAnsi="Cambria Math" w:cs="Times New Roman"/>
                <w:szCs w:val="24"/>
              </w:rPr>
              <m:t>b</m:t>
            </m:r>
          </m:e>
        </m:acc>
        <m:r>
          <m:rPr>
            <m:sty m:val="p"/>
          </m:rPr>
          <w:rPr>
            <w:rFonts w:ascii="Cambria Math" w:hAnsi="Cambria Math" w:cs="Times New Roman"/>
            <w:szCs w:val="24"/>
          </w:rPr>
          <m:t> </m:t>
        </m:r>
        <m:d>
          <m:dPr>
            <m:ctrlPr>
              <w:rPr>
                <w:rFonts w:ascii="Cambria Math" w:hAnsi="Cambria Math" w:cs="Times New Roman"/>
                <w:szCs w:val="24"/>
              </w:rPr>
            </m:ctrlPr>
          </m:dPr>
          <m:e>
            <m:r>
              <m:rPr>
                <m:sty m:val="p"/>
              </m:rPr>
              <w:rPr>
                <w:rFonts w:ascii="Cambria Math" w:hAnsi="Cambria Math" w:cs="Times New Roman"/>
                <w:szCs w:val="24"/>
              </w:rPr>
              <m:t>e+1</m:t>
            </m:r>
          </m:e>
        </m:d>
      </m:oMath>
      <w:r w:rsidRPr="00772DEF">
        <w:rPr>
          <w:rFonts w:cs="Times New Roman"/>
          <w:szCs w:val="24"/>
        </w:rPr>
        <w:tab/>
        <w:t>(9)</w:t>
      </w:r>
    </w:p>
    <w:p w14:paraId="501D7451"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Eq. (2) in event year e. We assume that it changes from year to year by at most M̄ times Δ, the largest change between consecutive pre-coverage estimates:</w:t>
      </w:r>
    </w:p>
    <w:p w14:paraId="15042D8E" w14:textId="27054C09"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tab/>
      </w:r>
      <m:oMath>
        <m:d>
          <m:dPr>
            <m:begChr m:val="|"/>
            <m:endChr m:val="|"/>
            <m:ctrlPr>
              <w:rPr>
                <w:rFonts w:ascii="Cambria Math" w:hAnsi="Cambria Math" w:cs="Times New Roman"/>
                <w:szCs w:val="24"/>
              </w:rPr>
            </m:ctrlPr>
          </m:dPr>
          <m:e>
            <m:r>
              <m:rPr>
                <m:sty m:val="p"/>
              </m:rPr>
              <w:rPr>
                <w:rFonts w:ascii="Cambria Math" w:hAnsi="Cambria Math" w:cs="Times New Roman"/>
                <w:szCs w:val="24"/>
              </w:rPr>
              <m:t>δ</m:t>
            </m:r>
            <m:d>
              <m:dPr>
                <m:ctrlPr>
                  <w:rPr>
                    <w:rFonts w:ascii="Cambria Math" w:hAnsi="Cambria Math" w:cs="Times New Roman"/>
                    <w:szCs w:val="24"/>
                  </w:rPr>
                </m:ctrlPr>
              </m:dPr>
              <m:e>
                <m:r>
                  <m:rPr>
                    <m:sty m:val="p"/>
                  </m:rPr>
                  <w:rPr>
                    <w:rFonts w:ascii="Cambria Math" w:hAnsi="Cambria Math" w:cs="Times New Roman"/>
                    <w:szCs w:val="24"/>
                  </w:rPr>
                  <m:t>e</m:t>
                </m:r>
              </m:e>
            </m:d>
            <m:r>
              <m:rPr>
                <m:sty m:val="p"/>
              </m:rPr>
              <w:rPr>
                <w:rFonts w:ascii="Cambria Math" w:hAnsi="Cambria Math" w:cs="Times New Roman"/>
                <w:szCs w:val="24"/>
              </w:rPr>
              <m:t>-δ</m:t>
            </m:r>
            <m:d>
              <m:dPr>
                <m:ctrlPr>
                  <w:rPr>
                    <w:rFonts w:ascii="Cambria Math" w:hAnsi="Cambria Math" w:cs="Times New Roman"/>
                    <w:szCs w:val="24"/>
                  </w:rPr>
                </m:ctrlPr>
              </m:dPr>
              <m:e>
                <m:r>
                  <m:rPr>
                    <m:sty m:val="p"/>
                  </m:rPr>
                  <w:rPr>
                    <w:rFonts w:ascii="Cambria Math" w:hAnsi="Cambria Math" w:cs="Times New Roman"/>
                    <w:szCs w:val="24"/>
                  </w:rPr>
                  <m:t>e-1</m:t>
                </m:r>
              </m:e>
            </m:d>
          </m:e>
        </m:d>
        <m:r>
          <m:rPr>
            <m:sty m:val="p"/>
          </m:rPr>
          <w:rPr>
            <w:rFonts w:ascii="Cambria Math" w:hAnsi="Cambria Math" w:cs="Times New Roman"/>
            <w:szCs w:val="24"/>
          </w:rPr>
          <m:t>≤</m:t>
        </m:r>
        <m:acc>
          <m:accPr>
            <m:chr m:val="‾"/>
            <m:ctrlPr>
              <w:rPr>
                <w:rFonts w:ascii="Cambria Math" w:hAnsi="Cambria Math" w:cs="Times New Roman"/>
                <w:szCs w:val="24"/>
              </w:rPr>
            </m:ctrlPr>
          </m:accPr>
          <m:e>
            <m:r>
              <m:rPr>
                <m:sty m:val="p"/>
              </m:rPr>
              <w:rPr>
                <w:rFonts w:ascii="Cambria Math" w:hAnsi="Cambria Math" w:cs="Times New Roman"/>
                <w:szCs w:val="24"/>
              </w:rPr>
              <m:t>M</m:t>
            </m:r>
          </m:e>
        </m:acc>
        <m:r>
          <m:rPr>
            <m:sty m:val="p"/>
          </m:rPr>
          <w:rPr>
            <w:rFonts w:ascii="Cambria Math" w:hAnsi="Cambria Math" w:cs="Times New Roman"/>
            <w:szCs w:val="24"/>
          </w:rPr>
          <m:t> </m:t>
        </m:r>
        <m:limLow>
          <m:limLowPr>
            <m:ctrlPr>
              <w:rPr>
                <w:rFonts w:ascii="Cambria Math" w:hAnsi="Cambria Math" w:cs="Times New Roman"/>
                <w:szCs w:val="24"/>
              </w:rPr>
            </m:ctrlPr>
          </m:limLowPr>
          <m:e>
            <m:r>
              <m:rPr>
                <m:sty m:val="p"/>
              </m:rPr>
              <w:rPr>
                <w:rFonts w:ascii="Cambria Math" w:hAnsi="Cambria Math" w:cs="Times New Roman"/>
                <w:szCs w:val="24"/>
              </w:rPr>
              <m:t>max</m:t>
            </m:r>
          </m:e>
          <m:lim>
            <m:r>
              <m:rPr>
                <m:sty m:val="p"/>
              </m:rPr>
              <w:rPr>
                <w:rFonts w:ascii="Cambria Math" w:hAnsi="Cambria Math" w:cs="Times New Roman"/>
                <w:szCs w:val="24"/>
              </w:rPr>
              <m:t>s≤-1</m:t>
            </m:r>
          </m:lim>
        </m:limLow>
        <m:d>
          <m:dPr>
            <m:begChr m:val="|"/>
            <m:endChr m:val="|"/>
            <m:ctrlPr>
              <w:rPr>
                <w:rFonts w:ascii="Cambria Math" w:hAnsi="Cambria Math" w:cs="Times New Roman"/>
                <w:szCs w:val="24"/>
              </w:rPr>
            </m:ctrlPr>
          </m:dPr>
          <m:e>
            <m:acc>
              <m:accPr>
                <m:ctrlPr>
                  <w:rPr>
                    <w:rFonts w:ascii="Cambria Math" w:hAnsi="Cambria Math" w:cs="Times New Roman"/>
                    <w:szCs w:val="24"/>
                  </w:rPr>
                </m:ctrlPr>
              </m:accPr>
              <m:e>
                <m:r>
                  <m:rPr>
                    <m:sty m:val="p"/>
                  </m:rPr>
                  <w:rPr>
                    <w:rFonts w:ascii="Cambria Math" w:hAnsi="Cambria Math" w:cs="Times New Roman"/>
                    <w:szCs w:val="24"/>
                  </w:rPr>
                  <m:t>θ</m:t>
                </m:r>
              </m:e>
            </m:acc>
            <m:d>
              <m:dPr>
                <m:ctrlPr>
                  <w:rPr>
                    <w:rFonts w:ascii="Cambria Math" w:hAnsi="Cambria Math" w:cs="Times New Roman"/>
                    <w:szCs w:val="24"/>
                  </w:rPr>
                </m:ctrlPr>
              </m:dPr>
              <m:e>
                <m:r>
                  <m:rPr>
                    <m:sty m:val="p"/>
                  </m:rPr>
                  <w:rPr>
                    <w:rFonts w:ascii="Cambria Math" w:hAnsi="Cambria Math" w:cs="Times New Roman"/>
                    <w:szCs w:val="24"/>
                  </w:rPr>
                  <m:t>s</m:t>
                </m:r>
              </m:e>
            </m:d>
            <m:r>
              <m:rPr>
                <m:sty m:val="p"/>
              </m:rPr>
              <w:rPr>
                <w:rFonts w:ascii="Cambria Math" w:hAnsi="Cambria Math" w:cs="Times New Roman"/>
                <w:szCs w:val="24"/>
              </w:rPr>
              <m:t>-</m:t>
            </m:r>
            <m:acc>
              <m:accPr>
                <m:ctrlPr>
                  <w:rPr>
                    <w:rFonts w:ascii="Cambria Math" w:hAnsi="Cambria Math" w:cs="Times New Roman"/>
                    <w:szCs w:val="24"/>
                  </w:rPr>
                </m:ctrlPr>
              </m:accPr>
              <m:e>
                <m:r>
                  <m:rPr>
                    <m:sty m:val="p"/>
                  </m:rPr>
                  <w:rPr>
                    <w:rFonts w:ascii="Cambria Math" w:hAnsi="Cambria Math" w:cs="Times New Roman"/>
                    <w:szCs w:val="24"/>
                  </w:rPr>
                  <m:t>θ</m:t>
                </m:r>
              </m:e>
            </m:acc>
            <m:d>
              <m:dPr>
                <m:ctrlPr>
                  <w:rPr>
                    <w:rFonts w:ascii="Cambria Math" w:hAnsi="Cambria Math" w:cs="Times New Roman"/>
                    <w:szCs w:val="24"/>
                  </w:rPr>
                </m:ctrlPr>
              </m:dPr>
              <m:e>
                <m:r>
                  <m:rPr>
                    <m:sty m:val="p"/>
                  </m:rPr>
                  <w:rPr>
                    <w:rFonts w:ascii="Cambria Math" w:hAnsi="Cambria Math" w:cs="Times New Roman"/>
                    <w:szCs w:val="24"/>
                  </w:rPr>
                  <m:t>s-1</m:t>
                </m:r>
              </m:e>
            </m:d>
          </m:e>
        </m:d>
        <m:r>
          <m:rPr>
            <m:sty m:val="p"/>
          </m:rPr>
          <w:rPr>
            <w:rFonts w:ascii="Cambria Math" w:hAnsi="Cambria Math" w:cs="Times New Roman"/>
            <w:szCs w:val="24"/>
          </w:rPr>
          <m:t>≡</m:t>
        </m:r>
        <m:acc>
          <m:accPr>
            <m:chr m:val="‾"/>
            <m:ctrlPr>
              <w:rPr>
                <w:rFonts w:ascii="Cambria Math" w:hAnsi="Cambria Math" w:cs="Times New Roman"/>
                <w:szCs w:val="24"/>
              </w:rPr>
            </m:ctrlPr>
          </m:accPr>
          <m:e>
            <m:r>
              <m:rPr>
                <m:sty m:val="p"/>
              </m:rPr>
              <w:rPr>
                <w:rFonts w:ascii="Cambria Math" w:hAnsi="Cambria Math" w:cs="Times New Roman"/>
                <w:szCs w:val="24"/>
              </w:rPr>
              <m:t>M</m:t>
            </m:r>
          </m:e>
        </m:acc>
        <m:r>
          <m:rPr>
            <m:sty m:val="p"/>
          </m:rPr>
          <w:rPr>
            <w:rFonts w:ascii="Cambria Math" w:hAnsi="Cambria Math" w:cs="Times New Roman"/>
            <w:szCs w:val="24"/>
          </w:rPr>
          <m:t> Δ,  δ</m:t>
        </m:r>
        <m:d>
          <m:dPr>
            <m:ctrlPr>
              <w:rPr>
                <w:rFonts w:ascii="Cambria Math" w:hAnsi="Cambria Math" w:cs="Times New Roman"/>
                <w:szCs w:val="24"/>
              </w:rPr>
            </m:ctrlPr>
          </m:dPr>
          <m:e>
            <m:r>
              <m:rPr>
                <m:sty m:val="p"/>
              </m:rPr>
              <w:rPr>
                <w:rFonts w:ascii="Cambria Math" w:hAnsi="Cambria Math" w:cs="Times New Roman"/>
                <w:szCs w:val="24"/>
              </w:rPr>
              <m:t>-1</m:t>
            </m:r>
          </m:e>
        </m:d>
        <m:r>
          <m:rPr>
            <m:sty m:val="p"/>
          </m:rPr>
          <w:rPr>
            <w:rFonts w:ascii="Cambria Math" w:hAnsi="Cambria Math" w:cs="Times New Roman"/>
            <w:szCs w:val="24"/>
          </w:rPr>
          <m:t>=0</m:t>
        </m:r>
      </m:oMath>
      <w:r w:rsidRPr="00772DEF">
        <w:rPr>
          <w:rFonts w:cs="Times New Roman"/>
          <w:szCs w:val="24"/>
        </w:rPr>
        <w:tab/>
        <w:t>(10)</w:t>
      </w:r>
    </w:p>
    <w:p w14:paraId="5C546A2A"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where s indexes pre-coverage event years. The bias for event year e is then at most M̄Δ(e + 1), and we widen the headline confidence interval by the weighted average of this bound. This construction is conservative and simpler than the confidence sets of Rambachan and Roth (2023), which we do not compute. We also add to X</w:t>
      </w:r>
      <w:r w:rsidRPr="00772DEF">
        <w:rPr>
          <w:rFonts w:cs="Times New Roman"/>
          <w:szCs w:val="24"/>
          <w:vertAlign w:val="subscript"/>
        </w:rPr>
        <w:t>i</w:t>
      </w:r>
      <w:r w:rsidRPr="00772DEF">
        <w:rPr>
          <w:rFonts w:cs="Times New Roman"/>
          <w:szCs w:val="24"/>
        </w:rPr>
        <w:t xml:space="preserve"> the growth of log market capitalization from year g − 3 to year g − 1, which compares scored firms with never-scored firms of similar pre-coverage growth.</w:t>
      </w:r>
    </w:p>
    <w:p w14:paraId="2D79B556"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lastRenderedPageBreak/>
        <w:t>4.5. Benchmark regression and robustness checks</w:t>
      </w:r>
    </w:p>
    <w:p w14:paraId="312E632F"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As a benchmark, we estimate on scored and never-scored firms the static two-way fixed effects regression that Goodman-Bacon (2021) and Baker et al. (2022) analyze:</w:t>
      </w:r>
    </w:p>
    <w:p w14:paraId="5B9FCBBA" w14:textId="46D0AF2A" w:rsidR="0056063A" w:rsidRPr="00772DEF" w:rsidRDefault="00000000" w:rsidP="00772DEF">
      <w:pPr>
        <w:tabs>
          <w:tab w:val="center" w:pos="4680"/>
          <w:tab w:val="right" w:pos="9360"/>
        </w:tabs>
        <w:spacing w:before="120" w:after="120" w:line="300" w:lineRule="auto"/>
        <w:rPr>
          <w:rFonts w:cs="Times New Roman"/>
          <w:szCs w:val="24"/>
        </w:rPr>
      </w:pPr>
      <w:r w:rsidRPr="00772DEF">
        <w:rPr>
          <w:rFonts w:cs="Times New Roman"/>
          <w:szCs w:val="24"/>
        </w:rPr>
        <w:tab/>
      </w:r>
      <m:oMath>
        <m:sSub>
          <m:sSubPr>
            <m:ctrlPr>
              <w:rPr>
                <w:rFonts w:ascii="Cambria Math" w:hAnsi="Cambria Math" w:cs="Times New Roman"/>
                <w:szCs w:val="24"/>
              </w:rPr>
            </m:ctrlPr>
          </m:sSubPr>
          <m:e>
            <m:r>
              <m:rPr>
                <m:sty m:val="p"/>
              </m:rPr>
              <w:rPr>
                <w:rFonts w:ascii="Cambria Math" w:hAnsi="Cambria Math" w:cs="Times New Roman"/>
                <w:szCs w:val="24"/>
              </w:rPr>
              <m:t>Y</m:t>
            </m:r>
          </m:e>
          <m:sub>
            <m:r>
              <m:rPr>
                <m:sty m:val="p"/>
              </m:rPr>
              <w:rPr>
                <w:rFonts w:ascii="Cambria Math" w:hAnsi="Cambria Math" w:cs="Times New Roman"/>
                <w:szCs w:val="24"/>
              </w:rPr>
              <m:t>i,t</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α</m:t>
            </m:r>
          </m:e>
          <m:sub>
            <m:r>
              <m:rPr>
                <m:sty m:val="p"/>
              </m:rPr>
              <w:rPr>
                <w:rFonts w:ascii="Cambria Math" w:hAnsi="Cambria Math" w:cs="Times New Roman"/>
                <w:szCs w:val="24"/>
              </w:rPr>
              <m:t>i</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λ</m:t>
            </m:r>
          </m:e>
          <m:sub>
            <m:r>
              <m:rPr>
                <m:sty m:val="p"/>
              </m:rPr>
              <w:rPr>
                <w:rFonts w:ascii="Cambria Math" w:hAnsi="Cambria Math" w:cs="Times New Roman"/>
                <w:szCs w:val="24"/>
              </w:rPr>
              <m:t>t</m:t>
            </m:r>
          </m:sub>
        </m:sSub>
        <m:r>
          <m:rPr>
            <m:sty m:val="p"/>
          </m:rPr>
          <w:rPr>
            <w:rFonts w:ascii="Cambria Math" w:hAnsi="Cambria Math" w:cs="Times New Roman"/>
            <w:szCs w:val="24"/>
          </w:rPr>
          <m:t>+β </m:t>
        </m:r>
        <m:sSub>
          <m:sSubPr>
            <m:ctrlPr>
              <w:rPr>
                <w:rFonts w:ascii="Cambria Math" w:hAnsi="Cambria Math" w:cs="Times New Roman"/>
                <w:szCs w:val="24"/>
              </w:rPr>
            </m:ctrlPr>
          </m:sSubPr>
          <m:e>
            <m:r>
              <m:rPr>
                <m:sty m:val="p"/>
              </m:rPr>
              <w:rPr>
                <w:rFonts w:ascii="Cambria Math" w:hAnsi="Cambria Math" w:cs="Times New Roman"/>
                <w:szCs w:val="24"/>
              </w:rPr>
              <m:t>D</m:t>
            </m:r>
          </m:e>
          <m:sub>
            <m:r>
              <m:rPr>
                <m:sty m:val="p"/>
              </m:rPr>
              <w:rPr>
                <w:rFonts w:ascii="Cambria Math" w:hAnsi="Cambria Math" w:cs="Times New Roman"/>
                <w:szCs w:val="24"/>
              </w:rPr>
              <m:t>i,t</m:t>
            </m:r>
          </m:sub>
        </m:sSub>
        <m:r>
          <m:rPr>
            <m:sty m:val="p"/>
          </m:rP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ε</m:t>
            </m:r>
          </m:e>
          <m:sub>
            <m:r>
              <m:rPr>
                <m:sty m:val="p"/>
              </m:rPr>
              <w:rPr>
                <w:rFonts w:ascii="Cambria Math" w:hAnsi="Cambria Math" w:cs="Times New Roman"/>
                <w:szCs w:val="24"/>
              </w:rPr>
              <m:t>i,t</m:t>
            </m:r>
          </m:sub>
        </m:sSub>
        <m:r>
          <m:rPr>
            <m:sty m:val="p"/>
          </m:rPr>
          <w:rPr>
            <w:rFonts w:ascii="Cambria Math" w:hAnsi="Cambria Math" w:cs="Times New Roman"/>
            <w:szCs w:val="24"/>
          </w:rPr>
          <m:t>,  </m:t>
        </m:r>
        <m:sSub>
          <m:sSubPr>
            <m:ctrlPr>
              <w:rPr>
                <w:rFonts w:ascii="Cambria Math" w:hAnsi="Cambria Math" w:cs="Times New Roman"/>
                <w:szCs w:val="24"/>
              </w:rPr>
            </m:ctrlPr>
          </m:sSubPr>
          <m:e>
            <m:r>
              <m:rPr>
                <m:sty m:val="p"/>
              </m:rPr>
              <w:rPr>
                <w:rFonts w:ascii="Cambria Math" w:hAnsi="Cambria Math" w:cs="Times New Roman"/>
                <w:szCs w:val="24"/>
              </w:rPr>
              <m:t>D</m:t>
            </m:r>
          </m:e>
          <m:sub>
            <m:r>
              <m:rPr>
                <m:sty m:val="p"/>
              </m:rPr>
              <w:rPr>
                <w:rFonts w:ascii="Cambria Math" w:hAnsi="Cambria Math" w:cs="Times New Roman"/>
                <w:szCs w:val="24"/>
              </w:rPr>
              <m:t>i,t</m:t>
            </m:r>
          </m:sub>
        </m:sSub>
        <m:r>
          <m:rPr>
            <m:sty m:val="p"/>
          </m:rPr>
          <w:rPr>
            <w:rFonts w:ascii="Cambria Math" w:hAnsi="Cambria Math" w:cs="Times New Roman"/>
            <w:szCs w:val="24"/>
          </w:rPr>
          <m:t>=</m:t>
        </m:r>
        <m:r>
          <m:rPr>
            <m:sty m:val="b"/>
          </m:rPr>
          <w:rPr>
            <w:rFonts w:ascii="Cambria Math" w:hAnsi="Cambria Math" w:cs="Times New Roman"/>
            <w:szCs w:val="24"/>
          </w:rPr>
          <m:t>1</m:t>
        </m:r>
        <m:d>
          <m:dPr>
            <m:begChr m:val="["/>
            <m:endChr m:val="]"/>
            <m:ctrlPr>
              <w:rPr>
                <w:rFonts w:ascii="Cambria Math" w:hAnsi="Cambria Math" w:cs="Times New Roman"/>
                <w:szCs w:val="24"/>
              </w:rPr>
            </m:ctrlPr>
          </m:dPr>
          <m:e>
            <m:r>
              <m:rPr>
                <m:sty m:val="p"/>
              </m:rPr>
              <w:rPr>
                <w:rFonts w:ascii="Cambria Math" w:hAnsi="Cambria Math" w:cs="Times New Roman"/>
                <w:szCs w:val="24"/>
              </w:rPr>
              <m:t>t≥</m:t>
            </m:r>
            <m:sSub>
              <m:sSubPr>
                <m:ctrlPr>
                  <w:rPr>
                    <w:rFonts w:ascii="Cambria Math" w:hAnsi="Cambria Math" w:cs="Times New Roman"/>
                    <w:szCs w:val="24"/>
                  </w:rPr>
                </m:ctrlPr>
              </m:sSubPr>
              <m:e>
                <m:r>
                  <m:rPr>
                    <m:sty m:val="p"/>
                  </m:rPr>
                  <w:rPr>
                    <w:rFonts w:ascii="Cambria Math" w:hAnsi="Cambria Math" w:cs="Times New Roman"/>
                    <w:szCs w:val="24"/>
                  </w:rPr>
                  <m:t>G</m:t>
                </m:r>
              </m:e>
              <m:sub>
                <m:r>
                  <m:rPr>
                    <m:sty m:val="p"/>
                  </m:rPr>
                  <w:rPr>
                    <w:rFonts w:ascii="Cambria Math" w:hAnsi="Cambria Math" w:cs="Times New Roman"/>
                    <w:szCs w:val="24"/>
                  </w:rPr>
                  <m:t>i</m:t>
                </m:r>
              </m:sub>
            </m:sSub>
          </m:e>
        </m:d>
      </m:oMath>
      <w:r w:rsidRPr="00772DEF">
        <w:rPr>
          <w:rFonts w:cs="Times New Roman"/>
          <w:szCs w:val="24"/>
        </w:rPr>
        <w:tab/>
        <w:t>(11)</w:t>
      </w:r>
    </w:p>
    <w:p w14:paraId="1C578D9E"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where α</w:t>
      </w:r>
      <w:r w:rsidRPr="00772DEF">
        <w:rPr>
          <w:rFonts w:cs="Times New Roman"/>
          <w:szCs w:val="24"/>
          <w:vertAlign w:val="subscript"/>
        </w:rPr>
        <w:t>i</w:t>
      </w:r>
      <w:r w:rsidRPr="00772DEF">
        <w:rPr>
          <w:rFonts w:cs="Times New Roman"/>
          <w:szCs w:val="24"/>
        </w:rPr>
        <w:t xml:space="preserve"> and λ</w:t>
      </w:r>
      <w:r w:rsidRPr="00772DEF">
        <w:rPr>
          <w:rFonts w:cs="Times New Roman"/>
          <w:szCs w:val="24"/>
          <w:vertAlign w:val="subscript"/>
        </w:rPr>
        <w:t>t</w:t>
      </w:r>
      <w:r w:rsidRPr="00772DEF">
        <w:rPr>
          <w:rFonts w:cs="Times New Roman"/>
          <w:szCs w:val="24"/>
        </w:rPr>
        <w:t xml:space="preserve"> are firm and year effects, D</w:t>
      </w:r>
      <w:r w:rsidRPr="00772DEF">
        <w:rPr>
          <w:rFonts w:cs="Times New Roman"/>
          <w:szCs w:val="24"/>
          <w:vertAlign w:val="subscript"/>
        </w:rPr>
        <w:t>i,t</w:t>
      </w:r>
      <w:r w:rsidRPr="00772DEF">
        <w:rPr>
          <w:rFonts w:cs="Times New Roman"/>
          <w:szCs w:val="24"/>
        </w:rPr>
        <w:t xml:space="preserve"> marks years from the first score onward, and ε</w:t>
      </w:r>
      <w:r w:rsidRPr="00772DEF">
        <w:rPr>
          <w:rFonts w:cs="Times New Roman"/>
          <w:szCs w:val="24"/>
          <w:vertAlign w:val="subscript"/>
        </w:rPr>
        <w:t>i,t</w:t>
      </w:r>
      <w:r w:rsidRPr="00772DEF">
        <w:rPr>
          <w:rFonts w:cs="Times New Roman"/>
          <w:szCs w:val="24"/>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 which biases β when effects change over time.</w:t>
      </w:r>
    </w:p>
    <w:p w14:paraId="65E0A137"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pre-analysis plan fixed rows R1 to R6 of Table 3: four robustness checks, a placebo, and the benchmark of Eq. (11). The checks add not-yet-scored firms to the controls; drop the covariates; exclude the 2020 and 2021 cohorts; and keep only control firms whose log total assets in year g − 1 reach the 10th percentile of the cohort's scored firms, a lower bound only. The placebo dates coverage three years early and uses only years before the actual score. Besides the checks in Section 4.4, four analyses are exploratory: dating coverage one year later, with its own pre-trend test and bounds; restricting the sample to cohorts observed through event year three; excluding one market at a time; and estimating the model by market.</w:t>
      </w:r>
    </w:p>
    <w:p w14:paraId="629DF0EB"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t>5. Results</w:t>
      </w:r>
    </w:p>
    <w:p w14:paraId="6030609A"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5.1. Which firms get scored</w:t>
      </w:r>
    </w:p>
    <w:p w14:paraId="3AF6F01A"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Table 1 compares scored firms in the year before their first score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 medians agree, while leverage barely differs (normalized difference −0.04). Return on assets is available for far fewer firm-years, so we use it only descriptively. These gaps fit a provider that covers large and visible firms (Section 2.2), and the MTB gap fits the pre-coverage growth in Section 5.3. Size also matters for the scores themselves, because larger firms receive higher scores from this provider (Dobrick et al., 2023). We therefore compare changes and adjust for size, country, and industry in Eq. (3).</w:t>
      </w:r>
    </w:p>
    <w:p w14:paraId="2E65EE76"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lastRenderedPageBreak/>
        <w:t>5.2. Average effects of the first score</w:t>
      </w:r>
    </w:p>
    <w:p w14:paraId="1779F69E"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Table 2 reports the headline estimates of Eq. (6). The effect on log MTB is 0.002, with a standard error of 0.024 and a 95% confidence interval from −0.046 to 0.048, which under assumption (2) excludes changes in the MTB ratio outside −4.5 to 4.9 percent. The minimum detectable effect from Eq. (7) is 0.067, about 7.0 percent, detected with 80% probability; the confidence interval, not the MDE, gives the effects compatible with the data, and it includes increases of a few percent. No outcome changes significantly at the 5% level once the secondary outcomes are Holm-adjusted: log market capitalization changes by −0.055 (p = 0.134), leverage by 0.8 percentage points (p = 0.134), and total assets by 0.044 log points (p = 0.053, against an unadjusted p = 0.018). Under assumption (2), the MTB estimate gives no sign of the positive effect that the recognition channel of Merton (1987) and the preference channel of Pástor et al. (2021) and Pedersen et al. (2021) predict. Hartzmark and Sussman (2019) show that fund flows respond to newly published sustainability ratings; under assumption (2), we detect no lasting valuation gain from such demand, although the interval admits gains of up to 4.9 percent.</w:t>
      </w:r>
    </w:p>
    <w:p w14:paraId="3CF6C565"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5.3. Dynamics before and after the first score</w:t>
      </w:r>
    </w:p>
    <w:p w14:paraId="61FF7DCB"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Fig. 1 plots the event-time estimates of Eq. (5) for all four outcomes. Before the first score, the coefficients for market capitalization and MTB are negative and rise toward zero. In event years −5 and −4, four and three years before the base year, the MTB estimates are −0.095 and −0.082 (p = 0.015 and p = 0.015). Over these four years, scored firms' market capitalization grew 14.1 percent more than that of comparable firms, and their MTB ratio 10.0 percent more. This run-up is the pattern that the selection view in Section 2.2 predicts. The joint test of Eq. (8) rejects parallel pre-trends for market capitalization (p = 0.022) but not at the 5% level for MTB (p = 0.074); as Roth (2022) cautions, this non-rejection is not evidence that pre-trends are absent. Total assets follow a weaker version of the pattern, and leverage falls toward the base year (pre-trend p = 0.002).</w:t>
      </w:r>
    </w:p>
    <w:p w14:paraId="2189C73D"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 xml:space="preserve">After the first score, the MTB coefficients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Total assets rise to 0.090 by event year 3, and leverage returns toward its earlier level. The valuation gap thus widens before coverage and stops widening afterwards, with no mirror image of the price decline that follows a </w:t>
      </w:r>
      <w:r w:rsidRPr="00772DEF">
        <w:rPr>
          <w:rFonts w:cs="Times New Roman"/>
          <w:szCs w:val="24"/>
        </w:rPr>
        <w:lastRenderedPageBreak/>
        <w:t>loss of analyst coverage (Kelly &amp; Ljungqvist, 2012). Without data on share issuance, we cannot tell whether the pre-coverage growth in market capitalization reflects rising prices, new shares, or both, so we base statements about valuation on the MTB ratio.</w:t>
      </w:r>
    </w:p>
    <w:p w14:paraId="3DAD379E"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5.4. Timing of coverage and sensitivity to pre-trends</w:t>
      </w:r>
    </w:p>
    <w:p w14:paraId="393B74AD"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It assumes parallel trends from the first scored year, the year of peak valuation. Its joint pre-trend test gives p = 0.072, and with M̄ = 0.25 in Eq. (10) its robust interval, from −0.138 to 0.002, includes zero; the decline loses significance once M̄ reaches 0.23. If firms are selected at an unusually high valuation that later partly reverses, the decline measures the reversal and can hide an offsetting positive coverage effect; if valuations would otherwise have stayed at their peak, coverage lowered them. The data cannot separate the two readings.</w:t>
      </w:r>
    </w:p>
    <w:p w14:paraId="38F7E73E"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Row R11 keeps the 7 cohorts first scored by 2021 and observed through event year 3, with 273 scored and 2,032 control firms. Its MTB effect of −0.008 (p = 0.806) shows that changing cohort composition does not explain the headline estimate, although the interval widens. Row R7 removes a linear pre-trend with Eq. (9). The MTB effect becomes −0.052, with a 95% interval from −0.118 to 0.014; it is negative because a continued run-up would have raised valuations further. Row R8 compares scored firms with never-scored firms that grew at a similar rate before coverage, and so share any tendency to revert, and gives an MTB effect of 0.028 (p = 0.265). This comparison partly accounts for any reversal of temporary demand, like the partly reversing price effects of index additions (Harris &amp; Gurel, 1986), and shows no significant gain, but its interval, from −0.021 to 0.077, admits gains of several percent. It conditions only on market capitalization growth from year g − 3 to year g − 1, and control firms matched on past growth can themselves revert, so it does not settle the reversal question.</w:t>
      </w:r>
    </w:p>
    <w:p w14:paraId="196EF990"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 xml:space="preserve">Table S5 of the Supplemental Appendix reports the bounds of Eq. (10), which follow the relative-magnitudes logic of Rambachan and Roth (2023). With a largest change of 0.046 between consecutive pre-coverage MTB estimates, the robust interval for the MTB effect is −0.071 to 0.073 with M̄ = 0.25 and widens to −0.147 to 0.148 with M̄ = 1. Every interval </w:t>
      </w:r>
      <w:r w:rsidRPr="00772DEF">
        <w:rPr>
          <w:rFonts w:cs="Times New Roman"/>
          <w:szCs w:val="24"/>
        </w:rPr>
        <w:lastRenderedPageBreak/>
        <w:t>includes zero and admits moderate effects in either direction. The upper limit of the unadjusted interval lies just below a 5 percent increase in the MTB ratio (0.049 log points): any departure with M̄ above about 0.01 admits an increase of 5 percent, and any departure at all admits a positive effect. The post-coverage null and the absence of a detected positive effect are therefore both conditional on assumption (2).</w:t>
      </w:r>
    </w:p>
    <w:p w14:paraId="5168BA17"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5.5. Robustness and heterogeneity</w:t>
      </w:r>
    </w:p>
    <w:p w14:paraId="39B7E7B6"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In the pre-specified rows R1 to R4, the effect on log MTB is −0.001 when not-yet-scored firms join the controls, as Callaway and Sant'Anna (2021) propose, 0.025 without the outcome-regression covariates of Sant'Anna and Zhao (2020), 0.031 without the 2020 and 2021 cohorts, and 0.016 when control firms below the size range of scored firms are dropped; none differs from zero at the 10% level, so the valuation result is unchanged. The size results are less stable. Under the size restriction, the market capitalization effect shrinks to −0.007 and the asset effect is 0.101, against 0.011 without covariates, so we do not read the asset estimate in Table 2 as evidence that coverage causes growth.</w:t>
      </w:r>
    </w:p>
    <w:p w14:paraId="5F410569"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two-way fixed effects regression of Eq. (11) in row R6 attributes increases of 0.064 in log MTB (p = 0.014) and 0.185 in log market capitalization to coverage, because it compares all post-coverage with all earlier years and so counts part of the run-up as a rating effect. Part of its gap to the baseline reflects the covariates and the event window, as the larger estimate without covariates in row R2 shows; the remainder illustrates the biases of static regressions under staggered timing described by Goodman-Bacon (2021) and Baker et al. (2022).</w:t>
      </w:r>
    </w:p>
    <w:p w14:paraId="5C79743F"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When row R9 and Table S1 of the Supplemental Appendix exclude one market at a time, the MTB effect ranges from −0.007 to 0.017 and is −0.003 without Malaysia (p = 0.940), whereas the market capitalization effect turns to 0.037, so its negative baseline estimate reflects the large Malaysian cohorts of 2021 and 2022. Estimated market by market in Table S3, the MTB effect is 0.009 in Malaysia, with 372 scored firms, and 0.027 in Thailand, with 157. Indonesia, the Philippines, and Singapore have few scored firms and imprecise estimates, including a small one for Singapore, where reporting became mandatory from financial year 2017 (Krueger et al., 2024; Singapore Exchange, 2016).</w:t>
      </w:r>
    </w:p>
    <w:p w14:paraId="3A6D6C54"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lastRenderedPageBreak/>
        <w:t>The last three rows of Table 3 split scored firms at the cohort median of their first ESG score. The MTB effect is −0.019 for high-score and 0.022 for low-score entrants. The difference of −0.041 (standard error 0.040, p = 0.307) is not significant, but with a minimum detectable value of 0.113 the test cannot exclude moderate differences. The preference channel (Pedersen et al., 2021) and the evidence on favorable first coverage (Demiroglu &amp; Ryngaert, 2010) predict such a difference; a weak signal, given that providers disagree (Berg, Kölbel, et al., 2022; Christensen et al., 2022), is one reason it may be absent. The split also uses initial scores that may have been revised since publication (Sahin et al., 2023).</w:t>
      </w:r>
    </w:p>
    <w:p w14:paraId="12E1AB62"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5.6. Economic magnitude</w:t>
      </w:r>
    </w:p>
    <w:p w14:paraId="76789269"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Under assumption (2), the largest increase compatible with the headline interval is of the same order as the announcement return of 4.86 percent that Demiroglu and Ryngaert (2010) report for the first analyst coverage of neglected stocks, and it exceeds the increase of more than 3 percent that Harris and Gurel (1986) report for additions to the S&amp;P 500, most of which reversed within about two weeks. Annual year-end ratios would miss such short-lived effects, so our estimates concern lasting revaluation of the kind a permanent rise in investor recognition would produce (Chen et al., 2004; Merton, 1987). Under the same assumption, a lasting effect half as large as the MTB run-up in Section 5.3 would lie at the upper end of the headline interval, so any such effect is small relative to the growth that precedes coverage.</w:t>
      </w:r>
    </w:p>
    <w:p w14:paraId="0A95AEBF"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t>6. Discussion</w:t>
      </w:r>
    </w:p>
    <w:p w14:paraId="2B5D9EBE"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6.1. Interpreting the post-coverage path</w:t>
      </w:r>
    </w:p>
    <w:p w14:paraId="419FB232"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flat post-coverage MTB path admits three readings, depending on the counterfactual pre-coverage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third reading deserves weight, because firms selected after relative growth likely carry transitory value, as the partial reversal of index-addition effects illustrates (Chen et al., 2004; Harris &amp; Gurel, 1986).</w:t>
      </w:r>
    </w:p>
    <w:p w14:paraId="2683F378"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 xml:space="preserve">Three results bear on reversal. First, dating coverage one year later yields an MTB decline after the first scored year, which a reversal would produce and a positive coverage effect could partly offset; the estimate cannot separate the two. Second, against never-scored firms with similar pre-coverage growth, the MTB effect is small and insignificant, but this comparison </w:t>
      </w:r>
      <w:r w:rsidRPr="00772DEF">
        <w:rPr>
          <w:rFonts w:cs="Times New Roman"/>
          <w:szCs w:val="24"/>
        </w:rPr>
        <w:lastRenderedPageBreak/>
        <w:t>conditions on a single growth measure, and its interval admits gains of several percent. Third, the bounds in Section 5.4 include zero for every M̄ we consider but also effects of several percent in both directions. The evidence therefore does not show that coverage has no effect: no heterogeneity-robust specification detects a valuation gain, and the bounds do not exclude one. The clearest result is the ordering of events: the first scored fiscal year follows relative growth and coincides with a valuation peak.</w:t>
      </w:r>
    </w:p>
    <w:p w14:paraId="2F200B20"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Market-level MTB effects agree: they are close to zero in Malaysia and Thailand, the two largest scored samples, and no market shows a significant positive effect. Because the coverage waves came in 2019 and 2020 in Thailand and Singapore but in 2021 and 2022 in Malaysia, a shock common to all five markets is a less likely explanation, although the waves may reflect market-specific disclosure rules (Krueger et al., 2024; Singapore Exchange, 2016) or unobserved index changes.</w:t>
      </w:r>
    </w:p>
    <w:p w14:paraId="7B579DDE"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6.2. Relation to prior evidence</w:t>
      </w:r>
    </w:p>
    <w:p w14:paraId="6B504648"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Sell-side evidence suggests why a first ESG score might move prices: losing coverage lowers prices (Kelly &amp; Ljungqvist, 2012), a favorable first report on a neglected stock raises them (Demiroglu &amp; Ryngaert, 2010), and Hartzmark and Sussman (2019) document a demand channel through fund flows. Two features may explain the absence of a gain. ESG scores rarely carry cash-flow news and arrive after the firm's own disclosures. Our firms were also large and visible before coverage (Table 1), and some may have had FTSE Russell scores, leaving less room for the recognition channel of Merton (1987); foreign-ownership limits in these markets could further mute recognition through foreign ESG investors. Without data on ownership, investor attention, foreign holdings, or these limits, we cannot test either explanation.</w:t>
      </w:r>
    </w:p>
    <w:p w14:paraId="01A522EF"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The results also fit the evidence on rating disagreement. If ESG funds follow one provider more than others (Berg, Heeb, et al., 2022), coverage by another provider may matter little for demand, and dispersion across providers (Berg, Kölbel, et al., 2022; Christensen et al., 2022) weakens the information in any single score. U.S. studies find that coverage changes firm conduct (Bikmetova &amp; Pirinsky, 2026; Tsang et al., 2024) and financial policy (Tsang et al., 2025); we find no stable change in leverage or assets and observe no measures of conduct.</w:t>
      </w:r>
    </w:p>
    <w:p w14:paraId="3739D828" w14:textId="77777777" w:rsidR="0056063A" w:rsidRPr="00772DEF" w:rsidRDefault="00000000" w:rsidP="00772DEF">
      <w:pPr>
        <w:keepNext/>
        <w:spacing w:before="120" w:after="120" w:line="300" w:lineRule="auto"/>
        <w:rPr>
          <w:rFonts w:cs="Times New Roman"/>
          <w:szCs w:val="24"/>
        </w:rPr>
      </w:pPr>
      <w:r w:rsidRPr="00772DEF">
        <w:rPr>
          <w:rFonts w:cs="Times New Roman"/>
          <w:b/>
          <w:szCs w:val="24"/>
        </w:rPr>
        <w:t>6.3. Implications</w:t>
      </w:r>
    </w:p>
    <w:p w14:paraId="41264C40"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 xml:space="preserve">The main implication is methodological. A cross-sectional valuation premium of rated firms, or a static two-way fixed effects estimate, can reflect selection into coverage rather than an effect </w:t>
      </w:r>
      <w:r w:rsidRPr="00772DEF">
        <w:rPr>
          <w:rFonts w:cs="Times New Roman"/>
          <w:szCs w:val="24"/>
        </w:rPr>
        <w:lastRenderedPageBreak/>
        <w:t>of ratings. Here the static regression attributes an MTB increase of 6.6 percent to coverage, whereas the heterogeneity-robust estimator and its event-time profile trace most of the gap to pre-coverage growth, with the covariates and event window accounting for the rest (Section 5.5; Callaway &amp; Sant'Anna, 2021; Roth, 2022). Studies comparing rated and unrated firms in these markets should model coverage timing and report pre-coverage dynamics.</w:t>
      </w:r>
    </w:p>
    <w:p w14:paraId="754810C2"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The evidence does not speak to short-lived price effects around publication, to unscored firms, or to outcomes other than valuation and financing. For investors and exchanges, scored firms are a selected group with a distinct valuation history. These data cannot show whether the ordering extends to other markets or providers.</w:t>
      </w:r>
    </w:p>
    <w:p w14:paraId="68B7D6B0"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t>7. Limitations</w:t>
      </w:r>
    </w:p>
    <w:p w14:paraId="6FB413A6"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 xml:space="preserve">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sustainability report dates, we cannot separate price changes from share issuance, test the recognition channel directly, or link first scores to index entry or first sustainability reports. Fifth, a few market capitalization values are implausibly large; pooled winsorization limits but does not correct them, an erroneous base-year value enters every group-time estimate of its cohort, and return on assets covers a minority of firm-years. Sixth, Malaysian and Thai firms make up 84.3 percent of scored firms and dominate the pooled estimates, and the firm-level bootstrap does not account for correlation within market-level coverage waves, so the intervals may be too narrow. Seventh, the minimum detectable effect on log MTB is 0.067, about 7.0 percent, so smaller effects would be detected with less than 80% probability; under parallel trends, the confidence interval </w:t>
      </w:r>
      <w:r w:rsidRPr="00772DEF">
        <w:rPr>
          <w:rFonts w:cs="Times New Roman"/>
          <w:szCs w:val="24"/>
        </w:rPr>
        <w:lastRenderedPageBreak/>
        <w:t>excludes only increases above 4.9 percent. Eighth, the unrecorded download date leaves the vintage of revisable recent scores uncertain, and we do not document the timing of disclosure rules outside Singapore.</w:t>
      </w:r>
    </w:p>
    <w:p w14:paraId="6A62AEDA"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t>8. Conclusion</w:t>
      </w:r>
    </w:p>
    <w:p w14:paraId="66DAE272" w14:textId="77777777" w:rsidR="0056063A" w:rsidRPr="00772DEF" w:rsidRDefault="00000000" w:rsidP="00772DEF">
      <w:pPr>
        <w:spacing w:after="120" w:line="300" w:lineRule="auto"/>
        <w:ind w:firstLine="432"/>
        <w:jc w:val="both"/>
        <w:rPr>
          <w:rFonts w:cs="Times New Roman"/>
          <w:szCs w:val="24"/>
        </w:rPr>
      </w:pPr>
      <w:r w:rsidRPr="00772DEF">
        <w:rPr>
          <w:rFonts w:cs="Times New Roman"/>
          <w:szCs w:val="24"/>
        </w:rPr>
        <w:t>Using the staggered first appearance of LSEG ESG scores for 675 non-financial firms in five Southeast Asian markets, we find that scored firms, mostly Malaysian and Thai, grew faster than comparable never-scored firms before their first scored year and, under parallel trends, did not gain in market-to-book ratio afterwards (headline effect 0.002; 95% interval −0.046 to 0.048). Dating coverage one year later gives −0.068, a decline that may reflect a reversal of the run-up. The first scored year thus coincides with a valuation peak, although departures from parallel trends like those before coverage would admit effects of several percent either way. Comparisons of rated and unrated firms that ignore coverage timing will attribute this selection to the rating.</w:t>
      </w:r>
    </w:p>
    <w:p w14:paraId="762E15EA" w14:textId="77777777" w:rsidR="0056063A" w:rsidRPr="00772DEF" w:rsidRDefault="00000000" w:rsidP="00772DEF">
      <w:pPr>
        <w:keepNext/>
        <w:spacing w:before="240" w:after="120" w:line="300" w:lineRule="auto"/>
        <w:rPr>
          <w:rFonts w:cs="Times New Roman"/>
          <w:szCs w:val="24"/>
        </w:rPr>
      </w:pPr>
      <w:r w:rsidRPr="00772DEF">
        <w:rPr>
          <w:rFonts w:cs="Times New Roman"/>
          <w:b/>
          <w:szCs w:val="24"/>
        </w:rPr>
        <w:t>References</w:t>
      </w:r>
    </w:p>
    <w:p w14:paraId="610B9E6D"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Avramov, D., Cheng, S., Lioui, A., &amp; Tarelli, A. (2022). Sustainable investing with ESG rating uncertainty. Journal of Financial Economics, 145(2), 642–664. https://doi.org/10.1016/j.jfineco.2021.09.009</w:t>
      </w:r>
    </w:p>
    <w:p w14:paraId="15C9B582"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Baker, A. C., Larcker, D. F., &amp; Wang, C. C. Y. (2022). How much should we trust staggered difference-in-differences estimates? Journal of Financial Economics, 144(2), 370–395. https://doi.org/10.1016/j.jfineco.2022.01.004</w:t>
      </w:r>
    </w:p>
    <w:p w14:paraId="76450401"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Berg, F., Fabisik, K., &amp; Sautner, Z. (2020). Is history repeating itself? The (un)predictable past of ESG ratings (Finance Working Paper No. 708/2020). European Corporate Governance Institute. https://ssrn.com/abstract=3722087</w:t>
      </w:r>
    </w:p>
    <w:p w14:paraId="50B79B04"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Berg, F., Heeb, F., &amp; Kölbel, J. F. (2022). The economic impact of ESG ratings (SAFE Working Paper No. 439). Leibniz Institute for Financial Research SAFE. https://ssrn.com/abstract=4088545</w:t>
      </w:r>
    </w:p>
    <w:p w14:paraId="2EC2BDA6"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Berg, F., Kölbel, J. F., &amp; Rigobon, R. (2022). Aggregate confusion: The divergence of ESG ratings. Review of Finance, 26(6), 1315–1344. https://doi.org/10.1093/rof/rfac033</w:t>
      </w:r>
    </w:p>
    <w:p w14:paraId="7FF250EF"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Bernama. (2022, November 2). Bursa Malaysia signs sustainability MoU with London Stock Exchange Group. https://www.bernama.com/en/news.php?id=2134522</w:t>
      </w:r>
    </w:p>
    <w:p w14:paraId="0E17D38B"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Bikmetova, N., &amp; Pirinsky, C. A. (2026). Do ESG rating agencies improve ESG performance? Journal of Business Ethics, 204(2), 335–365. https://doi.org/10.1007/s10551-025-06063-0</w:t>
      </w:r>
    </w:p>
    <w:p w14:paraId="431B3292"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Callaway, B., &amp; Sant'Anna, P. H. C. (2021). Difference-in-differences with multiple time periods. Journal of Econometrics, 225(2), 200–230. https://doi.org/10.1016/j.jeconom.2020.12.001</w:t>
      </w:r>
    </w:p>
    <w:p w14:paraId="056FD1ED"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Chen, H., Noronha, G., &amp; Singal, V. (2004). The price response to S&amp;P 500 index additions and deletions: Evidence of asymmetry and a new explanation. The Journal of Finance, 59(4), 1901–1929. https://doi.org/10.1111/j.1540-6261.2004.00683.x</w:t>
      </w:r>
    </w:p>
    <w:p w14:paraId="2DD51E22"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lastRenderedPageBreak/>
        <w:t>Christensen, D. M., Serafeim, G., &amp; Sikochi, A. (2022). Why is corporate virtue in the eye of the beholder? The case of ESG ratings. The Accounting Review, 97(1), 147–175. https://doi.org/10.2308/TAR-2019-0506</w:t>
      </w:r>
    </w:p>
    <w:p w14:paraId="63F1B832"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Demiroglu, C., &amp; Ryngaert, M. D. (2010). The first analyst coverage of neglected stocks. Financial Management, 39(2), 555–584. https://doi.org/10.1111/j.1755-053X.2010.01084.x</w:t>
      </w:r>
    </w:p>
    <w:p w14:paraId="4B3438B2"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Dobrick, J., Klein, C., &amp; Zwergel, B. (2023). Size bias in Refinitiv ESG data. Finance Research Letters, 55, Article 104014. https://doi.org/10.1016/j.frl.2023.104014</w:t>
      </w:r>
    </w:p>
    <w:p w14:paraId="2D6FD909"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Gibson Brandon, R., Krueger, P., &amp; Schmidt, P. S. (2021). ESG rating disagreement and stock returns. Financial Analysts Journal, 77(4), 104–127. https://doi.org/10.1080/0015198X.2021.1963186</w:t>
      </w:r>
    </w:p>
    <w:p w14:paraId="36E5F5FA"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Goodman-Bacon, A. (2021). Difference-in-differences with variation in treatment timing. Journal of Econometrics, 225(2), 254–277. https://doi.org/10.1016/j.jeconom.2021.03.014</w:t>
      </w:r>
    </w:p>
    <w:p w14:paraId="2F1A4B24"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Harris, L., &amp; Gurel, E. (1986). Price and volume effects associated with changes in the S&amp;P 500 list: New evidence for the existence of price pressures. The Journal of Finance, 41(4), 815–829. https://doi.org/10.1111/j.1540-6261.1986.tb04550.x</w:t>
      </w:r>
    </w:p>
    <w:p w14:paraId="1EC17D52"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Hartzmark, S. M., &amp; Sussman, A. B. (2019). Do investors value sustainability? A natural experiment examining ranking and fund flows. The Journal of Finance, 74(6), 2789–2837. https://doi.org/10.1111/jofi.12841</w:t>
      </w:r>
    </w:p>
    <w:p w14:paraId="7FF17313"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Kelly, B., &amp; Ljungqvist, A. (2012). Testing asymmetric-information asset pricing models. The Review of Financial Studies, 25(5), 1366–1413. https://doi.org/10.1093/rfs/hhr134</w:t>
      </w:r>
    </w:p>
    <w:p w14:paraId="6CD89A42"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Krueger, P., Sautner, Z., Tang, D. Y., &amp; Zhong, R. (2024). The effects of mandatory ESG disclosure around the world. Journal of Accounting Research, 62(5), 1795–1847. https://doi.org/10.1111/1475-679X.12548</w:t>
      </w:r>
    </w:p>
    <w:p w14:paraId="4CA2C7A4"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LSEG. (2025). LSEG ESG scores (ESG score field), annual, 2014–2024 [Data set]. LSEG Workspace.</w:t>
      </w:r>
    </w:p>
    <w:p w14:paraId="1BD1CD8D"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Merton, R. C. (1987). A simple model of capital market equilibrium with incomplete information. The Journal of Finance, 42(3), 483–510. https://doi.org/10.1111/j.1540-6261.1987.tb04565.x</w:t>
      </w:r>
    </w:p>
    <w:p w14:paraId="5AC74E12"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Pástor, Ľ., Stambaugh, R. F., &amp; Taylor, L. A. (2021). Sustainable investing in equilibrium. Journal of Financial Economics, 142(2), 550–571. https://doi.org/10.1016/j.jfineco.2020.12.011</w:t>
      </w:r>
    </w:p>
    <w:p w14:paraId="2B0AFD0E"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Pedersen, L. H., Fitzgibbons, S., &amp; Pomorski, L. (2021). Responsible investing: The ESG-efficient frontier. Journal of Financial Economics, 142(2), 572–597. https://doi.org/10.1016/j.jfineco.2020.11.001</w:t>
      </w:r>
    </w:p>
    <w:p w14:paraId="5F9AC6DE"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Rambachan, A., &amp; Roth, J. (2023). A more credible approach to parallel trends. The Review of Economic Studies, 90(5), 2555–2591. https://doi.org/10.1093/restud/rdad018</w:t>
      </w:r>
    </w:p>
    <w:p w14:paraId="4FCC291C"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Roth, J. (2022). Pretest with caution: Event-study estimates after testing for parallel trends. American Economic Review: Insights, 4(3), 305–322. https://doi.org/10.1257/aeri.20210236</w:t>
      </w:r>
    </w:p>
    <w:p w14:paraId="6651F7AD"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Sahin, Ö., Bax, K., Paterlini, S., &amp; Czado, C. (2023). The pitfalls of (non-definitive) environmental, social, and governance scoring methodology. Global Finance Journal, 56, Article 100780. https://doi.org/10.1016/j.gfj.2022.100780</w:t>
      </w:r>
    </w:p>
    <w:p w14:paraId="7197A640"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Sant'Anna, P. H. C., &amp; Zhao, J. (2020). Doubly robust difference-in-differences estimators. Journal of Econometrics, 219(1), 101–122. https://doi.org/10.1016/j.jeconom.2020.06.003</w:t>
      </w:r>
    </w:p>
    <w:p w14:paraId="61D1CF7F"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Shleifer, A. (1986). Do demand curves for stocks slope down? The Journal of Finance, 41(3), 579–590. https://doi.org/10.1111/j.1540-6261.1986.tb04518.x</w:t>
      </w:r>
    </w:p>
    <w:p w14:paraId="49122AB4"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Singapore Exchange. (2016). SGX Mainboard Rules 711A and 711B: Sustainability report [Listing rules]. SGX Rulebook. https://rulebook.sgx.com/rulebook/711a</w:t>
      </w:r>
    </w:p>
    <w:p w14:paraId="58FD26FD"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S&amp;P Global Market Intelligence. (2025). Compustat Global, annual fundamentals, 2014–2024 [Data set].</w:t>
      </w:r>
    </w:p>
    <w:p w14:paraId="02CD8B76" w14:textId="77777777" w:rsidR="0056063A" w:rsidRPr="00776197" w:rsidRDefault="00000000" w:rsidP="00776197">
      <w:pPr>
        <w:spacing w:after="80" w:line="240" w:lineRule="auto"/>
        <w:ind w:left="432" w:hanging="432"/>
        <w:jc w:val="both"/>
        <w:rPr>
          <w:rFonts w:cs="Times New Roman"/>
          <w:sz w:val="20"/>
          <w:szCs w:val="20"/>
        </w:rPr>
      </w:pPr>
      <w:r w:rsidRPr="00776197">
        <w:rPr>
          <w:rFonts w:cs="Times New Roman"/>
          <w:sz w:val="20"/>
          <w:szCs w:val="20"/>
        </w:rPr>
        <w:t>Tsang, A., Wang, Y., Xiang, Y., &amp; Yu, L. (2024). The rise of ESG rating agencies and management of corporate ESG violations. Journal of Banking &amp; Finance, 169, Article 107312. https://doi.org/10.1016/j.jbankfin.2024.107312</w:t>
      </w:r>
    </w:p>
    <w:p w14:paraId="226BCF4A" w14:textId="77777777" w:rsidR="0056063A" w:rsidRPr="00776197" w:rsidRDefault="00000000" w:rsidP="00776197">
      <w:pPr>
        <w:spacing w:after="80" w:line="240" w:lineRule="auto"/>
        <w:ind w:left="432" w:hanging="432"/>
        <w:jc w:val="both"/>
        <w:rPr>
          <w:rFonts w:cs="Times New Roman"/>
          <w:sz w:val="20"/>
          <w:szCs w:val="20"/>
          <w:lang w:val="vi-VN"/>
        </w:rPr>
      </w:pPr>
      <w:r w:rsidRPr="00776197">
        <w:rPr>
          <w:rFonts w:cs="Times New Roman"/>
          <w:sz w:val="20"/>
          <w:szCs w:val="20"/>
        </w:rPr>
        <w:lastRenderedPageBreak/>
        <w:t>Tsang, A., Wang, Y., Xiang, Y., &amp; Yu, L. (2025). ESG ratings and dividend changes: Evidence from the initiation of nonfinancial agency coverage. Corporate Governance: An International Review, 33, 554–577. https://doi.org/10.1111/corg.12615</w:t>
      </w:r>
    </w:p>
    <w:p w14:paraId="1CFBFDD0" w14:textId="77777777" w:rsidR="0056063A" w:rsidRPr="00772DEF" w:rsidRDefault="00000000" w:rsidP="00772DEF">
      <w:pPr>
        <w:spacing w:line="300" w:lineRule="auto"/>
        <w:rPr>
          <w:rFonts w:cs="Times New Roman"/>
          <w:szCs w:val="24"/>
        </w:rPr>
      </w:pPr>
      <w:r w:rsidRPr="00772DEF">
        <w:rPr>
          <w:rFonts w:cs="Times New Roman"/>
          <w:szCs w:val="24"/>
        </w:rPr>
        <w:br w:type="page"/>
      </w:r>
    </w:p>
    <w:p w14:paraId="0A44DA53" w14:textId="77777777" w:rsidR="0056063A" w:rsidRPr="00772DEF" w:rsidRDefault="00000000" w:rsidP="00772DEF">
      <w:pPr>
        <w:spacing w:after="120" w:line="300" w:lineRule="auto"/>
        <w:rPr>
          <w:rFonts w:cs="Times New Roman"/>
          <w:szCs w:val="24"/>
        </w:rPr>
      </w:pPr>
      <w:r w:rsidRPr="00772DEF">
        <w:rPr>
          <w:rFonts w:cs="Times New Roman"/>
          <w:b/>
          <w:szCs w:val="24"/>
        </w:rPr>
        <w:lastRenderedPageBreak/>
        <w:t>Table 1</w:t>
      </w:r>
      <w:r w:rsidRPr="00772DEF">
        <w:rPr>
          <w:rFonts w:cs="Times New Roman"/>
          <w:szCs w:val="24"/>
        </w:rPr>
        <w:t xml:space="preserve"> Characteristics of scored firms in the year before their first LSEG ESG score and of never-scored firm-years</w:t>
      </w:r>
    </w:p>
    <w:tbl>
      <w:tblPr>
        <w:tblW w:w="0" w:type="auto"/>
        <w:jc w:val="center"/>
        <w:tblLayout w:type="fixed"/>
        <w:tblCellMar>
          <w:top w:w="40" w:type="dxa"/>
          <w:left w:w="85" w:type="dxa"/>
          <w:bottom w:w="40" w:type="dxa"/>
          <w:right w:w="85" w:type="dxa"/>
        </w:tblCellMar>
        <w:tblLook w:val="04A0" w:firstRow="1" w:lastRow="0" w:firstColumn="1" w:lastColumn="0" w:noHBand="0" w:noVBand="1"/>
      </w:tblPr>
      <w:tblGrid>
        <w:gridCol w:w="2448"/>
        <w:gridCol w:w="936"/>
        <w:gridCol w:w="936"/>
        <w:gridCol w:w="792"/>
        <w:gridCol w:w="1008"/>
        <w:gridCol w:w="1008"/>
        <w:gridCol w:w="936"/>
        <w:gridCol w:w="1152"/>
      </w:tblGrid>
      <w:tr w:rsidR="0056063A" w:rsidRPr="00772DEF" w14:paraId="0FE6D590" w14:textId="77777777">
        <w:trPr>
          <w:jc w:val="center"/>
        </w:trPr>
        <w:tc>
          <w:tcPr>
            <w:tcW w:w="2448" w:type="dxa"/>
            <w:tcBorders>
              <w:top w:val="single" w:sz="6" w:space="0" w:color="000000"/>
              <w:bottom w:val="single" w:sz="6" w:space="0" w:color="000000"/>
            </w:tcBorders>
          </w:tcPr>
          <w:p w14:paraId="0E7859C1" w14:textId="77777777" w:rsidR="0056063A" w:rsidRPr="00772DEF" w:rsidRDefault="00000000" w:rsidP="00772DEF">
            <w:pPr>
              <w:spacing w:after="0" w:line="300" w:lineRule="auto"/>
              <w:rPr>
                <w:rFonts w:cs="Times New Roman"/>
                <w:szCs w:val="24"/>
              </w:rPr>
            </w:pPr>
            <w:r w:rsidRPr="00772DEF">
              <w:rPr>
                <w:rFonts w:cs="Times New Roman"/>
                <w:b/>
                <w:szCs w:val="24"/>
              </w:rPr>
              <w:t>Variable</w:t>
            </w:r>
          </w:p>
        </w:tc>
        <w:tc>
          <w:tcPr>
            <w:tcW w:w="936" w:type="dxa"/>
            <w:tcBorders>
              <w:top w:val="single" w:sz="6" w:space="0" w:color="000000"/>
              <w:bottom w:val="single" w:sz="6" w:space="0" w:color="000000"/>
            </w:tcBorders>
          </w:tcPr>
          <w:p w14:paraId="3A17EC0C" w14:textId="77777777" w:rsidR="0056063A" w:rsidRPr="00772DEF" w:rsidRDefault="00000000" w:rsidP="00772DEF">
            <w:pPr>
              <w:spacing w:after="0" w:line="300" w:lineRule="auto"/>
              <w:jc w:val="center"/>
              <w:rPr>
                <w:rFonts w:cs="Times New Roman"/>
                <w:szCs w:val="24"/>
              </w:rPr>
            </w:pPr>
            <w:r w:rsidRPr="00772DEF">
              <w:rPr>
                <w:rFonts w:cs="Times New Roman"/>
                <w:b/>
                <w:szCs w:val="24"/>
              </w:rPr>
              <w:t>Scored mean</w:t>
            </w:r>
          </w:p>
        </w:tc>
        <w:tc>
          <w:tcPr>
            <w:tcW w:w="936" w:type="dxa"/>
            <w:tcBorders>
              <w:top w:val="single" w:sz="6" w:space="0" w:color="000000"/>
              <w:bottom w:val="single" w:sz="6" w:space="0" w:color="000000"/>
            </w:tcBorders>
          </w:tcPr>
          <w:p w14:paraId="42C76545" w14:textId="77777777" w:rsidR="0056063A" w:rsidRPr="00772DEF" w:rsidRDefault="00000000" w:rsidP="00772DEF">
            <w:pPr>
              <w:spacing w:after="0" w:line="300" w:lineRule="auto"/>
              <w:jc w:val="center"/>
              <w:rPr>
                <w:rFonts w:cs="Times New Roman"/>
                <w:szCs w:val="24"/>
              </w:rPr>
            </w:pPr>
            <w:r w:rsidRPr="00772DEF">
              <w:rPr>
                <w:rFonts w:cs="Times New Roman"/>
                <w:b/>
                <w:szCs w:val="24"/>
              </w:rPr>
              <w:t>Scored median</w:t>
            </w:r>
          </w:p>
        </w:tc>
        <w:tc>
          <w:tcPr>
            <w:tcW w:w="792" w:type="dxa"/>
            <w:tcBorders>
              <w:top w:val="single" w:sz="6" w:space="0" w:color="000000"/>
              <w:bottom w:val="single" w:sz="6" w:space="0" w:color="000000"/>
            </w:tcBorders>
          </w:tcPr>
          <w:p w14:paraId="7684EAE5" w14:textId="77777777" w:rsidR="0056063A" w:rsidRPr="00772DEF" w:rsidRDefault="00000000" w:rsidP="00772DEF">
            <w:pPr>
              <w:spacing w:after="0" w:line="300" w:lineRule="auto"/>
              <w:jc w:val="center"/>
              <w:rPr>
                <w:rFonts w:cs="Times New Roman"/>
                <w:szCs w:val="24"/>
              </w:rPr>
            </w:pPr>
            <w:r w:rsidRPr="00772DEF">
              <w:rPr>
                <w:rFonts w:cs="Times New Roman"/>
                <w:b/>
                <w:szCs w:val="24"/>
              </w:rPr>
              <w:t>Scored N</w:t>
            </w:r>
          </w:p>
        </w:tc>
        <w:tc>
          <w:tcPr>
            <w:tcW w:w="1008" w:type="dxa"/>
            <w:tcBorders>
              <w:top w:val="single" w:sz="6" w:space="0" w:color="000000"/>
              <w:bottom w:val="single" w:sz="6" w:space="0" w:color="000000"/>
            </w:tcBorders>
          </w:tcPr>
          <w:p w14:paraId="6434436F" w14:textId="77777777" w:rsidR="0056063A" w:rsidRPr="00772DEF" w:rsidRDefault="00000000" w:rsidP="00772DEF">
            <w:pPr>
              <w:spacing w:after="0" w:line="300" w:lineRule="auto"/>
              <w:jc w:val="center"/>
              <w:rPr>
                <w:rFonts w:cs="Times New Roman"/>
                <w:szCs w:val="24"/>
              </w:rPr>
            </w:pPr>
            <w:r w:rsidRPr="00772DEF">
              <w:rPr>
                <w:rFonts w:cs="Times New Roman"/>
                <w:b/>
                <w:szCs w:val="24"/>
              </w:rPr>
              <w:t>Never-scored mean</w:t>
            </w:r>
          </w:p>
        </w:tc>
        <w:tc>
          <w:tcPr>
            <w:tcW w:w="1008" w:type="dxa"/>
            <w:tcBorders>
              <w:top w:val="single" w:sz="6" w:space="0" w:color="000000"/>
              <w:bottom w:val="single" w:sz="6" w:space="0" w:color="000000"/>
            </w:tcBorders>
          </w:tcPr>
          <w:p w14:paraId="440BD6E9" w14:textId="77777777" w:rsidR="0056063A" w:rsidRPr="00772DEF" w:rsidRDefault="00000000" w:rsidP="00772DEF">
            <w:pPr>
              <w:spacing w:after="0" w:line="300" w:lineRule="auto"/>
              <w:jc w:val="center"/>
              <w:rPr>
                <w:rFonts w:cs="Times New Roman"/>
                <w:szCs w:val="24"/>
              </w:rPr>
            </w:pPr>
            <w:r w:rsidRPr="00772DEF">
              <w:rPr>
                <w:rFonts w:cs="Times New Roman"/>
                <w:b/>
                <w:szCs w:val="24"/>
              </w:rPr>
              <w:t>Never-scored median</w:t>
            </w:r>
          </w:p>
        </w:tc>
        <w:tc>
          <w:tcPr>
            <w:tcW w:w="936" w:type="dxa"/>
            <w:tcBorders>
              <w:top w:val="single" w:sz="6" w:space="0" w:color="000000"/>
              <w:bottom w:val="single" w:sz="6" w:space="0" w:color="000000"/>
            </w:tcBorders>
          </w:tcPr>
          <w:p w14:paraId="15407D77" w14:textId="77777777" w:rsidR="0056063A" w:rsidRPr="00772DEF" w:rsidRDefault="00000000" w:rsidP="00772DEF">
            <w:pPr>
              <w:spacing w:after="0" w:line="300" w:lineRule="auto"/>
              <w:jc w:val="center"/>
              <w:rPr>
                <w:rFonts w:cs="Times New Roman"/>
                <w:szCs w:val="24"/>
              </w:rPr>
            </w:pPr>
            <w:r w:rsidRPr="00772DEF">
              <w:rPr>
                <w:rFonts w:cs="Times New Roman"/>
                <w:b/>
                <w:szCs w:val="24"/>
              </w:rPr>
              <w:t>Never-scored N</w:t>
            </w:r>
          </w:p>
        </w:tc>
        <w:tc>
          <w:tcPr>
            <w:tcW w:w="1152" w:type="dxa"/>
            <w:tcBorders>
              <w:top w:val="single" w:sz="6" w:space="0" w:color="000000"/>
              <w:bottom w:val="single" w:sz="6" w:space="0" w:color="000000"/>
            </w:tcBorders>
          </w:tcPr>
          <w:p w14:paraId="661A0962" w14:textId="77777777" w:rsidR="0056063A" w:rsidRPr="00772DEF" w:rsidRDefault="00000000" w:rsidP="00772DEF">
            <w:pPr>
              <w:spacing w:after="0" w:line="300" w:lineRule="auto"/>
              <w:jc w:val="center"/>
              <w:rPr>
                <w:rFonts w:cs="Times New Roman"/>
                <w:szCs w:val="24"/>
              </w:rPr>
            </w:pPr>
            <w:r w:rsidRPr="00772DEF">
              <w:rPr>
                <w:rFonts w:cs="Times New Roman"/>
                <w:b/>
                <w:szCs w:val="24"/>
              </w:rPr>
              <w:t>Norm. diff.</w:t>
            </w:r>
          </w:p>
        </w:tc>
      </w:tr>
      <w:tr w:rsidR="0056063A" w:rsidRPr="00772DEF" w14:paraId="27901B04" w14:textId="77777777">
        <w:trPr>
          <w:jc w:val="center"/>
        </w:trPr>
        <w:tc>
          <w:tcPr>
            <w:tcW w:w="2448" w:type="dxa"/>
          </w:tcPr>
          <w:p w14:paraId="259BAA70" w14:textId="77777777" w:rsidR="0056063A" w:rsidRPr="00772DEF" w:rsidRDefault="00000000" w:rsidP="00772DEF">
            <w:pPr>
              <w:spacing w:after="0" w:line="300" w:lineRule="auto"/>
              <w:rPr>
                <w:rFonts w:cs="Times New Roman"/>
                <w:szCs w:val="24"/>
              </w:rPr>
            </w:pPr>
            <w:r w:rsidRPr="00772DEF">
              <w:rPr>
                <w:rFonts w:cs="Times New Roman"/>
                <w:szCs w:val="24"/>
              </w:rPr>
              <w:t>Market-to-book ratio</w:t>
            </w:r>
          </w:p>
        </w:tc>
        <w:tc>
          <w:tcPr>
            <w:tcW w:w="936" w:type="dxa"/>
          </w:tcPr>
          <w:p w14:paraId="5FE65C35" w14:textId="77777777" w:rsidR="0056063A" w:rsidRPr="00772DEF" w:rsidRDefault="00000000" w:rsidP="00772DEF">
            <w:pPr>
              <w:spacing w:after="0" w:line="300" w:lineRule="auto"/>
              <w:jc w:val="center"/>
              <w:rPr>
                <w:rFonts w:cs="Times New Roman"/>
                <w:szCs w:val="24"/>
              </w:rPr>
            </w:pPr>
            <w:r w:rsidRPr="00772DEF">
              <w:rPr>
                <w:rFonts w:cs="Times New Roman"/>
                <w:szCs w:val="24"/>
              </w:rPr>
              <w:t>2.37</w:t>
            </w:r>
          </w:p>
        </w:tc>
        <w:tc>
          <w:tcPr>
            <w:tcW w:w="936" w:type="dxa"/>
          </w:tcPr>
          <w:p w14:paraId="236C4F12" w14:textId="77777777" w:rsidR="0056063A" w:rsidRPr="00772DEF" w:rsidRDefault="00000000" w:rsidP="00772DEF">
            <w:pPr>
              <w:spacing w:after="0" w:line="300" w:lineRule="auto"/>
              <w:jc w:val="center"/>
              <w:rPr>
                <w:rFonts w:cs="Times New Roman"/>
                <w:szCs w:val="24"/>
              </w:rPr>
            </w:pPr>
            <w:r w:rsidRPr="00772DEF">
              <w:rPr>
                <w:rFonts w:cs="Times New Roman"/>
                <w:szCs w:val="24"/>
              </w:rPr>
              <w:t>1.26</w:t>
            </w:r>
          </w:p>
        </w:tc>
        <w:tc>
          <w:tcPr>
            <w:tcW w:w="792" w:type="dxa"/>
          </w:tcPr>
          <w:p w14:paraId="0D223C02" w14:textId="77777777" w:rsidR="0056063A" w:rsidRPr="00772DEF" w:rsidRDefault="00000000" w:rsidP="00772DEF">
            <w:pPr>
              <w:spacing w:after="0" w:line="300" w:lineRule="auto"/>
              <w:jc w:val="center"/>
              <w:rPr>
                <w:rFonts w:cs="Times New Roman"/>
                <w:szCs w:val="24"/>
              </w:rPr>
            </w:pPr>
            <w:r w:rsidRPr="00772DEF">
              <w:rPr>
                <w:rFonts w:cs="Times New Roman"/>
                <w:szCs w:val="24"/>
              </w:rPr>
              <w:t>629</w:t>
            </w:r>
          </w:p>
        </w:tc>
        <w:tc>
          <w:tcPr>
            <w:tcW w:w="1008" w:type="dxa"/>
          </w:tcPr>
          <w:p w14:paraId="7564E3BA" w14:textId="77777777" w:rsidR="0056063A" w:rsidRPr="00772DEF" w:rsidRDefault="00000000" w:rsidP="00772DEF">
            <w:pPr>
              <w:spacing w:after="0" w:line="300" w:lineRule="auto"/>
              <w:jc w:val="center"/>
              <w:rPr>
                <w:rFonts w:cs="Times New Roman"/>
                <w:szCs w:val="24"/>
              </w:rPr>
            </w:pPr>
            <w:r w:rsidRPr="00772DEF">
              <w:rPr>
                <w:rFonts w:cs="Times New Roman"/>
                <w:szCs w:val="24"/>
              </w:rPr>
              <w:t>1.84</w:t>
            </w:r>
          </w:p>
        </w:tc>
        <w:tc>
          <w:tcPr>
            <w:tcW w:w="1008" w:type="dxa"/>
          </w:tcPr>
          <w:p w14:paraId="3A814FF4" w14:textId="77777777" w:rsidR="0056063A" w:rsidRPr="00772DEF" w:rsidRDefault="00000000" w:rsidP="00772DEF">
            <w:pPr>
              <w:spacing w:after="0" w:line="300" w:lineRule="auto"/>
              <w:jc w:val="center"/>
              <w:rPr>
                <w:rFonts w:cs="Times New Roman"/>
                <w:szCs w:val="24"/>
              </w:rPr>
            </w:pPr>
            <w:r w:rsidRPr="00772DEF">
              <w:rPr>
                <w:rFonts w:cs="Times New Roman"/>
                <w:szCs w:val="24"/>
              </w:rPr>
              <w:t>0.95</w:t>
            </w:r>
          </w:p>
        </w:tc>
        <w:tc>
          <w:tcPr>
            <w:tcW w:w="936" w:type="dxa"/>
          </w:tcPr>
          <w:p w14:paraId="0DE52760" w14:textId="77777777" w:rsidR="0056063A" w:rsidRPr="00772DEF" w:rsidRDefault="00000000" w:rsidP="00772DEF">
            <w:pPr>
              <w:spacing w:after="0" w:line="300" w:lineRule="auto"/>
              <w:jc w:val="center"/>
              <w:rPr>
                <w:rFonts w:cs="Times New Roman"/>
                <w:szCs w:val="24"/>
              </w:rPr>
            </w:pPr>
            <w:r w:rsidRPr="00772DEF">
              <w:rPr>
                <w:rFonts w:cs="Times New Roman"/>
                <w:szCs w:val="24"/>
              </w:rPr>
              <w:t>20,706</w:t>
            </w:r>
          </w:p>
        </w:tc>
        <w:tc>
          <w:tcPr>
            <w:tcW w:w="1152" w:type="dxa"/>
          </w:tcPr>
          <w:p w14:paraId="2B243849" w14:textId="77777777" w:rsidR="0056063A" w:rsidRPr="00772DEF" w:rsidRDefault="00000000" w:rsidP="00772DEF">
            <w:pPr>
              <w:spacing w:after="0" w:line="300" w:lineRule="auto"/>
              <w:jc w:val="center"/>
              <w:rPr>
                <w:rFonts w:cs="Times New Roman"/>
                <w:szCs w:val="24"/>
              </w:rPr>
            </w:pPr>
            <w:r w:rsidRPr="00772DEF">
              <w:rPr>
                <w:rFonts w:cs="Times New Roman"/>
                <w:szCs w:val="24"/>
              </w:rPr>
              <w:t>0.17</w:t>
            </w:r>
          </w:p>
        </w:tc>
      </w:tr>
      <w:tr w:rsidR="0056063A" w:rsidRPr="00772DEF" w14:paraId="14B57503" w14:textId="77777777">
        <w:trPr>
          <w:jc w:val="center"/>
        </w:trPr>
        <w:tc>
          <w:tcPr>
            <w:tcW w:w="2448" w:type="dxa"/>
          </w:tcPr>
          <w:p w14:paraId="5E6941C4" w14:textId="77777777" w:rsidR="0056063A" w:rsidRPr="00772DEF" w:rsidRDefault="00000000" w:rsidP="00772DEF">
            <w:pPr>
              <w:spacing w:after="0" w:line="300" w:lineRule="auto"/>
              <w:rPr>
                <w:rFonts w:cs="Times New Roman"/>
                <w:szCs w:val="24"/>
              </w:rPr>
            </w:pPr>
            <w:r w:rsidRPr="00772DEF">
              <w:rPr>
                <w:rFonts w:cs="Times New Roman"/>
                <w:szCs w:val="24"/>
              </w:rPr>
              <w:t>Market capitalization (USD million)</w:t>
            </w:r>
          </w:p>
        </w:tc>
        <w:tc>
          <w:tcPr>
            <w:tcW w:w="936" w:type="dxa"/>
          </w:tcPr>
          <w:p w14:paraId="070CE9D4" w14:textId="77777777" w:rsidR="0056063A" w:rsidRPr="00772DEF" w:rsidRDefault="00000000" w:rsidP="00772DEF">
            <w:pPr>
              <w:spacing w:after="0" w:line="300" w:lineRule="auto"/>
              <w:jc w:val="center"/>
              <w:rPr>
                <w:rFonts w:cs="Times New Roman"/>
                <w:szCs w:val="24"/>
              </w:rPr>
            </w:pPr>
            <w:r w:rsidRPr="00772DEF">
              <w:rPr>
                <w:rFonts w:cs="Times New Roman"/>
                <w:szCs w:val="24"/>
              </w:rPr>
              <w:t>762.5</w:t>
            </w:r>
          </w:p>
        </w:tc>
        <w:tc>
          <w:tcPr>
            <w:tcW w:w="936" w:type="dxa"/>
          </w:tcPr>
          <w:p w14:paraId="15731387" w14:textId="77777777" w:rsidR="0056063A" w:rsidRPr="00772DEF" w:rsidRDefault="00000000" w:rsidP="00772DEF">
            <w:pPr>
              <w:spacing w:after="0" w:line="300" w:lineRule="auto"/>
              <w:jc w:val="center"/>
              <w:rPr>
                <w:rFonts w:cs="Times New Roman"/>
                <w:szCs w:val="24"/>
              </w:rPr>
            </w:pPr>
            <w:r w:rsidRPr="00772DEF">
              <w:rPr>
                <w:rFonts w:cs="Times New Roman"/>
                <w:szCs w:val="24"/>
              </w:rPr>
              <w:t>203.2</w:t>
            </w:r>
          </w:p>
        </w:tc>
        <w:tc>
          <w:tcPr>
            <w:tcW w:w="792" w:type="dxa"/>
          </w:tcPr>
          <w:p w14:paraId="7AC0EDA4" w14:textId="77777777" w:rsidR="0056063A" w:rsidRPr="00772DEF" w:rsidRDefault="00000000" w:rsidP="00772DEF">
            <w:pPr>
              <w:spacing w:after="0" w:line="300" w:lineRule="auto"/>
              <w:jc w:val="center"/>
              <w:rPr>
                <w:rFonts w:cs="Times New Roman"/>
                <w:szCs w:val="24"/>
              </w:rPr>
            </w:pPr>
            <w:r w:rsidRPr="00772DEF">
              <w:rPr>
                <w:rFonts w:cs="Times New Roman"/>
                <w:szCs w:val="24"/>
              </w:rPr>
              <w:t>655</w:t>
            </w:r>
          </w:p>
        </w:tc>
        <w:tc>
          <w:tcPr>
            <w:tcW w:w="1008" w:type="dxa"/>
          </w:tcPr>
          <w:p w14:paraId="5669B758" w14:textId="77777777" w:rsidR="0056063A" w:rsidRPr="00772DEF" w:rsidRDefault="00000000" w:rsidP="00772DEF">
            <w:pPr>
              <w:spacing w:after="0" w:line="300" w:lineRule="auto"/>
              <w:jc w:val="center"/>
              <w:rPr>
                <w:rFonts w:cs="Times New Roman"/>
                <w:szCs w:val="24"/>
              </w:rPr>
            </w:pPr>
            <w:r w:rsidRPr="00772DEF">
              <w:rPr>
                <w:rFonts w:cs="Times New Roman"/>
                <w:szCs w:val="24"/>
              </w:rPr>
              <w:t>157.3</w:t>
            </w:r>
          </w:p>
        </w:tc>
        <w:tc>
          <w:tcPr>
            <w:tcW w:w="1008" w:type="dxa"/>
          </w:tcPr>
          <w:p w14:paraId="30AB9418" w14:textId="77777777" w:rsidR="0056063A" w:rsidRPr="00772DEF" w:rsidRDefault="00000000" w:rsidP="00772DEF">
            <w:pPr>
              <w:spacing w:after="0" w:line="300" w:lineRule="auto"/>
              <w:jc w:val="center"/>
              <w:rPr>
                <w:rFonts w:cs="Times New Roman"/>
                <w:szCs w:val="24"/>
              </w:rPr>
            </w:pPr>
            <w:r w:rsidRPr="00772DEF">
              <w:rPr>
                <w:rFonts w:cs="Times New Roman"/>
                <w:szCs w:val="24"/>
              </w:rPr>
              <w:t>42.2</w:t>
            </w:r>
          </w:p>
        </w:tc>
        <w:tc>
          <w:tcPr>
            <w:tcW w:w="936" w:type="dxa"/>
          </w:tcPr>
          <w:p w14:paraId="415D307D" w14:textId="77777777" w:rsidR="0056063A" w:rsidRPr="00772DEF" w:rsidRDefault="00000000" w:rsidP="00772DEF">
            <w:pPr>
              <w:spacing w:after="0" w:line="300" w:lineRule="auto"/>
              <w:jc w:val="center"/>
              <w:rPr>
                <w:rFonts w:cs="Times New Roman"/>
                <w:szCs w:val="24"/>
              </w:rPr>
            </w:pPr>
            <w:r w:rsidRPr="00772DEF">
              <w:rPr>
                <w:rFonts w:cs="Times New Roman"/>
                <w:szCs w:val="24"/>
              </w:rPr>
              <w:t>22,417</w:t>
            </w:r>
          </w:p>
        </w:tc>
        <w:tc>
          <w:tcPr>
            <w:tcW w:w="1152" w:type="dxa"/>
          </w:tcPr>
          <w:p w14:paraId="2F1A0819" w14:textId="77777777" w:rsidR="0056063A" w:rsidRPr="00772DEF" w:rsidRDefault="00000000" w:rsidP="00772DEF">
            <w:pPr>
              <w:spacing w:after="0" w:line="300" w:lineRule="auto"/>
              <w:jc w:val="center"/>
              <w:rPr>
                <w:rFonts w:cs="Times New Roman"/>
                <w:szCs w:val="24"/>
              </w:rPr>
            </w:pPr>
            <w:r w:rsidRPr="00772DEF">
              <w:rPr>
                <w:rFonts w:cs="Times New Roman"/>
                <w:szCs w:val="24"/>
              </w:rPr>
              <w:t>0.69</w:t>
            </w:r>
          </w:p>
        </w:tc>
      </w:tr>
      <w:tr w:rsidR="0056063A" w:rsidRPr="00772DEF" w14:paraId="10EA6853" w14:textId="77777777">
        <w:trPr>
          <w:jc w:val="center"/>
        </w:trPr>
        <w:tc>
          <w:tcPr>
            <w:tcW w:w="2448" w:type="dxa"/>
          </w:tcPr>
          <w:p w14:paraId="1056A3F9" w14:textId="77777777" w:rsidR="0056063A" w:rsidRPr="00772DEF" w:rsidRDefault="00000000" w:rsidP="00772DEF">
            <w:pPr>
              <w:spacing w:after="0" w:line="300" w:lineRule="auto"/>
              <w:rPr>
                <w:rFonts w:cs="Times New Roman"/>
                <w:szCs w:val="24"/>
              </w:rPr>
            </w:pPr>
            <w:r w:rsidRPr="00772DEF">
              <w:rPr>
                <w:rFonts w:cs="Times New Roman"/>
                <w:szCs w:val="24"/>
              </w:rPr>
              <w:t>Book leverage</w:t>
            </w:r>
          </w:p>
        </w:tc>
        <w:tc>
          <w:tcPr>
            <w:tcW w:w="936" w:type="dxa"/>
          </w:tcPr>
          <w:p w14:paraId="66DD3D8E" w14:textId="77777777" w:rsidR="0056063A" w:rsidRPr="00772DEF" w:rsidRDefault="00000000" w:rsidP="00772DEF">
            <w:pPr>
              <w:spacing w:after="0" w:line="300" w:lineRule="auto"/>
              <w:jc w:val="center"/>
              <w:rPr>
                <w:rFonts w:cs="Times New Roman"/>
                <w:szCs w:val="24"/>
              </w:rPr>
            </w:pPr>
            <w:r w:rsidRPr="00772DEF">
              <w:rPr>
                <w:rFonts w:cs="Times New Roman"/>
                <w:szCs w:val="24"/>
              </w:rPr>
              <w:t>0.235</w:t>
            </w:r>
          </w:p>
        </w:tc>
        <w:tc>
          <w:tcPr>
            <w:tcW w:w="936" w:type="dxa"/>
          </w:tcPr>
          <w:p w14:paraId="508F4FF8" w14:textId="77777777" w:rsidR="0056063A" w:rsidRPr="00772DEF" w:rsidRDefault="00000000" w:rsidP="00772DEF">
            <w:pPr>
              <w:spacing w:after="0" w:line="300" w:lineRule="auto"/>
              <w:jc w:val="center"/>
              <w:rPr>
                <w:rFonts w:cs="Times New Roman"/>
                <w:szCs w:val="24"/>
              </w:rPr>
            </w:pPr>
            <w:r w:rsidRPr="00772DEF">
              <w:rPr>
                <w:rFonts w:cs="Times New Roman"/>
                <w:szCs w:val="24"/>
              </w:rPr>
              <w:t>0.217</w:t>
            </w:r>
          </w:p>
        </w:tc>
        <w:tc>
          <w:tcPr>
            <w:tcW w:w="792" w:type="dxa"/>
          </w:tcPr>
          <w:p w14:paraId="24FBBFB4" w14:textId="77777777" w:rsidR="0056063A" w:rsidRPr="00772DEF" w:rsidRDefault="00000000" w:rsidP="00772DEF">
            <w:pPr>
              <w:spacing w:after="0" w:line="300" w:lineRule="auto"/>
              <w:jc w:val="center"/>
              <w:rPr>
                <w:rFonts w:cs="Times New Roman"/>
                <w:szCs w:val="24"/>
              </w:rPr>
            </w:pPr>
            <w:r w:rsidRPr="00772DEF">
              <w:rPr>
                <w:rFonts w:cs="Times New Roman"/>
                <w:szCs w:val="24"/>
              </w:rPr>
              <w:t>632</w:t>
            </w:r>
          </w:p>
        </w:tc>
        <w:tc>
          <w:tcPr>
            <w:tcW w:w="1008" w:type="dxa"/>
          </w:tcPr>
          <w:p w14:paraId="68F6115D" w14:textId="77777777" w:rsidR="0056063A" w:rsidRPr="00772DEF" w:rsidRDefault="00000000" w:rsidP="00772DEF">
            <w:pPr>
              <w:spacing w:after="0" w:line="300" w:lineRule="auto"/>
              <w:jc w:val="center"/>
              <w:rPr>
                <w:rFonts w:cs="Times New Roman"/>
                <w:szCs w:val="24"/>
              </w:rPr>
            </w:pPr>
            <w:r w:rsidRPr="00772DEF">
              <w:rPr>
                <w:rFonts w:cs="Times New Roman"/>
                <w:szCs w:val="24"/>
              </w:rPr>
              <w:t>0.241</w:t>
            </w:r>
          </w:p>
        </w:tc>
        <w:tc>
          <w:tcPr>
            <w:tcW w:w="1008" w:type="dxa"/>
          </w:tcPr>
          <w:p w14:paraId="430506BC" w14:textId="77777777" w:rsidR="0056063A" w:rsidRPr="00772DEF" w:rsidRDefault="00000000" w:rsidP="00772DEF">
            <w:pPr>
              <w:spacing w:after="0" w:line="300" w:lineRule="auto"/>
              <w:jc w:val="center"/>
              <w:rPr>
                <w:rFonts w:cs="Times New Roman"/>
                <w:szCs w:val="24"/>
              </w:rPr>
            </w:pPr>
            <w:r w:rsidRPr="00772DEF">
              <w:rPr>
                <w:rFonts w:cs="Times New Roman"/>
                <w:szCs w:val="24"/>
              </w:rPr>
              <w:t>0.205</w:t>
            </w:r>
          </w:p>
        </w:tc>
        <w:tc>
          <w:tcPr>
            <w:tcW w:w="936" w:type="dxa"/>
          </w:tcPr>
          <w:p w14:paraId="32E02DFE" w14:textId="77777777" w:rsidR="0056063A" w:rsidRPr="00772DEF" w:rsidRDefault="00000000" w:rsidP="00772DEF">
            <w:pPr>
              <w:spacing w:after="0" w:line="300" w:lineRule="auto"/>
              <w:jc w:val="center"/>
              <w:rPr>
                <w:rFonts w:cs="Times New Roman"/>
                <w:szCs w:val="24"/>
              </w:rPr>
            </w:pPr>
            <w:r w:rsidRPr="00772DEF">
              <w:rPr>
                <w:rFonts w:cs="Times New Roman"/>
                <w:szCs w:val="24"/>
              </w:rPr>
              <w:t>22,333</w:t>
            </w:r>
          </w:p>
        </w:tc>
        <w:tc>
          <w:tcPr>
            <w:tcW w:w="1152" w:type="dxa"/>
          </w:tcPr>
          <w:p w14:paraId="5D513EFD" w14:textId="77777777" w:rsidR="0056063A" w:rsidRPr="00772DEF" w:rsidRDefault="00000000" w:rsidP="00772DEF">
            <w:pPr>
              <w:spacing w:after="0" w:line="300" w:lineRule="auto"/>
              <w:jc w:val="center"/>
              <w:rPr>
                <w:rFonts w:cs="Times New Roman"/>
                <w:szCs w:val="24"/>
              </w:rPr>
            </w:pPr>
            <w:r w:rsidRPr="00772DEF">
              <w:rPr>
                <w:rFonts w:cs="Times New Roman"/>
                <w:szCs w:val="24"/>
              </w:rPr>
              <w:t>−0.04</w:t>
            </w:r>
          </w:p>
        </w:tc>
      </w:tr>
      <w:tr w:rsidR="0056063A" w:rsidRPr="00772DEF" w14:paraId="6DDC3964" w14:textId="77777777">
        <w:trPr>
          <w:jc w:val="center"/>
        </w:trPr>
        <w:tc>
          <w:tcPr>
            <w:tcW w:w="2448" w:type="dxa"/>
          </w:tcPr>
          <w:p w14:paraId="0BB0E7A9" w14:textId="77777777" w:rsidR="0056063A" w:rsidRPr="00772DEF" w:rsidRDefault="00000000" w:rsidP="00772DEF">
            <w:pPr>
              <w:spacing w:after="0" w:line="300" w:lineRule="auto"/>
              <w:rPr>
                <w:rFonts w:cs="Times New Roman"/>
                <w:szCs w:val="24"/>
              </w:rPr>
            </w:pPr>
            <w:r w:rsidRPr="00772DEF">
              <w:rPr>
                <w:rFonts w:cs="Times New Roman"/>
                <w:szCs w:val="24"/>
              </w:rPr>
              <w:t>Total assets (USD million)</w:t>
            </w:r>
          </w:p>
        </w:tc>
        <w:tc>
          <w:tcPr>
            <w:tcW w:w="936" w:type="dxa"/>
          </w:tcPr>
          <w:p w14:paraId="1CB3F804" w14:textId="77777777" w:rsidR="0056063A" w:rsidRPr="00772DEF" w:rsidRDefault="00000000" w:rsidP="00772DEF">
            <w:pPr>
              <w:spacing w:after="0" w:line="300" w:lineRule="auto"/>
              <w:jc w:val="center"/>
              <w:rPr>
                <w:rFonts w:cs="Times New Roman"/>
                <w:szCs w:val="24"/>
              </w:rPr>
            </w:pPr>
            <w:r w:rsidRPr="00772DEF">
              <w:rPr>
                <w:rFonts w:cs="Times New Roman"/>
                <w:szCs w:val="24"/>
              </w:rPr>
              <w:t>882.1</w:t>
            </w:r>
          </w:p>
        </w:tc>
        <w:tc>
          <w:tcPr>
            <w:tcW w:w="936" w:type="dxa"/>
          </w:tcPr>
          <w:p w14:paraId="3F3E7F14" w14:textId="77777777" w:rsidR="0056063A" w:rsidRPr="00772DEF" w:rsidRDefault="00000000" w:rsidP="00772DEF">
            <w:pPr>
              <w:spacing w:after="0" w:line="300" w:lineRule="auto"/>
              <w:jc w:val="center"/>
              <w:rPr>
                <w:rFonts w:cs="Times New Roman"/>
                <w:szCs w:val="24"/>
              </w:rPr>
            </w:pPr>
            <w:r w:rsidRPr="00772DEF">
              <w:rPr>
                <w:rFonts w:cs="Times New Roman"/>
                <w:szCs w:val="24"/>
              </w:rPr>
              <w:t>294.3</w:t>
            </w:r>
          </w:p>
        </w:tc>
        <w:tc>
          <w:tcPr>
            <w:tcW w:w="792" w:type="dxa"/>
          </w:tcPr>
          <w:p w14:paraId="5B9E02FF" w14:textId="77777777" w:rsidR="0056063A" w:rsidRPr="00772DEF" w:rsidRDefault="00000000" w:rsidP="00772DEF">
            <w:pPr>
              <w:spacing w:after="0" w:line="300" w:lineRule="auto"/>
              <w:jc w:val="center"/>
              <w:rPr>
                <w:rFonts w:cs="Times New Roman"/>
                <w:szCs w:val="24"/>
              </w:rPr>
            </w:pPr>
            <w:r w:rsidRPr="00772DEF">
              <w:rPr>
                <w:rFonts w:cs="Times New Roman"/>
                <w:szCs w:val="24"/>
              </w:rPr>
              <w:t>655</w:t>
            </w:r>
          </w:p>
        </w:tc>
        <w:tc>
          <w:tcPr>
            <w:tcW w:w="1008" w:type="dxa"/>
          </w:tcPr>
          <w:p w14:paraId="57E5DD95" w14:textId="77777777" w:rsidR="0056063A" w:rsidRPr="00772DEF" w:rsidRDefault="00000000" w:rsidP="00772DEF">
            <w:pPr>
              <w:spacing w:after="0" w:line="300" w:lineRule="auto"/>
              <w:jc w:val="center"/>
              <w:rPr>
                <w:rFonts w:cs="Times New Roman"/>
                <w:szCs w:val="24"/>
              </w:rPr>
            </w:pPr>
            <w:r w:rsidRPr="00772DEF">
              <w:rPr>
                <w:rFonts w:cs="Times New Roman"/>
                <w:szCs w:val="24"/>
              </w:rPr>
              <w:t>238.0</w:t>
            </w:r>
          </w:p>
        </w:tc>
        <w:tc>
          <w:tcPr>
            <w:tcW w:w="1008" w:type="dxa"/>
          </w:tcPr>
          <w:p w14:paraId="28727B04" w14:textId="77777777" w:rsidR="0056063A" w:rsidRPr="00772DEF" w:rsidRDefault="00000000" w:rsidP="00772DEF">
            <w:pPr>
              <w:spacing w:after="0" w:line="300" w:lineRule="auto"/>
              <w:jc w:val="center"/>
              <w:rPr>
                <w:rFonts w:cs="Times New Roman"/>
                <w:szCs w:val="24"/>
              </w:rPr>
            </w:pPr>
            <w:r w:rsidRPr="00772DEF">
              <w:rPr>
                <w:rFonts w:cs="Times New Roman"/>
                <w:szCs w:val="24"/>
              </w:rPr>
              <w:t>68.7</w:t>
            </w:r>
          </w:p>
        </w:tc>
        <w:tc>
          <w:tcPr>
            <w:tcW w:w="936" w:type="dxa"/>
          </w:tcPr>
          <w:p w14:paraId="4AE612C8" w14:textId="77777777" w:rsidR="0056063A" w:rsidRPr="00772DEF" w:rsidRDefault="00000000" w:rsidP="00772DEF">
            <w:pPr>
              <w:spacing w:after="0" w:line="300" w:lineRule="auto"/>
              <w:jc w:val="center"/>
              <w:rPr>
                <w:rFonts w:cs="Times New Roman"/>
                <w:szCs w:val="24"/>
              </w:rPr>
            </w:pPr>
            <w:r w:rsidRPr="00772DEF">
              <w:rPr>
                <w:rFonts w:cs="Times New Roman"/>
                <w:szCs w:val="24"/>
              </w:rPr>
              <w:t>24,814</w:t>
            </w:r>
          </w:p>
        </w:tc>
        <w:tc>
          <w:tcPr>
            <w:tcW w:w="1152" w:type="dxa"/>
          </w:tcPr>
          <w:p w14:paraId="776B63AF" w14:textId="77777777" w:rsidR="0056063A" w:rsidRPr="00772DEF" w:rsidRDefault="00000000" w:rsidP="00772DEF">
            <w:pPr>
              <w:spacing w:after="0" w:line="300" w:lineRule="auto"/>
              <w:jc w:val="center"/>
              <w:rPr>
                <w:rFonts w:cs="Times New Roman"/>
                <w:szCs w:val="24"/>
              </w:rPr>
            </w:pPr>
            <w:r w:rsidRPr="00772DEF">
              <w:rPr>
                <w:rFonts w:cs="Times New Roman"/>
                <w:szCs w:val="24"/>
              </w:rPr>
              <w:t>0.61</w:t>
            </w:r>
          </w:p>
        </w:tc>
      </w:tr>
      <w:tr w:rsidR="0056063A" w:rsidRPr="00772DEF" w14:paraId="61783F54" w14:textId="77777777">
        <w:trPr>
          <w:jc w:val="center"/>
        </w:trPr>
        <w:tc>
          <w:tcPr>
            <w:tcW w:w="2448" w:type="dxa"/>
            <w:tcBorders>
              <w:bottom w:val="single" w:sz="6" w:space="0" w:color="000000"/>
            </w:tcBorders>
          </w:tcPr>
          <w:p w14:paraId="3492A518" w14:textId="77777777" w:rsidR="0056063A" w:rsidRPr="00772DEF" w:rsidRDefault="00000000" w:rsidP="00772DEF">
            <w:pPr>
              <w:spacing w:after="0" w:line="300" w:lineRule="auto"/>
              <w:rPr>
                <w:rFonts w:cs="Times New Roman"/>
                <w:szCs w:val="24"/>
              </w:rPr>
            </w:pPr>
            <w:r w:rsidRPr="00772DEF">
              <w:rPr>
                <w:rFonts w:cs="Times New Roman"/>
                <w:szCs w:val="24"/>
              </w:rPr>
              <w:t>Return on assets</w:t>
            </w:r>
          </w:p>
        </w:tc>
        <w:tc>
          <w:tcPr>
            <w:tcW w:w="936" w:type="dxa"/>
            <w:tcBorders>
              <w:bottom w:val="single" w:sz="6" w:space="0" w:color="000000"/>
            </w:tcBorders>
          </w:tcPr>
          <w:p w14:paraId="78D4559E" w14:textId="77777777" w:rsidR="0056063A" w:rsidRPr="00772DEF" w:rsidRDefault="00000000" w:rsidP="00772DEF">
            <w:pPr>
              <w:spacing w:after="0" w:line="300" w:lineRule="auto"/>
              <w:jc w:val="center"/>
              <w:rPr>
                <w:rFonts w:cs="Times New Roman"/>
                <w:szCs w:val="24"/>
              </w:rPr>
            </w:pPr>
            <w:r w:rsidRPr="00772DEF">
              <w:rPr>
                <w:rFonts w:cs="Times New Roman"/>
                <w:szCs w:val="24"/>
              </w:rPr>
              <w:t>0.064</w:t>
            </w:r>
          </w:p>
        </w:tc>
        <w:tc>
          <w:tcPr>
            <w:tcW w:w="936" w:type="dxa"/>
            <w:tcBorders>
              <w:bottom w:val="single" w:sz="6" w:space="0" w:color="000000"/>
            </w:tcBorders>
          </w:tcPr>
          <w:p w14:paraId="04E58EAE" w14:textId="77777777" w:rsidR="0056063A" w:rsidRPr="00772DEF" w:rsidRDefault="00000000" w:rsidP="00772DEF">
            <w:pPr>
              <w:spacing w:after="0" w:line="300" w:lineRule="auto"/>
              <w:jc w:val="center"/>
              <w:rPr>
                <w:rFonts w:cs="Times New Roman"/>
                <w:szCs w:val="24"/>
              </w:rPr>
            </w:pPr>
            <w:r w:rsidRPr="00772DEF">
              <w:rPr>
                <w:rFonts w:cs="Times New Roman"/>
                <w:szCs w:val="24"/>
              </w:rPr>
              <w:t>0.057</w:t>
            </w:r>
          </w:p>
        </w:tc>
        <w:tc>
          <w:tcPr>
            <w:tcW w:w="792" w:type="dxa"/>
            <w:tcBorders>
              <w:bottom w:val="single" w:sz="6" w:space="0" w:color="000000"/>
            </w:tcBorders>
          </w:tcPr>
          <w:p w14:paraId="759F5B7C" w14:textId="77777777" w:rsidR="0056063A" w:rsidRPr="00772DEF" w:rsidRDefault="00000000" w:rsidP="00772DEF">
            <w:pPr>
              <w:spacing w:after="0" w:line="300" w:lineRule="auto"/>
              <w:jc w:val="center"/>
              <w:rPr>
                <w:rFonts w:cs="Times New Roman"/>
                <w:szCs w:val="24"/>
              </w:rPr>
            </w:pPr>
            <w:r w:rsidRPr="00772DEF">
              <w:rPr>
                <w:rFonts w:cs="Times New Roman"/>
                <w:szCs w:val="24"/>
              </w:rPr>
              <w:t>385</w:t>
            </w:r>
          </w:p>
        </w:tc>
        <w:tc>
          <w:tcPr>
            <w:tcW w:w="1008" w:type="dxa"/>
            <w:tcBorders>
              <w:bottom w:val="single" w:sz="6" w:space="0" w:color="000000"/>
            </w:tcBorders>
          </w:tcPr>
          <w:p w14:paraId="7D859FAD" w14:textId="77777777" w:rsidR="0056063A" w:rsidRPr="00772DEF" w:rsidRDefault="00000000" w:rsidP="00772DEF">
            <w:pPr>
              <w:spacing w:after="0" w:line="300" w:lineRule="auto"/>
              <w:jc w:val="center"/>
              <w:rPr>
                <w:rFonts w:cs="Times New Roman"/>
                <w:szCs w:val="24"/>
              </w:rPr>
            </w:pPr>
            <w:r w:rsidRPr="00772DEF">
              <w:rPr>
                <w:rFonts w:cs="Times New Roman"/>
                <w:szCs w:val="24"/>
              </w:rPr>
              <w:t>0.045</w:t>
            </w:r>
          </w:p>
        </w:tc>
        <w:tc>
          <w:tcPr>
            <w:tcW w:w="1008" w:type="dxa"/>
            <w:tcBorders>
              <w:bottom w:val="single" w:sz="6" w:space="0" w:color="000000"/>
            </w:tcBorders>
          </w:tcPr>
          <w:p w14:paraId="0A4BA4D0" w14:textId="77777777" w:rsidR="0056063A" w:rsidRPr="00772DEF" w:rsidRDefault="00000000" w:rsidP="00772DEF">
            <w:pPr>
              <w:spacing w:after="0" w:line="300" w:lineRule="auto"/>
              <w:jc w:val="center"/>
              <w:rPr>
                <w:rFonts w:cs="Times New Roman"/>
                <w:szCs w:val="24"/>
              </w:rPr>
            </w:pPr>
            <w:r w:rsidRPr="00772DEF">
              <w:rPr>
                <w:rFonts w:cs="Times New Roman"/>
                <w:szCs w:val="24"/>
              </w:rPr>
              <w:t>0.046</w:t>
            </w:r>
          </w:p>
        </w:tc>
        <w:tc>
          <w:tcPr>
            <w:tcW w:w="936" w:type="dxa"/>
            <w:tcBorders>
              <w:bottom w:val="single" w:sz="6" w:space="0" w:color="000000"/>
            </w:tcBorders>
          </w:tcPr>
          <w:p w14:paraId="12FE87DF" w14:textId="77777777" w:rsidR="0056063A" w:rsidRPr="00772DEF" w:rsidRDefault="00000000" w:rsidP="00772DEF">
            <w:pPr>
              <w:spacing w:after="0" w:line="300" w:lineRule="auto"/>
              <w:jc w:val="center"/>
              <w:rPr>
                <w:rFonts w:cs="Times New Roman"/>
                <w:szCs w:val="24"/>
              </w:rPr>
            </w:pPr>
            <w:r w:rsidRPr="00772DEF">
              <w:rPr>
                <w:rFonts w:cs="Times New Roman"/>
                <w:szCs w:val="24"/>
              </w:rPr>
              <w:t>5,614</w:t>
            </w:r>
          </w:p>
        </w:tc>
        <w:tc>
          <w:tcPr>
            <w:tcW w:w="1152" w:type="dxa"/>
            <w:tcBorders>
              <w:bottom w:val="single" w:sz="6" w:space="0" w:color="000000"/>
            </w:tcBorders>
          </w:tcPr>
          <w:p w14:paraId="49AF345A" w14:textId="77777777" w:rsidR="0056063A" w:rsidRPr="00772DEF" w:rsidRDefault="00000000" w:rsidP="00772DEF">
            <w:pPr>
              <w:spacing w:after="0" w:line="300" w:lineRule="auto"/>
              <w:jc w:val="center"/>
              <w:rPr>
                <w:rFonts w:cs="Times New Roman"/>
                <w:szCs w:val="24"/>
              </w:rPr>
            </w:pPr>
            <w:r w:rsidRPr="00772DEF">
              <w:rPr>
                <w:rFonts w:cs="Times New Roman"/>
                <w:szCs w:val="24"/>
              </w:rPr>
              <w:t>0.21</w:t>
            </w:r>
          </w:p>
        </w:tc>
      </w:tr>
    </w:tbl>
    <w:p w14:paraId="5D22632A" w14:textId="77777777" w:rsidR="0056063A" w:rsidRPr="00772DEF" w:rsidRDefault="00000000" w:rsidP="00772DEF">
      <w:pPr>
        <w:spacing w:after="40" w:line="300" w:lineRule="auto"/>
        <w:rPr>
          <w:rFonts w:cs="Times New Roman"/>
          <w:szCs w:val="24"/>
        </w:rPr>
      </w:pPr>
      <w:r w:rsidRPr="00772DEF">
        <w:rPr>
          <w:rFonts w:cs="Times New Roman"/>
          <w:szCs w:val="24"/>
        </w:rPr>
        <w:t>Scored firms are measured in the year before their first LSEG ESG score; never-scored firms contribute all firm-years from 2014 to 2024. Norm. diff. is the difference in means divided by the square root of the average of the two variances.</w:t>
      </w:r>
    </w:p>
    <w:p w14:paraId="0B432072" w14:textId="77777777" w:rsidR="0056063A" w:rsidRPr="00772DEF" w:rsidRDefault="00000000" w:rsidP="00772DEF">
      <w:pPr>
        <w:spacing w:after="40" w:line="300" w:lineRule="auto"/>
        <w:rPr>
          <w:rFonts w:cs="Times New Roman"/>
          <w:szCs w:val="24"/>
        </w:rPr>
      </w:pPr>
      <w:r w:rsidRPr="00772DEF">
        <w:rPr>
          <w:rFonts w:cs="Times New Roman"/>
          <w:szCs w:val="24"/>
        </w:rPr>
        <w:t>Source: Authors' calculations from LSEG ESG scores and Compustat Global.</w:t>
      </w:r>
    </w:p>
    <w:p w14:paraId="29407541" w14:textId="77777777" w:rsidR="0056063A" w:rsidRPr="00772DEF" w:rsidRDefault="00000000" w:rsidP="00772DEF">
      <w:pPr>
        <w:spacing w:line="300" w:lineRule="auto"/>
        <w:rPr>
          <w:rFonts w:cs="Times New Roman"/>
          <w:szCs w:val="24"/>
        </w:rPr>
      </w:pPr>
      <w:r w:rsidRPr="00772DEF">
        <w:rPr>
          <w:rFonts w:cs="Times New Roman"/>
          <w:szCs w:val="24"/>
        </w:rPr>
        <w:br w:type="page"/>
      </w:r>
    </w:p>
    <w:p w14:paraId="28DF0F2A" w14:textId="77777777" w:rsidR="0056063A" w:rsidRPr="00772DEF" w:rsidRDefault="00000000" w:rsidP="00772DEF">
      <w:pPr>
        <w:spacing w:after="120" w:line="300" w:lineRule="auto"/>
        <w:rPr>
          <w:rFonts w:cs="Times New Roman"/>
          <w:szCs w:val="24"/>
        </w:rPr>
      </w:pPr>
      <w:r w:rsidRPr="00772DEF">
        <w:rPr>
          <w:rFonts w:cs="Times New Roman"/>
          <w:b/>
          <w:szCs w:val="24"/>
        </w:rPr>
        <w:lastRenderedPageBreak/>
        <w:t>Table 2</w:t>
      </w:r>
      <w:r w:rsidRPr="00772DEF">
        <w:rPr>
          <w:rFonts w:cs="Times New Roman"/>
          <w:szCs w:val="24"/>
        </w:rPr>
        <w:t xml:space="preserve"> Average effect of the first LSEG ESG score over event years 0 to 3</w:t>
      </w:r>
    </w:p>
    <w:tbl>
      <w:tblPr>
        <w:tblW w:w="0" w:type="auto"/>
        <w:jc w:val="center"/>
        <w:tblLayout w:type="fixed"/>
        <w:tblCellMar>
          <w:top w:w="40" w:type="dxa"/>
          <w:left w:w="85" w:type="dxa"/>
          <w:bottom w:w="40" w:type="dxa"/>
          <w:right w:w="85" w:type="dxa"/>
        </w:tblCellMar>
        <w:tblLook w:val="04A0" w:firstRow="1" w:lastRow="0" w:firstColumn="1" w:lastColumn="0" w:noHBand="0" w:noVBand="1"/>
      </w:tblPr>
      <w:tblGrid>
        <w:gridCol w:w="2232"/>
        <w:gridCol w:w="864"/>
        <w:gridCol w:w="720"/>
        <w:gridCol w:w="1656"/>
        <w:gridCol w:w="864"/>
        <w:gridCol w:w="720"/>
        <w:gridCol w:w="864"/>
        <w:gridCol w:w="792"/>
        <w:gridCol w:w="864"/>
      </w:tblGrid>
      <w:tr w:rsidR="0056063A" w:rsidRPr="00772DEF" w14:paraId="0F0ADE53" w14:textId="77777777">
        <w:trPr>
          <w:jc w:val="center"/>
        </w:trPr>
        <w:tc>
          <w:tcPr>
            <w:tcW w:w="2232" w:type="dxa"/>
            <w:tcBorders>
              <w:top w:val="single" w:sz="6" w:space="0" w:color="000000"/>
              <w:bottom w:val="single" w:sz="6" w:space="0" w:color="000000"/>
            </w:tcBorders>
          </w:tcPr>
          <w:p w14:paraId="10557BDA" w14:textId="77777777" w:rsidR="0056063A" w:rsidRPr="00772DEF" w:rsidRDefault="00000000" w:rsidP="00772DEF">
            <w:pPr>
              <w:spacing w:after="0" w:line="300" w:lineRule="auto"/>
              <w:rPr>
                <w:rFonts w:cs="Times New Roman"/>
                <w:szCs w:val="24"/>
              </w:rPr>
            </w:pPr>
            <w:r w:rsidRPr="00772DEF">
              <w:rPr>
                <w:rFonts w:cs="Times New Roman"/>
                <w:b/>
                <w:szCs w:val="24"/>
              </w:rPr>
              <w:t>Outcome</w:t>
            </w:r>
          </w:p>
        </w:tc>
        <w:tc>
          <w:tcPr>
            <w:tcW w:w="864" w:type="dxa"/>
            <w:tcBorders>
              <w:top w:val="single" w:sz="6" w:space="0" w:color="000000"/>
              <w:bottom w:val="single" w:sz="6" w:space="0" w:color="000000"/>
            </w:tcBorders>
          </w:tcPr>
          <w:p w14:paraId="3A7D1983" w14:textId="77777777" w:rsidR="0056063A" w:rsidRPr="00772DEF" w:rsidRDefault="00000000" w:rsidP="00772DEF">
            <w:pPr>
              <w:spacing w:after="0" w:line="300" w:lineRule="auto"/>
              <w:jc w:val="center"/>
              <w:rPr>
                <w:rFonts w:cs="Times New Roman"/>
                <w:szCs w:val="24"/>
              </w:rPr>
            </w:pPr>
            <w:r w:rsidRPr="00772DEF">
              <w:rPr>
                <w:rFonts w:cs="Times New Roman"/>
                <w:b/>
                <w:szCs w:val="24"/>
              </w:rPr>
              <w:t>ATT</w:t>
            </w:r>
          </w:p>
        </w:tc>
        <w:tc>
          <w:tcPr>
            <w:tcW w:w="720" w:type="dxa"/>
            <w:tcBorders>
              <w:top w:val="single" w:sz="6" w:space="0" w:color="000000"/>
              <w:bottom w:val="single" w:sz="6" w:space="0" w:color="000000"/>
            </w:tcBorders>
          </w:tcPr>
          <w:p w14:paraId="6C487CB8" w14:textId="77777777" w:rsidR="0056063A" w:rsidRPr="00772DEF" w:rsidRDefault="00000000" w:rsidP="00772DEF">
            <w:pPr>
              <w:spacing w:after="0" w:line="300" w:lineRule="auto"/>
              <w:jc w:val="center"/>
              <w:rPr>
                <w:rFonts w:cs="Times New Roman"/>
                <w:szCs w:val="24"/>
              </w:rPr>
            </w:pPr>
            <w:r w:rsidRPr="00772DEF">
              <w:rPr>
                <w:rFonts w:cs="Times New Roman"/>
                <w:b/>
                <w:szCs w:val="24"/>
              </w:rPr>
              <w:t>SE</w:t>
            </w:r>
          </w:p>
        </w:tc>
        <w:tc>
          <w:tcPr>
            <w:tcW w:w="1656" w:type="dxa"/>
            <w:tcBorders>
              <w:top w:val="single" w:sz="6" w:space="0" w:color="000000"/>
              <w:bottom w:val="single" w:sz="6" w:space="0" w:color="000000"/>
            </w:tcBorders>
          </w:tcPr>
          <w:p w14:paraId="33E59FA6" w14:textId="77777777" w:rsidR="0056063A" w:rsidRPr="00772DEF" w:rsidRDefault="00000000" w:rsidP="00772DEF">
            <w:pPr>
              <w:spacing w:after="0" w:line="300" w:lineRule="auto"/>
              <w:jc w:val="center"/>
              <w:rPr>
                <w:rFonts w:cs="Times New Roman"/>
                <w:szCs w:val="24"/>
              </w:rPr>
            </w:pPr>
            <w:r w:rsidRPr="00772DEF">
              <w:rPr>
                <w:rFonts w:cs="Times New Roman"/>
                <w:b/>
                <w:szCs w:val="24"/>
              </w:rPr>
              <w:t>95% CI</w:t>
            </w:r>
          </w:p>
        </w:tc>
        <w:tc>
          <w:tcPr>
            <w:tcW w:w="864" w:type="dxa"/>
            <w:tcBorders>
              <w:top w:val="single" w:sz="6" w:space="0" w:color="000000"/>
              <w:bottom w:val="single" w:sz="6" w:space="0" w:color="000000"/>
            </w:tcBorders>
          </w:tcPr>
          <w:p w14:paraId="0B2A6013" w14:textId="77777777" w:rsidR="0056063A" w:rsidRPr="00772DEF" w:rsidRDefault="00000000" w:rsidP="00772DEF">
            <w:pPr>
              <w:spacing w:after="0" w:line="300" w:lineRule="auto"/>
              <w:jc w:val="center"/>
              <w:rPr>
                <w:rFonts w:cs="Times New Roman"/>
                <w:szCs w:val="24"/>
              </w:rPr>
            </w:pPr>
            <w:r w:rsidRPr="00772DEF">
              <w:rPr>
                <w:rFonts w:cs="Times New Roman"/>
                <w:b/>
                <w:szCs w:val="24"/>
              </w:rPr>
              <w:t>p-value</w:t>
            </w:r>
          </w:p>
        </w:tc>
        <w:tc>
          <w:tcPr>
            <w:tcW w:w="720" w:type="dxa"/>
            <w:tcBorders>
              <w:top w:val="single" w:sz="6" w:space="0" w:color="000000"/>
              <w:bottom w:val="single" w:sz="6" w:space="0" w:color="000000"/>
            </w:tcBorders>
          </w:tcPr>
          <w:p w14:paraId="73B4784A" w14:textId="77777777" w:rsidR="0056063A" w:rsidRPr="00772DEF" w:rsidRDefault="00000000" w:rsidP="00772DEF">
            <w:pPr>
              <w:spacing w:after="0" w:line="300" w:lineRule="auto"/>
              <w:jc w:val="center"/>
              <w:rPr>
                <w:rFonts w:cs="Times New Roman"/>
                <w:szCs w:val="24"/>
              </w:rPr>
            </w:pPr>
            <w:r w:rsidRPr="00772DEF">
              <w:rPr>
                <w:rFonts w:cs="Times New Roman"/>
                <w:b/>
                <w:szCs w:val="24"/>
              </w:rPr>
              <w:t>MDE</w:t>
            </w:r>
          </w:p>
        </w:tc>
        <w:tc>
          <w:tcPr>
            <w:tcW w:w="864" w:type="dxa"/>
            <w:tcBorders>
              <w:top w:val="single" w:sz="6" w:space="0" w:color="000000"/>
              <w:bottom w:val="single" w:sz="6" w:space="0" w:color="000000"/>
            </w:tcBorders>
          </w:tcPr>
          <w:p w14:paraId="6D77A258" w14:textId="77777777" w:rsidR="0056063A" w:rsidRPr="00772DEF" w:rsidRDefault="00000000" w:rsidP="00772DEF">
            <w:pPr>
              <w:spacing w:after="0" w:line="300" w:lineRule="auto"/>
              <w:jc w:val="center"/>
              <w:rPr>
                <w:rFonts w:cs="Times New Roman"/>
                <w:szCs w:val="24"/>
              </w:rPr>
            </w:pPr>
            <w:r w:rsidRPr="00772DEF">
              <w:rPr>
                <w:rFonts w:cs="Times New Roman"/>
                <w:b/>
                <w:szCs w:val="24"/>
              </w:rPr>
              <w:t>Pre-trend p</w:t>
            </w:r>
          </w:p>
        </w:tc>
        <w:tc>
          <w:tcPr>
            <w:tcW w:w="792" w:type="dxa"/>
            <w:tcBorders>
              <w:top w:val="single" w:sz="6" w:space="0" w:color="000000"/>
              <w:bottom w:val="single" w:sz="6" w:space="0" w:color="000000"/>
            </w:tcBorders>
          </w:tcPr>
          <w:p w14:paraId="219C06BA" w14:textId="77777777" w:rsidR="0056063A" w:rsidRPr="00772DEF" w:rsidRDefault="00000000" w:rsidP="00772DEF">
            <w:pPr>
              <w:spacing w:after="0" w:line="300" w:lineRule="auto"/>
              <w:jc w:val="center"/>
              <w:rPr>
                <w:rFonts w:cs="Times New Roman"/>
                <w:szCs w:val="24"/>
              </w:rPr>
            </w:pPr>
            <w:r w:rsidRPr="00772DEF">
              <w:rPr>
                <w:rFonts w:cs="Times New Roman"/>
                <w:b/>
                <w:szCs w:val="24"/>
              </w:rPr>
              <w:t>Scored firms</w:t>
            </w:r>
          </w:p>
        </w:tc>
        <w:tc>
          <w:tcPr>
            <w:tcW w:w="864" w:type="dxa"/>
            <w:tcBorders>
              <w:top w:val="single" w:sz="6" w:space="0" w:color="000000"/>
              <w:bottom w:val="single" w:sz="6" w:space="0" w:color="000000"/>
            </w:tcBorders>
          </w:tcPr>
          <w:p w14:paraId="79BAD1AD" w14:textId="77777777" w:rsidR="0056063A" w:rsidRPr="00772DEF" w:rsidRDefault="00000000" w:rsidP="00772DEF">
            <w:pPr>
              <w:spacing w:after="0" w:line="300" w:lineRule="auto"/>
              <w:jc w:val="center"/>
              <w:rPr>
                <w:rFonts w:cs="Times New Roman"/>
                <w:szCs w:val="24"/>
              </w:rPr>
            </w:pPr>
            <w:r w:rsidRPr="00772DEF">
              <w:rPr>
                <w:rFonts w:cs="Times New Roman"/>
                <w:b/>
                <w:szCs w:val="24"/>
              </w:rPr>
              <w:t>Control firms</w:t>
            </w:r>
          </w:p>
        </w:tc>
      </w:tr>
      <w:tr w:rsidR="0056063A" w:rsidRPr="00772DEF" w14:paraId="53EFAEBB" w14:textId="77777777">
        <w:trPr>
          <w:jc w:val="center"/>
        </w:trPr>
        <w:tc>
          <w:tcPr>
            <w:tcW w:w="2232" w:type="dxa"/>
          </w:tcPr>
          <w:p w14:paraId="2EFFCF06" w14:textId="77777777" w:rsidR="0056063A" w:rsidRPr="00772DEF" w:rsidRDefault="00000000" w:rsidP="00772DEF">
            <w:pPr>
              <w:spacing w:after="0" w:line="300" w:lineRule="auto"/>
              <w:rPr>
                <w:rFonts w:cs="Times New Roman"/>
                <w:szCs w:val="24"/>
              </w:rPr>
            </w:pPr>
            <w:r w:rsidRPr="00772DEF">
              <w:rPr>
                <w:rFonts w:cs="Times New Roman"/>
                <w:szCs w:val="24"/>
              </w:rPr>
              <w:t>ln(MTB)</w:t>
            </w:r>
          </w:p>
        </w:tc>
        <w:tc>
          <w:tcPr>
            <w:tcW w:w="864" w:type="dxa"/>
          </w:tcPr>
          <w:p w14:paraId="26B5EDDA" w14:textId="77777777" w:rsidR="0056063A" w:rsidRPr="00772DEF" w:rsidRDefault="00000000" w:rsidP="00772DEF">
            <w:pPr>
              <w:spacing w:after="0" w:line="300" w:lineRule="auto"/>
              <w:jc w:val="center"/>
              <w:rPr>
                <w:rFonts w:cs="Times New Roman"/>
                <w:szCs w:val="24"/>
              </w:rPr>
            </w:pPr>
            <w:r w:rsidRPr="00772DEF">
              <w:rPr>
                <w:rFonts w:cs="Times New Roman"/>
                <w:szCs w:val="24"/>
              </w:rPr>
              <w:t>0.002</w:t>
            </w:r>
          </w:p>
        </w:tc>
        <w:tc>
          <w:tcPr>
            <w:tcW w:w="720" w:type="dxa"/>
          </w:tcPr>
          <w:p w14:paraId="2C72816A" w14:textId="77777777" w:rsidR="0056063A" w:rsidRPr="00772DEF" w:rsidRDefault="00000000" w:rsidP="00772DEF">
            <w:pPr>
              <w:spacing w:after="0" w:line="300" w:lineRule="auto"/>
              <w:jc w:val="center"/>
              <w:rPr>
                <w:rFonts w:cs="Times New Roman"/>
                <w:szCs w:val="24"/>
              </w:rPr>
            </w:pPr>
            <w:r w:rsidRPr="00772DEF">
              <w:rPr>
                <w:rFonts w:cs="Times New Roman"/>
                <w:szCs w:val="24"/>
              </w:rPr>
              <w:t>0.024</w:t>
            </w:r>
          </w:p>
        </w:tc>
        <w:tc>
          <w:tcPr>
            <w:tcW w:w="1656" w:type="dxa"/>
          </w:tcPr>
          <w:p w14:paraId="3FDB8258" w14:textId="77777777" w:rsidR="0056063A" w:rsidRPr="00772DEF" w:rsidRDefault="00000000" w:rsidP="00772DEF">
            <w:pPr>
              <w:spacing w:after="0" w:line="300" w:lineRule="auto"/>
              <w:jc w:val="center"/>
              <w:rPr>
                <w:rFonts w:cs="Times New Roman"/>
                <w:szCs w:val="24"/>
              </w:rPr>
            </w:pPr>
            <w:r w:rsidRPr="00772DEF">
              <w:rPr>
                <w:rFonts w:cs="Times New Roman"/>
                <w:szCs w:val="24"/>
              </w:rPr>
              <w:t>[−0.046, 0.048]</w:t>
            </w:r>
          </w:p>
        </w:tc>
        <w:tc>
          <w:tcPr>
            <w:tcW w:w="864" w:type="dxa"/>
          </w:tcPr>
          <w:p w14:paraId="632444B5" w14:textId="77777777" w:rsidR="0056063A" w:rsidRPr="00772DEF" w:rsidRDefault="00000000" w:rsidP="00772DEF">
            <w:pPr>
              <w:spacing w:after="0" w:line="300" w:lineRule="auto"/>
              <w:jc w:val="center"/>
              <w:rPr>
                <w:rFonts w:cs="Times New Roman"/>
                <w:szCs w:val="24"/>
              </w:rPr>
            </w:pPr>
            <w:r w:rsidRPr="00772DEF">
              <w:rPr>
                <w:rFonts w:cs="Times New Roman"/>
                <w:szCs w:val="24"/>
              </w:rPr>
              <w:t>0.936</w:t>
            </w:r>
          </w:p>
        </w:tc>
        <w:tc>
          <w:tcPr>
            <w:tcW w:w="720" w:type="dxa"/>
          </w:tcPr>
          <w:p w14:paraId="016CAC53" w14:textId="77777777" w:rsidR="0056063A" w:rsidRPr="00772DEF" w:rsidRDefault="00000000" w:rsidP="00772DEF">
            <w:pPr>
              <w:spacing w:after="0" w:line="300" w:lineRule="auto"/>
              <w:jc w:val="center"/>
              <w:rPr>
                <w:rFonts w:cs="Times New Roman"/>
                <w:szCs w:val="24"/>
              </w:rPr>
            </w:pPr>
            <w:r w:rsidRPr="00772DEF">
              <w:rPr>
                <w:rFonts w:cs="Times New Roman"/>
                <w:szCs w:val="24"/>
              </w:rPr>
              <w:t>0.067</w:t>
            </w:r>
          </w:p>
        </w:tc>
        <w:tc>
          <w:tcPr>
            <w:tcW w:w="864" w:type="dxa"/>
          </w:tcPr>
          <w:p w14:paraId="411B9417" w14:textId="77777777" w:rsidR="0056063A" w:rsidRPr="00772DEF" w:rsidRDefault="00000000" w:rsidP="00772DEF">
            <w:pPr>
              <w:spacing w:after="0" w:line="300" w:lineRule="auto"/>
              <w:jc w:val="center"/>
              <w:rPr>
                <w:rFonts w:cs="Times New Roman"/>
                <w:szCs w:val="24"/>
              </w:rPr>
            </w:pPr>
            <w:r w:rsidRPr="00772DEF">
              <w:rPr>
                <w:rFonts w:cs="Times New Roman"/>
                <w:szCs w:val="24"/>
              </w:rPr>
              <w:t>0.074</w:t>
            </w:r>
          </w:p>
        </w:tc>
        <w:tc>
          <w:tcPr>
            <w:tcW w:w="792" w:type="dxa"/>
          </w:tcPr>
          <w:p w14:paraId="5A0D0914" w14:textId="77777777" w:rsidR="0056063A" w:rsidRPr="00772DEF" w:rsidRDefault="00000000" w:rsidP="00772DEF">
            <w:pPr>
              <w:spacing w:after="0" w:line="300" w:lineRule="auto"/>
              <w:jc w:val="center"/>
              <w:rPr>
                <w:rFonts w:cs="Times New Roman"/>
                <w:szCs w:val="24"/>
              </w:rPr>
            </w:pPr>
            <w:r w:rsidRPr="00772DEF">
              <w:rPr>
                <w:rFonts w:cs="Times New Roman"/>
                <w:szCs w:val="24"/>
              </w:rPr>
              <w:t>628</w:t>
            </w:r>
          </w:p>
        </w:tc>
        <w:tc>
          <w:tcPr>
            <w:tcW w:w="864" w:type="dxa"/>
          </w:tcPr>
          <w:p w14:paraId="41221796" w14:textId="77777777" w:rsidR="0056063A" w:rsidRPr="00772DEF" w:rsidRDefault="00000000" w:rsidP="00772DEF">
            <w:pPr>
              <w:spacing w:after="0" w:line="300" w:lineRule="auto"/>
              <w:jc w:val="center"/>
              <w:rPr>
                <w:rFonts w:cs="Times New Roman"/>
                <w:szCs w:val="24"/>
              </w:rPr>
            </w:pPr>
            <w:r w:rsidRPr="00772DEF">
              <w:rPr>
                <w:rFonts w:cs="Times New Roman"/>
                <w:szCs w:val="24"/>
              </w:rPr>
              <w:t>2,412</w:t>
            </w:r>
          </w:p>
        </w:tc>
      </w:tr>
      <w:tr w:rsidR="0056063A" w:rsidRPr="00772DEF" w14:paraId="713D1BA6" w14:textId="77777777">
        <w:trPr>
          <w:jc w:val="center"/>
        </w:trPr>
        <w:tc>
          <w:tcPr>
            <w:tcW w:w="2232" w:type="dxa"/>
          </w:tcPr>
          <w:p w14:paraId="2D0F2296" w14:textId="77777777" w:rsidR="0056063A" w:rsidRPr="00772DEF" w:rsidRDefault="00000000" w:rsidP="00772DEF">
            <w:pPr>
              <w:spacing w:after="0" w:line="300" w:lineRule="auto"/>
              <w:rPr>
                <w:rFonts w:cs="Times New Roman"/>
                <w:szCs w:val="24"/>
              </w:rPr>
            </w:pPr>
            <w:r w:rsidRPr="00772DEF">
              <w:rPr>
                <w:rFonts w:cs="Times New Roman"/>
                <w:szCs w:val="24"/>
              </w:rPr>
              <w:t>ln(market cap)</w:t>
            </w:r>
          </w:p>
        </w:tc>
        <w:tc>
          <w:tcPr>
            <w:tcW w:w="864" w:type="dxa"/>
          </w:tcPr>
          <w:p w14:paraId="38AEA87D" w14:textId="77777777" w:rsidR="0056063A" w:rsidRPr="00772DEF" w:rsidRDefault="00000000" w:rsidP="00772DEF">
            <w:pPr>
              <w:spacing w:after="0" w:line="300" w:lineRule="auto"/>
              <w:jc w:val="center"/>
              <w:rPr>
                <w:rFonts w:cs="Times New Roman"/>
                <w:szCs w:val="24"/>
              </w:rPr>
            </w:pPr>
            <w:r w:rsidRPr="00772DEF">
              <w:rPr>
                <w:rFonts w:cs="Times New Roman"/>
                <w:szCs w:val="24"/>
              </w:rPr>
              <w:t>−0.055</w:t>
            </w:r>
          </w:p>
        </w:tc>
        <w:tc>
          <w:tcPr>
            <w:tcW w:w="720" w:type="dxa"/>
          </w:tcPr>
          <w:p w14:paraId="1F828EA4" w14:textId="77777777" w:rsidR="0056063A" w:rsidRPr="00772DEF" w:rsidRDefault="00000000" w:rsidP="00772DEF">
            <w:pPr>
              <w:spacing w:after="0" w:line="300" w:lineRule="auto"/>
              <w:jc w:val="center"/>
              <w:rPr>
                <w:rFonts w:cs="Times New Roman"/>
                <w:szCs w:val="24"/>
              </w:rPr>
            </w:pPr>
            <w:r w:rsidRPr="00772DEF">
              <w:rPr>
                <w:rFonts w:cs="Times New Roman"/>
                <w:szCs w:val="24"/>
              </w:rPr>
              <w:t>0.030</w:t>
            </w:r>
          </w:p>
        </w:tc>
        <w:tc>
          <w:tcPr>
            <w:tcW w:w="1656" w:type="dxa"/>
          </w:tcPr>
          <w:p w14:paraId="6EA6EB23" w14:textId="77777777" w:rsidR="0056063A" w:rsidRPr="00772DEF" w:rsidRDefault="00000000" w:rsidP="00772DEF">
            <w:pPr>
              <w:spacing w:after="0" w:line="300" w:lineRule="auto"/>
              <w:jc w:val="center"/>
              <w:rPr>
                <w:rFonts w:cs="Times New Roman"/>
                <w:szCs w:val="24"/>
              </w:rPr>
            </w:pPr>
            <w:r w:rsidRPr="00772DEF">
              <w:rPr>
                <w:rFonts w:cs="Times New Roman"/>
                <w:szCs w:val="24"/>
              </w:rPr>
              <w:t>[−0.109, 0.003]</w:t>
            </w:r>
          </w:p>
        </w:tc>
        <w:tc>
          <w:tcPr>
            <w:tcW w:w="864" w:type="dxa"/>
          </w:tcPr>
          <w:p w14:paraId="14979B73" w14:textId="77777777" w:rsidR="0056063A" w:rsidRPr="00772DEF" w:rsidRDefault="00000000" w:rsidP="00772DEF">
            <w:pPr>
              <w:spacing w:after="0" w:line="300" w:lineRule="auto"/>
              <w:jc w:val="center"/>
              <w:rPr>
                <w:rFonts w:cs="Times New Roman"/>
                <w:szCs w:val="24"/>
              </w:rPr>
            </w:pPr>
            <w:r w:rsidRPr="00772DEF">
              <w:rPr>
                <w:rFonts w:cs="Times New Roman"/>
                <w:szCs w:val="24"/>
              </w:rPr>
              <w:t>0.134</w:t>
            </w:r>
          </w:p>
        </w:tc>
        <w:tc>
          <w:tcPr>
            <w:tcW w:w="720" w:type="dxa"/>
          </w:tcPr>
          <w:p w14:paraId="17333650" w14:textId="77777777" w:rsidR="0056063A" w:rsidRPr="00772DEF" w:rsidRDefault="00000000" w:rsidP="00772DEF">
            <w:pPr>
              <w:spacing w:after="0" w:line="300" w:lineRule="auto"/>
              <w:jc w:val="center"/>
              <w:rPr>
                <w:rFonts w:cs="Times New Roman"/>
                <w:szCs w:val="24"/>
              </w:rPr>
            </w:pPr>
            <w:r w:rsidRPr="00772DEF">
              <w:rPr>
                <w:rFonts w:cs="Times New Roman"/>
                <w:szCs w:val="24"/>
              </w:rPr>
              <w:t>0.084</w:t>
            </w:r>
          </w:p>
        </w:tc>
        <w:tc>
          <w:tcPr>
            <w:tcW w:w="864" w:type="dxa"/>
          </w:tcPr>
          <w:p w14:paraId="22B762FF" w14:textId="77777777" w:rsidR="0056063A" w:rsidRPr="00772DEF" w:rsidRDefault="00000000" w:rsidP="00772DEF">
            <w:pPr>
              <w:spacing w:after="0" w:line="300" w:lineRule="auto"/>
              <w:jc w:val="center"/>
              <w:rPr>
                <w:rFonts w:cs="Times New Roman"/>
                <w:szCs w:val="24"/>
              </w:rPr>
            </w:pPr>
            <w:r w:rsidRPr="00772DEF">
              <w:rPr>
                <w:rFonts w:cs="Times New Roman"/>
                <w:szCs w:val="24"/>
              </w:rPr>
              <w:t>0.022</w:t>
            </w:r>
          </w:p>
        </w:tc>
        <w:tc>
          <w:tcPr>
            <w:tcW w:w="792" w:type="dxa"/>
          </w:tcPr>
          <w:p w14:paraId="705D927F" w14:textId="77777777" w:rsidR="0056063A" w:rsidRPr="00772DEF" w:rsidRDefault="00000000" w:rsidP="00772DEF">
            <w:pPr>
              <w:spacing w:after="0" w:line="300" w:lineRule="auto"/>
              <w:jc w:val="center"/>
              <w:rPr>
                <w:rFonts w:cs="Times New Roman"/>
                <w:szCs w:val="24"/>
              </w:rPr>
            </w:pPr>
            <w:r w:rsidRPr="00772DEF">
              <w:rPr>
                <w:rFonts w:cs="Times New Roman"/>
                <w:szCs w:val="24"/>
              </w:rPr>
              <w:t>635</w:t>
            </w:r>
          </w:p>
        </w:tc>
        <w:tc>
          <w:tcPr>
            <w:tcW w:w="864" w:type="dxa"/>
          </w:tcPr>
          <w:p w14:paraId="50CA0560" w14:textId="77777777" w:rsidR="0056063A" w:rsidRPr="00772DEF" w:rsidRDefault="00000000" w:rsidP="00772DEF">
            <w:pPr>
              <w:spacing w:after="0" w:line="300" w:lineRule="auto"/>
              <w:jc w:val="center"/>
              <w:rPr>
                <w:rFonts w:cs="Times New Roman"/>
                <w:szCs w:val="24"/>
              </w:rPr>
            </w:pPr>
            <w:r w:rsidRPr="00772DEF">
              <w:rPr>
                <w:rFonts w:cs="Times New Roman"/>
                <w:szCs w:val="24"/>
              </w:rPr>
              <w:t>2,447</w:t>
            </w:r>
          </w:p>
        </w:tc>
      </w:tr>
      <w:tr w:rsidR="0056063A" w:rsidRPr="00772DEF" w14:paraId="36F59B3E" w14:textId="77777777">
        <w:trPr>
          <w:jc w:val="center"/>
        </w:trPr>
        <w:tc>
          <w:tcPr>
            <w:tcW w:w="2232" w:type="dxa"/>
          </w:tcPr>
          <w:p w14:paraId="505A9F19" w14:textId="77777777" w:rsidR="0056063A" w:rsidRPr="00772DEF" w:rsidRDefault="00000000" w:rsidP="00772DEF">
            <w:pPr>
              <w:spacing w:after="0" w:line="300" w:lineRule="auto"/>
              <w:rPr>
                <w:rFonts w:cs="Times New Roman"/>
                <w:szCs w:val="24"/>
              </w:rPr>
            </w:pPr>
            <w:r w:rsidRPr="00772DEF">
              <w:rPr>
                <w:rFonts w:cs="Times New Roman"/>
                <w:szCs w:val="24"/>
              </w:rPr>
              <w:t>Leverage (ratio)</w:t>
            </w:r>
          </w:p>
        </w:tc>
        <w:tc>
          <w:tcPr>
            <w:tcW w:w="864" w:type="dxa"/>
          </w:tcPr>
          <w:p w14:paraId="3F965C39" w14:textId="77777777" w:rsidR="0056063A" w:rsidRPr="00772DEF" w:rsidRDefault="00000000" w:rsidP="00772DEF">
            <w:pPr>
              <w:spacing w:after="0" w:line="300" w:lineRule="auto"/>
              <w:jc w:val="center"/>
              <w:rPr>
                <w:rFonts w:cs="Times New Roman"/>
                <w:szCs w:val="24"/>
              </w:rPr>
            </w:pPr>
            <w:r w:rsidRPr="00772DEF">
              <w:rPr>
                <w:rFonts w:cs="Times New Roman"/>
                <w:szCs w:val="24"/>
              </w:rPr>
              <w:t>0.008</w:t>
            </w:r>
          </w:p>
        </w:tc>
        <w:tc>
          <w:tcPr>
            <w:tcW w:w="720" w:type="dxa"/>
          </w:tcPr>
          <w:p w14:paraId="065CBDE5" w14:textId="77777777" w:rsidR="0056063A" w:rsidRPr="00772DEF" w:rsidRDefault="00000000" w:rsidP="00772DEF">
            <w:pPr>
              <w:spacing w:after="0" w:line="300" w:lineRule="auto"/>
              <w:jc w:val="center"/>
              <w:rPr>
                <w:rFonts w:cs="Times New Roman"/>
                <w:szCs w:val="24"/>
              </w:rPr>
            </w:pPr>
            <w:r w:rsidRPr="00772DEF">
              <w:rPr>
                <w:rFonts w:cs="Times New Roman"/>
                <w:szCs w:val="24"/>
              </w:rPr>
              <w:t>0.005</w:t>
            </w:r>
          </w:p>
        </w:tc>
        <w:tc>
          <w:tcPr>
            <w:tcW w:w="1656" w:type="dxa"/>
          </w:tcPr>
          <w:p w14:paraId="2EED9CBC" w14:textId="77777777" w:rsidR="0056063A" w:rsidRPr="00772DEF" w:rsidRDefault="00000000" w:rsidP="00772DEF">
            <w:pPr>
              <w:spacing w:after="0" w:line="300" w:lineRule="auto"/>
              <w:jc w:val="center"/>
              <w:rPr>
                <w:rFonts w:cs="Times New Roman"/>
                <w:szCs w:val="24"/>
              </w:rPr>
            </w:pPr>
            <w:r w:rsidRPr="00772DEF">
              <w:rPr>
                <w:rFonts w:cs="Times New Roman"/>
                <w:szCs w:val="24"/>
              </w:rPr>
              <w:t>[−0.001, 0.018]</w:t>
            </w:r>
          </w:p>
        </w:tc>
        <w:tc>
          <w:tcPr>
            <w:tcW w:w="864" w:type="dxa"/>
          </w:tcPr>
          <w:p w14:paraId="6CA2A805" w14:textId="77777777" w:rsidR="0056063A" w:rsidRPr="00772DEF" w:rsidRDefault="00000000" w:rsidP="00772DEF">
            <w:pPr>
              <w:spacing w:after="0" w:line="300" w:lineRule="auto"/>
              <w:jc w:val="center"/>
              <w:rPr>
                <w:rFonts w:cs="Times New Roman"/>
                <w:szCs w:val="24"/>
              </w:rPr>
            </w:pPr>
            <w:r w:rsidRPr="00772DEF">
              <w:rPr>
                <w:rFonts w:cs="Times New Roman"/>
                <w:szCs w:val="24"/>
              </w:rPr>
              <w:t>0.134</w:t>
            </w:r>
          </w:p>
        </w:tc>
        <w:tc>
          <w:tcPr>
            <w:tcW w:w="720" w:type="dxa"/>
          </w:tcPr>
          <w:p w14:paraId="3714ABD9" w14:textId="77777777" w:rsidR="0056063A" w:rsidRPr="00772DEF" w:rsidRDefault="00000000" w:rsidP="00772DEF">
            <w:pPr>
              <w:spacing w:after="0" w:line="300" w:lineRule="auto"/>
              <w:jc w:val="center"/>
              <w:rPr>
                <w:rFonts w:cs="Times New Roman"/>
                <w:szCs w:val="24"/>
              </w:rPr>
            </w:pPr>
            <w:r w:rsidRPr="00772DEF">
              <w:rPr>
                <w:rFonts w:cs="Times New Roman"/>
                <w:szCs w:val="24"/>
              </w:rPr>
              <w:t>0.014</w:t>
            </w:r>
          </w:p>
        </w:tc>
        <w:tc>
          <w:tcPr>
            <w:tcW w:w="864" w:type="dxa"/>
          </w:tcPr>
          <w:p w14:paraId="2F116A31" w14:textId="77777777" w:rsidR="0056063A" w:rsidRPr="00772DEF" w:rsidRDefault="00000000" w:rsidP="00772DEF">
            <w:pPr>
              <w:spacing w:after="0" w:line="300" w:lineRule="auto"/>
              <w:jc w:val="center"/>
              <w:rPr>
                <w:rFonts w:cs="Times New Roman"/>
                <w:szCs w:val="24"/>
              </w:rPr>
            </w:pPr>
            <w:r w:rsidRPr="00772DEF">
              <w:rPr>
                <w:rFonts w:cs="Times New Roman"/>
                <w:szCs w:val="24"/>
              </w:rPr>
              <w:t>0.002</w:t>
            </w:r>
          </w:p>
        </w:tc>
        <w:tc>
          <w:tcPr>
            <w:tcW w:w="792" w:type="dxa"/>
          </w:tcPr>
          <w:p w14:paraId="4A23A2C8" w14:textId="77777777" w:rsidR="0056063A" w:rsidRPr="00772DEF" w:rsidRDefault="00000000" w:rsidP="00772DEF">
            <w:pPr>
              <w:spacing w:after="0" w:line="300" w:lineRule="auto"/>
              <w:jc w:val="center"/>
              <w:rPr>
                <w:rFonts w:cs="Times New Roman"/>
                <w:szCs w:val="24"/>
              </w:rPr>
            </w:pPr>
            <w:r w:rsidRPr="00772DEF">
              <w:rPr>
                <w:rFonts w:cs="Times New Roman"/>
                <w:szCs w:val="24"/>
              </w:rPr>
              <w:t>631</w:t>
            </w:r>
          </w:p>
        </w:tc>
        <w:tc>
          <w:tcPr>
            <w:tcW w:w="864" w:type="dxa"/>
          </w:tcPr>
          <w:p w14:paraId="5428A959" w14:textId="77777777" w:rsidR="0056063A" w:rsidRPr="00772DEF" w:rsidRDefault="00000000" w:rsidP="00772DEF">
            <w:pPr>
              <w:spacing w:after="0" w:line="300" w:lineRule="auto"/>
              <w:jc w:val="center"/>
              <w:rPr>
                <w:rFonts w:cs="Times New Roman"/>
                <w:szCs w:val="24"/>
              </w:rPr>
            </w:pPr>
            <w:r w:rsidRPr="00772DEF">
              <w:rPr>
                <w:rFonts w:cs="Times New Roman"/>
                <w:szCs w:val="24"/>
              </w:rPr>
              <w:t>2,520</w:t>
            </w:r>
          </w:p>
        </w:tc>
      </w:tr>
      <w:tr w:rsidR="0056063A" w:rsidRPr="00772DEF" w14:paraId="71556761" w14:textId="77777777">
        <w:trPr>
          <w:jc w:val="center"/>
        </w:trPr>
        <w:tc>
          <w:tcPr>
            <w:tcW w:w="2232" w:type="dxa"/>
            <w:tcBorders>
              <w:bottom w:val="single" w:sz="6" w:space="0" w:color="000000"/>
            </w:tcBorders>
          </w:tcPr>
          <w:p w14:paraId="0751602F" w14:textId="77777777" w:rsidR="0056063A" w:rsidRPr="00772DEF" w:rsidRDefault="00000000" w:rsidP="00772DEF">
            <w:pPr>
              <w:spacing w:after="0" w:line="300" w:lineRule="auto"/>
              <w:rPr>
                <w:rFonts w:cs="Times New Roman"/>
                <w:szCs w:val="24"/>
              </w:rPr>
            </w:pPr>
            <w:r w:rsidRPr="00772DEF">
              <w:rPr>
                <w:rFonts w:cs="Times New Roman"/>
                <w:szCs w:val="24"/>
              </w:rPr>
              <w:t>ln(assets)</w:t>
            </w:r>
          </w:p>
        </w:tc>
        <w:tc>
          <w:tcPr>
            <w:tcW w:w="864" w:type="dxa"/>
            <w:tcBorders>
              <w:bottom w:val="single" w:sz="6" w:space="0" w:color="000000"/>
            </w:tcBorders>
          </w:tcPr>
          <w:p w14:paraId="57E3A990" w14:textId="77777777" w:rsidR="0056063A" w:rsidRPr="00772DEF" w:rsidRDefault="00000000" w:rsidP="00772DEF">
            <w:pPr>
              <w:spacing w:after="0" w:line="300" w:lineRule="auto"/>
              <w:jc w:val="center"/>
              <w:rPr>
                <w:rFonts w:cs="Times New Roman"/>
                <w:szCs w:val="24"/>
              </w:rPr>
            </w:pPr>
            <w:r w:rsidRPr="00772DEF">
              <w:rPr>
                <w:rFonts w:cs="Times New Roman"/>
                <w:szCs w:val="24"/>
              </w:rPr>
              <w:t>0.044</w:t>
            </w:r>
          </w:p>
        </w:tc>
        <w:tc>
          <w:tcPr>
            <w:tcW w:w="720" w:type="dxa"/>
            <w:tcBorders>
              <w:bottom w:val="single" w:sz="6" w:space="0" w:color="000000"/>
            </w:tcBorders>
          </w:tcPr>
          <w:p w14:paraId="53ECE5E2" w14:textId="77777777" w:rsidR="0056063A" w:rsidRPr="00772DEF" w:rsidRDefault="00000000" w:rsidP="00772DEF">
            <w:pPr>
              <w:spacing w:after="0" w:line="300" w:lineRule="auto"/>
              <w:jc w:val="center"/>
              <w:rPr>
                <w:rFonts w:cs="Times New Roman"/>
                <w:szCs w:val="24"/>
              </w:rPr>
            </w:pPr>
            <w:r w:rsidRPr="00772DEF">
              <w:rPr>
                <w:rFonts w:cs="Times New Roman"/>
                <w:szCs w:val="24"/>
              </w:rPr>
              <w:t>0.018</w:t>
            </w:r>
          </w:p>
        </w:tc>
        <w:tc>
          <w:tcPr>
            <w:tcW w:w="1656" w:type="dxa"/>
            <w:tcBorders>
              <w:bottom w:val="single" w:sz="6" w:space="0" w:color="000000"/>
            </w:tcBorders>
          </w:tcPr>
          <w:p w14:paraId="423BF082" w14:textId="77777777" w:rsidR="0056063A" w:rsidRPr="00772DEF" w:rsidRDefault="00000000" w:rsidP="00772DEF">
            <w:pPr>
              <w:spacing w:after="0" w:line="300" w:lineRule="auto"/>
              <w:jc w:val="center"/>
              <w:rPr>
                <w:rFonts w:cs="Times New Roman"/>
                <w:szCs w:val="24"/>
              </w:rPr>
            </w:pPr>
            <w:r w:rsidRPr="00772DEF">
              <w:rPr>
                <w:rFonts w:cs="Times New Roman"/>
                <w:szCs w:val="24"/>
              </w:rPr>
              <w:t>[0.007, 0.081]</w:t>
            </w:r>
          </w:p>
        </w:tc>
        <w:tc>
          <w:tcPr>
            <w:tcW w:w="864" w:type="dxa"/>
            <w:tcBorders>
              <w:bottom w:val="single" w:sz="6" w:space="0" w:color="000000"/>
            </w:tcBorders>
          </w:tcPr>
          <w:p w14:paraId="10868A2A" w14:textId="77777777" w:rsidR="0056063A" w:rsidRPr="00772DEF" w:rsidRDefault="00000000" w:rsidP="00772DEF">
            <w:pPr>
              <w:spacing w:after="0" w:line="300" w:lineRule="auto"/>
              <w:jc w:val="center"/>
              <w:rPr>
                <w:rFonts w:cs="Times New Roman"/>
                <w:szCs w:val="24"/>
              </w:rPr>
            </w:pPr>
            <w:r w:rsidRPr="00772DEF">
              <w:rPr>
                <w:rFonts w:cs="Times New Roman"/>
                <w:szCs w:val="24"/>
              </w:rPr>
              <w:t>0.053</w:t>
            </w:r>
          </w:p>
        </w:tc>
        <w:tc>
          <w:tcPr>
            <w:tcW w:w="720" w:type="dxa"/>
            <w:tcBorders>
              <w:bottom w:val="single" w:sz="6" w:space="0" w:color="000000"/>
            </w:tcBorders>
          </w:tcPr>
          <w:p w14:paraId="146F260E" w14:textId="77777777" w:rsidR="0056063A" w:rsidRPr="00772DEF" w:rsidRDefault="00000000" w:rsidP="00772DEF">
            <w:pPr>
              <w:spacing w:after="0" w:line="300" w:lineRule="auto"/>
              <w:jc w:val="center"/>
              <w:rPr>
                <w:rFonts w:cs="Times New Roman"/>
                <w:szCs w:val="24"/>
              </w:rPr>
            </w:pPr>
            <w:r w:rsidRPr="00772DEF">
              <w:rPr>
                <w:rFonts w:cs="Times New Roman"/>
                <w:szCs w:val="24"/>
              </w:rPr>
              <w:t>0.051</w:t>
            </w:r>
          </w:p>
        </w:tc>
        <w:tc>
          <w:tcPr>
            <w:tcW w:w="864" w:type="dxa"/>
            <w:tcBorders>
              <w:bottom w:val="single" w:sz="6" w:space="0" w:color="000000"/>
            </w:tcBorders>
          </w:tcPr>
          <w:p w14:paraId="0713B4CA" w14:textId="77777777" w:rsidR="0056063A" w:rsidRPr="00772DEF" w:rsidRDefault="00000000" w:rsidP="00772DEF">
            <w:pPr>
              <w:spacing w:after="0" w:line="300" w:lineRule="auto"/>
              <w:jc w:val="center"/>
              <w:rPr>
                <w:rFonts w:cs="Times New Roman"/>
                <w:szCs w:val="24"/>
              </w:rPr>
            </w:pPr>
            <w:r w:rsidRPr="00772DEF">
              <w:rPr>
                <w:rFonts w:cs="Times New Roman"/>
                <w:szCs w:val="24"/>
              </w:rPr>
              <w:t>0.083</w:t>
            </w:r>
          </w:p>
        </w:tc>
        <w:tc>
          <w:tcPr>
            <w:tcW w:w="792" w:type="dxa"/>
            <w:tcBorders>
              <w:bottom w:val="single" w:sz="6" w:space="0" w:color="000000"/>
            </w:tcBorders>
          </w:tcPr>
          <w:p w14:paraId="1A0B6AB9" w14:textId="77777777" w:rsidR="0056063A" w:rsidRPr="00772DEF" w:rsidRDefault="00000000" w:rsidP="00772DEF">
            <w:pPr>
              <w:spacing w:after="0" w:line="300" w:lineRule="auto"/>
              <w:jc w:val="center"/>
              <w:rPr>
                <w:rFonts w:cs="Times New Roman"/>
                <w:szCs w:val="24"/>
              </w:rPr>
            </w:pPr>
            <w:r w:rsidRPr="00772DEF">
              <w:rPr>
                <w:rFonts w:cs="Times New Roman"/>
                <w:szCs w:val="24"/>
              </w:rPr>
              <w:t>655</w:t>
            </w:r>
          </w:p>
        </w:tc>
        <w:tc>
          <w:tcPr>
            <w:tcW w:w="864" w:type="dxa"/>
            <w:tcBorders>
              <w:bottom w:val="single" w:sz="6" w:space="0" w:color="000000"/>
            </w:tcBorders>
          </w:tcPr>
          <w:p w14:paraId="4309FDAB" w14:textId="77777777" w:rsidR="0056063A" w:rsidRPr="00772DEF" w:rsidRDefault="00000000" w:rsidP="00772DEF">
            <w:pPr>
              <w:spacing w:after="0" w:line="300" w:lineRule="auto"/>
              <w:jc w:val="center"/>
              <w:rPr>
                <w:rFonts w:cs="Times New Roman"/>
                <w:szCs w:val="24"/>
              </w:rPr>
            </w:pPr>
            <w:r w:rsidRPr="00772DEF">
              <w:rPr>
                <w:rFonts w:cs="Times New Roman"/>
                <w:szCs w:val="24"/>
              </w:rPr>
              <w:t>2,603</w:t>
            </w:r>
          </w:p>
        </w:tc>
      </w:tr>
    </w:tbl>
    <w:p w14:paraId="746BE168" w14:textId="77777777" w:rsidR="0056063A" w:rsidRPr="00772DEF" w:rsidRDefault="00000000" w:rsidP="00772DEF">
      <w:pPr>
        <w:spacing w:after="40" w:line="300" w:lineRule="auto"/>
        <w:rPr>
          <w:rFonts w:cs="Times New Roman"/>
          <w:szCs w:val="24"/>
        </w:rPr>
      </w:pPr>
      <w:r w:rsidRPr="00772DEF">
        <w:rPr>
          <w:rFonts w:cs="Times New Roman"/>
          <w:szCs w:val="24"/>
        </w:rPr>
        <w:t>ATT is the average effect over event years 0 to 3 (Eq. 6), with bootstrap standard errors and unadjusted 95% intervals; p-values of the three secondary outcomes are Holm-adjusted. MDE is the minimum detectable effect at 80% power, and pre-trend p is the joint test of Eq. (8).</w:t>
      </w:r>
    </w:p>
    <w:p w14:paraId="69B345A5" w14:textId="77777777" w:rsidR="0056063A" w:rsidRPr="00772DEF" w:rsidRDefault="00000000" w:rsidP="00772DEF">
      <w:pPr>
        <w:spacing w:after="40" w:line="300" w:lineRule="auto"/>
        <w:rPr>
          <w:rFonts w:cs="Times New Roman"/>
          <w:szCs w:val="24"/>
        </w:rPr>
      </w:pPr>
      <w:r w:rsidRPr="00772DEF">
        <w:rPr>
          <w:rFonts w:cs="Times New Roman"/>
          <w:szCs w:val="24"/>
        </w:rPr>
        <w:t>Source: Authors' calculations from LSEG ESG scores and Compustat Global.</w:t>
      </w:r>
    </w:p>
    <w:p w14:paraId="1D83B651" w14:textId="77777777" w:rsidR="0056063A" w:rsidRPr="00772DEF" w:rsidRDefault="00000000" w:rsidP="00772DEF">
      <w:pPr>
        <w:spacing w:line="300" w:lineRule="auto"/>
        <w:rPr>
          <w:rFonts w:cs="Times New Roman"/>
          <w:szCs w:val="24"/>
        </w:rPr>
      </w:pPr>
      <w:r w:rsidRPr="00772DEF">
        <w:rPr>
          <w:rFonts w:cs="Times New Roman"/>
          <w:szCs w:val="24"/>
        </w:rPr>
        <w:br w:type="page"/>
      </w:r>
    </w:p>
    <w:p w14:paraId="60F60010" w14:textId="77777777" w:rsidR="0056063A" w:rsidRPr="00772DEF" w:rsidRDefault="00000000" w:rsidP="00772DEF">
      <w:pPr>
        <w:spacing w:after="120" w:line="300" w:lineRule="auto"/>
        <w:rPr>
          <w:rFonts w:cs="Times New Roman"/>
          <w:szCs w:val="24"/>
        </w:rPr>
      </w:pPr>
      <w:r w:rsidRPr="00772DEF">
        <w:rPr>
          <w:rFonts w:cs="Times New Roman"/>
          <w:b/>
          <w:szCs w:val="24"/>
        </w:rPr>
        <w:lastRenderedPageBreak/>
        <w:t>Fig. 1</w:t>
      </w:r>
      <w:r w:rsidRPr="00772DEF">
        <w:rPr>
          <w:rFonts w:cs="Times New Roman"/>
          <w:szCs w:val="24"/>
        </w:rPr>
        <w:t xml:space="preserve"> Event-time effects of the first LSEG ESG score on valuation, size, and leverage</w:t>
      </w:r>
    </w:p>
    <w:p w14:paraId="586D6052" w14:textId="77777777" w:rsidR="0056063A" w:rsidRPr="00772DEF" w:rsidRDefault="00000000" w:rsidP="00772DEF">
      <w:pPr>
        <w:spacing w:line="300" w:lineRule="auto"/>
        <w:jc w:val="center"/>
        <w:rPr>
          <w:rFonts w:cs="Times New Roman"/>
          <w:szCs w:val="24"/>
        </w:rPr>
      </w:pPr>
      <w:r w:rsidRPr="00772DEF">
        <w:rPr>
          <w:rFonts w:cs="Times New Roman"/>
          <w:noProof/>
          <w:szCs w:val="24"/>
        </w:rPr>
        <w:drawing>
          <wp:inline distT="0" distB="0" distL="0" distR="0" wp14:anchorId="22745CB6" wp14:editId="65157241">
            <wp:extent cx="5760720" cy="4431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8"/>
                    <a:stretch>
                      <a:fillRect/>
                    </a:stretch>
                  </pic:blipFill>
                  <pic:spPr>
                    <a:xfrm>
                      <a:off x="0" y="0"/>
                      <a:ext cx="5760720" cy="4431323"/>
                    </a:xfrm>
                    <a:prstGeom prst="rect">
                      <a:avLst/>
                    </a:prstGeom>
                  </pic:spPr>
                </pic:pic>
              </a:graphicData>
            </a:graphic>
          </wp:inline>
        </w:drawing>
      </w:r>
    </w:p>
    <w:p w14:paraId="771502F3" w14:textId="77777777" w:rsidR="0056063A" w:rsidRPr="00772DEF" w:rsidRDefault="00000000" w:rsidP="00772DEF">
      <w:pPr>
        <w:spacing w:after="40" w:line="300" w:lineRule="auto"/>
        <w:rPr>
          <w:rFonts w:cs="Times New Roman"/>
          <w:szCs w:val="24"/>
        </w:rPr>
      </w:pPr>
      <w:r w:rsidRPr="00772DEF">
        <w:rPr>
          <w:rFonts w:cs="Times New Roman"/>
          <w:szCs w:val="24"/>
        </w:rPr>
        <w:t>Markers show the estimates of Eq. (5) relative to event year −1 (set to zero), with bootstrap 95% intervals; open markers and dotted bars are years before the first score. Controls are never-scored firms with the covariates of Eq. (3), and event year 4 is not part of Eq. (6).</w:t>
      </w:r>
    </w:p>
    <w:p w14:paraId="7C1F2A52" w14:textId="77777777" w:rsidR="0056063A" w:rsidRPr="00772DEF" w:rsidRDefault="00000000" w:rsidP="00772DEF">
      <w:pPr>
        <w:spacing w:after="40" w:line="300" w:lineRule="auto"/>
        <w:rPr>
          <w:rFonts w:cs="Times New Roman"/>
          <w:szCs w:val="24"/>
        </w:rPr>
      </w:pPr>
      <w:r w:rsidRPr="00772DEF">
        <w:rPr>
          <w:rFonts w:cs="Times New Roman"/>
          <w:szCs w:val="24"/>
        </w:rPr>
        <w:t>Source: Authors' calculations from LSEG ESG scores and Compustat Global.</w:t>
      </w:r>
    </w:p>
    <w:p w14:paraId="52A78A58" w14:textId="77777777" w:rsidR="0056063A" w:rsidRPr="00772DEF" w:rsidRDefault="00000000" w:rsidP="00772DEF">
      <w:pPr>
        <w:spacing w:line="300" w:lineRule="auto"/>
        <w:rPr>
          <w:rFonts w:cs="Times New Roman"/>
          <w:szCs w:val="24"/>
        </w:rPr>
      </w:pPr>
      <w:r w:rsidRPr="00772DEF">
        <w:rPr>
          <w:rFonts w:cs="Times New Roman"/>
          <w:szCs w:val="24"/>
        </w:rPr>
        <w:br w:type="page"/>
      </w:r>
    </w:p>
    <w:p w14:paraId="007323DF" w14:textId="77777777" w:rsidR="0056063A" w:rsidRPr="00772DEF" w:rsidRDefault="00000000" w:rsidP="00772DEF">
      <w:pPr>
        <w:spacing w:after="120" w:line="300" w:lineRule="auto"/>
        <w:rPr>
          <w:rFonts w:cs="Times New Roman"/>
          <w:szCs w:val="24"/>
        </w:rPr>
      </w:pPr>
      <w:r w:rsidRPr="00772DEF">
        <w:rPr>
          <w:rFonts w:cs="Times New Roman"/>
          <w:b/>
          <w:szCs w:val="24"/>
        </w:rPr>
        <w:lastRenderedPageBreak/>
        <w:t>Table 3</w:t>
      </w:r>
      <w:r w:rsidRPr="00772DEF">
        <w:rPr>
          <w:rFonts w:cs="Times New Roman"/>
          <w:szCs w:val="24"/>
        </w:rPr>
        <w:t xml:space="preserve"> Robustness checks, timing of coverage, and heterogeneity by initial ESG score</w:t>
      </w:r>
    </w:p>
    <w:tbl>
      <w:tblPr>
        <w:tblW w:w="0" w:type="auto"/>
        <w:jc w:val="center"/>
        <w:tblLayout w:type="fixed"/>
        <w:tblCellMar>
          <w:top w:w="40" w:type="dxa"/>
          <w:left w:w="85" w:type="dxa"/>
          <w:bottom w:w="40" w:type="dxa"/>
          <w:right w:w="85" w:type="dxa"/>
        </w:tblCellMar>
        <w:tblLook w:val="04A0" w:firstRow="1" w:lastRow="0" w:firstColumn="1" w:lastColumn="0" w:noHBand="0" w:noVBand="1"/>
      </w:tblPr>
      <w:tblGrid>
        <w:gridCol w:w="2736"/>
        <w:gridCol w:w="1656"/>
        <w:gridCol w:w="1656"/>
        <w:gridCol w:w="1656"/>
        <w:gridCol w:w="1656"/>
      </w:tblGrid>
      <w:tr w:rsidR="0056063A" w:rsidRPr="00772DEF" w14:paraId="0339DE1E" w14:textId="77777777">
        <w:trPr>
          <w:jc w:val="center"/>
        </w:trPr>
        <w:tc>
          <w:tcPr>
            <w:tcW w:w="2736" w:type="dxa"/>
            <w:tcBorders>
              <w:top w:val="single" w:sz="6" w:space="0" w:color="000000"/>
              <w:bottom w:val="single" w:sz="6" w:space="0" w:color="000000"/>
            </w:tcBorders>
          </w:tcPr>
          <w:p w14:paraId="5C33C394" w14:textId="77777777" w:rsidR="0056063A" w:rsidRPr="00772DEF" w:rsidRDefault="00000000" w:rsidP="00772DEF">
            <w:pPr>
              <w:spacing w:after="0" w:line="300" w:lineRule="auto"/>
              <w:rPr>
                <w:rFonts w:cs="Times New Roman"/>
                <w:szCs w:val="24"/>
              </w:rPr>
            </w:pPr>
            <w:r w:rsidRPr="00772DEF">
              <w:rPr>
                <w:rFonts w:cs="Times New Roman"/>
                <w:b/>
                <w:szCs w:val="24"/>
              </w:rPr>
              <w:t>Specification</w:t>
            </w:r>
          </w:p>
        </w:tc>
        <w:tc>
          <w:tcPr>
            <w:tcW w:w="1656" w:type="dxa"/>
            <w:tcBorders>
              <w:top w:val="single" w:sz="6" w:space="0" w:color="000000"/>
              <w:bottom w:val="single" w:sz="6" w:space="0" w:color="000000"/>
            </w:tcBorders>
          </w:tcPr>
          <w:p w14:paraId="48E2ECFE" w14:textId="77777777" w:rsidR="0056063A" w:rsidRPr="00772DEF" w:rsidRDefault="00000000" w:rsidP="00772DEF">
            <w:pPr>
              <w:spacing w:after="0" w:line="300" w:lineRule="auto"/>
              <w:jc w:val="center"/>
              <w:rPr>
                <w:rFonts w:cs="Times New Roman"/>
                <w:szCs w:val="24"/>
              </w:rPr>
            </w:pPr>
            <w:r w:rsidRPr="00772DEF">
              <w:rPr>
                <w:rFonts w:cs="Times New Roman"/>
                <w:b/>
                <w:szCs w:val="24"/>
              </w:rPr>
              <w:t>ln(MTB)</w:t>
            </w:r>
          </w:p>
        </w:tc>
        <w:tc>
          <w:tcPr>
            <w:tcW w:w="1656" w:type="dxa"/>
            <w:tcBorders>
              <w:top w:val="single" w:sz="6" w:space="0" w:color="000000"/>
              <w:bottom w:val="single" w:sz="6" w:space="0" w:color="000000"/>
            </w:tcBorders>
          </w:tcPr>
          <w:p w14:paraId="44AAA49D" w14:textId="77777777" w:rsidR="0056063A" w:rsidRPr="00772DEF" w:rsidRDefault="00000000" w:rsidP="00772DEF">
            <w:pPr>
              <w:spacing w:after="0" w:line="300" w:lineRule="auto"/>
              <w:jc w:val="center"/>
              <w:rPr>
                <w:rFonts w:cs="Times New Roman"/>
                <w:szCs w:val="24"/>
              </w:rPr>
            </w:pPr>
            <w:r w:rsidRPr="00772DEF">
              <w:rPr>
                <w:rFonts w:cs="Times New Roman"/>
                <w:b/>
                <w:szCs w:val="24"/>
              </w:rPr>
              <w:t>ln(market cap)</w:t>
            </w:r>
          </w:p>
        </w:tc>
        <w:tc>
          <w:tcPr>
            <w:tcW w:w="1656" w:type="dxa"/>
            <w:tcBorders>
              <w:top w:val="single" w:sz="6" w:space="0" w:color="000000"/>
              <w:bottom w:val="single" w:sz="6" w:space="0" w:color="000000"/>
            </w:tcBorders>
          </w:tcPr>
          <w:p w14:paraId="6179FACB" w14:textId="77777777" w:rsidR="0056063A" w:rsidRPr="00772DEF" w:rsidRDefault="00000000" w:rsidP="00772DEF">
            <w:pPr>
              <w:spacing w:after="0" w:line="300" w:lineRule="auto"/>
              <w:jc w:val="center"/>
              <w:rPr>
                <w:rFonts w:cs="Times New Roman"/>
                <w:szCs w:val="24"/>
              </w:rPr>
            </w:pPr>
            <w:r w:rsidRPr="00772DEF">
              <w:rPr>
                <w:rFonts w:cs="Times New Roman"/>
                <w:b/>
                <w:szCs w:val="24"/>
              </w:rPr>
              <w:t>Leverage (ratio)</w:t>
            </w:r>
          </w:p>
        </w:tc>
        <w:tc>
          <w:tcPr>
            <w:tcW w:w="1656" w:type="dxa"/>
            <w:tcBorders>
              <w:top w:val="single" w:sz="6" w:space="0" w:color="000000"/>
              <w:bottom w:val="single" w:sz="6" w:space="0" w:color="000000"/>
            </w:tcBorders>
          </w:tcPr>
          <w:p w14:paraId="1F971CD5" w14:textId="77777777" w:rsidR="0056063A" w:rsidRPr="00772DEF" w:rsidRDefault="00000000" w:rsidP="00772DEF">
            <w:pPr>
              <w:spacing w:after="0" w:line="300" w:lineRule="auto"/>
              <w:jc w:val="center"/>
              <w:rPr>
                <w:rFonts w:cs="Times New Roman"/>
                <w:szCs w:val="24"/>
              </w:rPr>
            </w:pPr>
            <w:r w:rsidRPr="00772DEF">
              <w:rPr>
                <w:rFonts w:cs="Times New Roman"/>
                <w:b/>
                <w:szCs w:val="24"/>
              </w:rPr>
              <w:t>ln(assets)</w:t>
            </w:r>
          </w:p>
        </w:tc>
      </w:tr>
      <w:tr w:rsidR="0056063A" w:rsidRPr="00772DEF" w14:paraId="5D69DD93" w14:textId="77777777">
        <w:trPr>
          <w:jc w:val="center"/>
        </w:trPr>
        <w:tc>
          <w:tcPr>
            <w:tcW w:w="2736" w:type="dxa"/>
          </w:tcPr>
          <w:p w14:paraId="5E0AC3FE" w14:textId="77777777" w:rsidR="0056063A" w:rsidRPr="00772DEF" w:rsidRDefault="00000000" w:rsidP="00772DEF">
            <w:pPr>
              <w:spacing w:after="0" w:line="300" w:lineRule="auto"/>
              <w:rPr>
                <w:rFonts w:cs="Times New Roman"/>
                <w:szCs w:val="24"/>
              </w:rPr>
            </w:pPr>
            <w:r w:rsidRPr="00772DEF">
              <w:rPr>
                <w:rFonts w:cs="Times New Roman"/>
                <w:szCs w:val="24"/>
              </w:rPr>
              <w:t>Baseline</w:t>
            </w:r>
          </w:p>
        </w:tc>
        <w:tc>
          <w:tcPr>
            <w:tcW w:w="1656" w:type="dxa"/>
          </w:tcPr>
          <w:p w14:paraId="5E0DCFB9" w14:textId="77777777" w:rsidR="0056063A" w:rsidRPr="00772DEF" w:rsidRDefault="00000000" w:rsidP="00A055E1">
            <w:pPr>
              <w:spacing w:after="0" w:line="300" w:lineRule="auto"/>
              <w:rPr>
                <w:rFonts w:cs="Times New Roman"/>
                <w:szCs w:val="24"/>
              </w:rPr>
            </w:pPr>
            <w:r w:rsidRPr="00772DEF">
              <w:rPr>
                <w:rFonts w:cs="Times New Roman"/>
                <w:szCs w:val="24"/>
              </w:rPr>
              <w:t>0.002 (0.024)</w:t>
            </w:r>
          </w:p>
        </w:tc>
        <w:tc>
          <w:tcPr>
            <w:tcW w:w="1656" w:type="dxa"/>
          </w:tcPr>
          <w:p w14:paraId="52E6E4FE" w14:textId="77777777" w:rsidR="0056063A" w:rsidRPr="00772DEF" w:rsidRDefault="00000000" w:rsidP="00A055E1">
            <w:pPr>
              <w:spacing w:after="0" w:line="300" w:lineRule="auto"/>
              <w:rPr>
                <w:rFonts w:cs="Times New Roman"/>
                <w:szCs w:val="24"/>
              </w:rPr>
            </w:pPr>
            <w:r w:rsidRPr="00772DEF">
              <w:rPr>
                <w:rFonts w:cs="Times New Roman"/>
                <w:szCs w:val="24"/>
              </w:rPr>
              <w:t>−0.055* (0.030)</w:t>
            </w:r>
          </w:p>
        </w:tc>
        <w:tc>
          <w:tcPr>
            <w:tcW w:w="1656" w:type="dxa"/>
          </w:tcPr>
          <w:p w14:paraId="7EEBB69E" w14:textId="77777777" w:rsidR="0056063A" w:rsidRPr="00772DEF" w:rsidRDefault="00000000" w:rsidP="00A055E1">
            <w:pPr>
              <w:spacing w:after="0" w:line="300" w:lineRule="auto"/>
              <w:rPr>
                <w:rFonts w:cs="Times New Roman"/>
                <w:szCs w:val="24"/>
              </w:rPr>
            </w:pPr>
            <w:r w:rsidRPr="00772DEF">
              <w:rPr>
                <w:rFonts w:cs="Times New Roman"/>
                <w:szCs w:val="24"/>
              </w:rPr>
              <w:t>0.008* (0.005)</w:t>
            </w:r>
          </w:p>
        </w:tc>
        <w:tc>
          <w:tcPr>
            <w:tcW w:w="1656" w:type="dxa"/>
          </w:tcPr>
          <w:p w14:paraId="33C9BD24" w14:textId="77777777" w:rsidR="0056063A" w:rsidRPr="00772DEF" w:rsidRDefault="00000000" w:rsidP="00A055E1">
            <w:pPr>
              <w:spacing w:after="0" w:line="300" w:lineRule="auto"/>
              <w:rPr>
                <w:rFonts w:cs="Times New Roman"/>
                <w:szCs w:val="24"/>
              </w:rPr>
            </w:pPr>
            <w:r w:rsidRPr="00772DEF">
              <w:rPr>
                <w:rFonts w:cs="Times New Roman"/>
                <w:szCs w:val="24"/>
              </w:rPr>
              <w:t>0.044** (0.018)</w:t>
            </w:r>
          </w:p>
        </w:tc>
      </w:tr>
      <w:tr w:rsidR="0056063A" w:rsidRPr="00772DEF" w14:paraId="3F8108E1" w14:textId="77777777">
        <w:trPr>
          <w:jc w:val="center"/>
        </w:trPr>
        <w:tc>
          <w:tcPr>
            <w:tcW w:w="2736" w:type="dxa"/>
          </w:tcPr>
          <w:p w14:paraId="416645E4" w14:textId="77777777" w:rsidR="0056063A" w:rsidRPr="00772DEF" w:rsidRDefault="00000000" w:rsidP="00772DEF">
            <w:pPr>
              <w:spacing w:after="0" w:line="300" w:lineRule="auto"/>
              <w:rPr>
                <w:rFonts w:cs="Times New Roman"/>
                <w:szCs w:val="24"/>
              </w:rPr>
            </w:pPr>
            <w:r w:rsidRPr="00772DEF">
              <w:rPr>
                <w:rFonts w:cs="Times New Roman"/>
                <w:szCs w:val="24"/>
              </w:rPr>
              <w:t>R1 Not-yet-scored in controls</w:t>
            </w:r>
          </w:p>
        </w:tc>
        <w:tc>
          <w:tcPr>
            <w:tcW w:w="1656" w:type="dxa"/>
          </w:tcPr>
          <w:p w14:paraId="0B940E7A" w14:textId="77777777" w:rsidR="0056063A" w:rsidRPr="00772DEF" w:rsidRDefault="00000000" w:rsidP="00A055E1">
            <w:pPr>
              <w:spacing w:after="0" w:line="300" w:lineRule="auto"/>
              <w:rPr>
                <w:rFonts w:cs="Times New Roman"/>
                <w:szCs w:val="24"/>
              </w:rPr>
            </w:pPr>
            <w:r w:rsidRPr="00772DEF">
              <w:rPr>
                <w:rFonts w:cs="Times New Roman"/>
                <w:szCs w:val="24"/>
              </w:rPr>
              <w:t>−0.001 (0.024)</w:t>
            </w:r>
          </w:p>
        </w:tc>
        <w:tc>
          <w:tcPr>
            <w:tcW w:w="1656" w:type="dxa"/>
          </w:tcPr>
          <w:p w14:paraId="49FC1F35" w14:textId="77777777" w:rsidR="0056063A" w:rsidRPr="00772DEF" w:rsidRDefault="00000000" w:rsidP="00A055E1">
            <w:pPr>
              <w:spacing w:after="0" w:line="300" w:lineRule="auto"/>
              <w:rPr>
                <w:rFonts w:cs="Times New Roman"/>
                <w:szCs w:val="24"/>
              </w:rPr>
            </w:pPr>
            <w:r w:rsidRPr="00772DEF">
              <w:rPr>
                <w:rFonts w:cs="Times New Roman"/>
                <w:szCs w:val="24"/>
              </w:rPr>
              <w:t>−0.053* (0.029)</w:t>
            </w:r>
          </w:p>
        </w:tc>
        <w:tc>
          <w:tcPr>
            <w:tcW w:w="1656" w:type="dxa"/>
          </w:tcPr>
          <w:p w14:paraId="684619A1" w14:textId="77777777" w:rsidR="0056063A" w:rsidRPr="00772DEF" w:rsidRDefault="00000000" w:rsidP="00A055E1">
            <w:pPr>
              <w:spacing w:after="0" w:line="300" w:lineRule="auto"/>
              <w:rPr>
                <w:rFonts w:cs="Times New Roman"/>
                <w:szCs w:val="24"/>
              </w:rPr>
            </w:pPr>
            <w:r w:rsidRPr="00772DEF">
              <w:rPr>
                <w:rFonts w:cs="Times New Roman"/>
                <w:szCs w:val="24"/>
              </w:rPr>
              <w:t>0.009* (0.005)</w:t>
            </w:r>
          </w:p>
        </w:tc>
        <w:tc>
          <w:tcPr>
            <w:tcW w:w="1656" w:type="dxa"/>
          </w:tcPr>
          <w:p w14:paraId="64522C79" w14:textId="77777777" w:rsidR="0056063A" w:rsidRPr="00772DEF" w:rsidRDefault="00000000" w:rsidP="00A055E1">
            <w:pPr>
              <w:spacing w:after="0" w:line="300" w:lineRule="auto"/>
              <w:rPr>
                <w:rFonts w:cs="Times New Roman"/>
                <w:szCs w:val="24"/>
              </w:rPr>
            </w:pPr>
            <w:r w:rsidRPr="00772DEF">
              <w:rPr>
                <w:rFonts w:cs="Times New Roman"/>
                <w:szCs w:val="24"/>
              </w:rPr>
              <w:t>0.040** (0.017)</w:t>
            </w:r>
          </w:p>
        </w:tc>
      </w:tr>
      <w:tr w:rsidR="0056063A" w:rsidRPr="00772DEF" w14:paraId="14381E63" w14:textId="77777777">
        <w:trPr>
          <w:jc w:val="center"/>
        </w:trPr>
        <w:tc>
          <w:tcPr>
            <w:tcW w:w="2736" w:type="dxa"/>
          </w:tcPr>
          <w:p w14:paraId="543E814B" w14:textId="77777777" w:rsidR="0056063A" w:rsidRPr="00772DEF" w:rsidRDefault="00000000" w:rsidP="00772DEF">
            <w:pPr>
              <w:spacing w:after="0" w:line="300" w:lineRule="auto"/>
              <w:rPr>
                <w:rFonts w:cs="Times New Roman"/>
                <w:szCs w:val="24"/>
              </w:rPr>
            </w:pPr>
            <w:r w:rsidRPr="00772DEF">
              <w:rPr>
                <w:rFonts w:cs="Times New Roman"/>
                <w:szCs w:val="24"/>
              </w:rPr>
              <w:t>R2 No covariates</w:t>
            </w:r>
          </w:p>
        </w:tc>
        <w:tc>
          <w:tcPr>
            <w:tcW w:w="1656" w:type="dxa"/>
          </w:tcPr>
          <w:p w14:paraId="7CF3071D" w14:textId="77777777" w:rsidR="0056063A" w:rsidRPr="00772DEF" w:rsidRDefault="00000000" w:rsidP="00A055E1">
            <w:pPr>
              <w:spacing w:after="0" w:line="300" w:lineRule="auto"/>
              <w:rPr>
                <w:rFonts w:cs="Times New Roman"/>
                <w:szCs w:val="24"/>
              </w:rPr>
            </w:pPr>
            <w:r w:rsidRPr="00772DEF">
              <w:rPr>
                <w:rFonts w:cs="Times New Roman"/>
                <w:szCs w:val="24"/>
              </w:rPr>
              <w:t>0.025 (0.022)</w:t>
            </w:r>
          </w:p>
        </w:tc>
        <w:tc>
          <w:tcPr>
            <w:tcW w:w="1656" w:type="dxa"/>
          </w:tcPr>
          <w:p w14:paraId="1264E0D2" w14:textId="77777777" w:rsidR="0056063A" w:rsidRPr="00772DEF" w:rsidRDefault="00000000" w:rsidP="00A055E1">
            <w:pPr>
              <w:spacing w:after="0" w:line="300" w:lineRule="auto"/>
              <w:rPr>
                <w:rFonts w:cs="Times New Roman"/>
                <w:szCs w:val="24"/>
              </w:rPr>
            </w:pPr>
            <w:r w:rsidRPr="00772DEF">
              <w:rPr>
                <w:rFonts w:cs="Times New Roman"/>
                <w:szCs w:val="24"/>
              </w:rPr>
              <w:t>0.016 (0.025)</w:t>
            </w:r>
          </w:p>
        </w:tc>
        <w:tc>
          <w:tcPr>
            <w:tcW w:w="1656" w:type="dxa"/>
          </w:tcPr>
          <w:p w14:paraId="43118060" w14:textId="77777777" w:rsidR="0056063A" w:rsidRPr="00772DEF" w:rsidRDefault="00000000" w:rsidP="00A055E1">
            <w:pPr>
              <w:spacing w:after="0" w:line="300" w:lineRule="auto"/>
              <w:rPr>
                <w:rFonts w:cs="Times New Roman"/>
                <w:szCs w:val="24"/>
              </w:rPr>
            </w:pPr>
            <w:r w:rsidRPr="00772DEF">
              <w:rPr>
                <w:rFonts w:cs="Times New Roman"/>
                <w:szCs w:val="24"/>
              </w:rPr>
              <w:t>0.012*** (0.004)</w:t>
            </w:r>
          </w:p>
        </w:tc>
        <w:tc>
          <w:tcPr>
            <w:tcW w:w="1656" w:type="dxa"/>
          </w:tcPr>
          <w:p w14:paraId="1176C389" w14:textId="77777777" w:rsidR="0056063A" w:rsidRPr="00772DEF" w:rsidRDefault="00000000" w:rsidP="00A055E1">
            <w:pPr>
              <w:spacing w:after="0" w:line="300" w:lineRule="auto"/>
              <w:rPr>
                <w:rFonts w:cs="Times New Roman"/>
                <w:szCs w:val="24"/>
              </w:rPr>
            </w:pPr>
            <w:r w:rsidRPr="00772DEF">
              <w:rPr>
                <w:rFonts w:cs="Times New Roman"/>
                <w:szCs w:val="24"/>
              </w:rPr>
              <w:t>0.011 (0.015)</w:t>
            </w:r>
          </w:p>
        </w:tc>
      </w:tr>
      <w:tr w:rsidR="0056063A" w:rsidRPr="00772DEF" w14:paraId="45FC996C" w14:textId="77777777">
        <w:trPr>
          <w:jc w:val="center"/>
        </w:trPr>
        <w:tc>
          <w:tcPr>
            <w:tcW w:w="2736" w:type="dxa"/>
          </w:tcPr>
          <w:p w14:paraId="47F2779C" w14:textId="77777777" w:rsidR="0056063A" w:rsidRPr="00772DEF" w:rsidRDefault="00000000" w:rsidP="00772DEF">
            <w:pPr>
              <w:spacing w:after="0" w:line="300" w:lineRule="auto"/>
              <w:rPr>
                <w:rFonts w:cs="Times New Roman"/>
                <w:szCs w:val="24"/>
              </w:rPr>
            </w:pPr>
            <w:r w:rsidRPr="00772DEF">
              <w:rPr>
                <w:rFonts w:cs="Times New Roman"/>
                <w:szCs w:val="24"/>
              </w:rPr>
              <w:t>R3 No 2020–2021 cohorts</w:t>
            </w:r>
          </w:p>
        </w:tc>
        <w:tc>
          <w:tcPr>
            <w:tcW w:w="1656" w:type="dxa"/>
          </w:tcPr>
          <w:p w14:paraId="3BE365A0" w14:textId="77777777" w:rsidR="0056063A" w:rsidRPr="00772DEF" w:rsidRDefault="00000000" w:rsidP="00A055E1">
            <w:pPr>
              <w:spacing w:after="0" w:line="300" w:lineRule="auto"/>
              <w:rPr>
                <w:rFonts w:cs="Times New Roman"/>
                <w:szCs w:val="24"/>
              </w:rPr>
            </w:pPr>
            <w:r w:rsidRPr="00772DEF">
              <w:rPr>
                <w:rFonts w:cs="Times New Roman"/>
                <w:szCs w:val="24"/>
              </w:rPr>
              <w:t>0.031 (0.027)</w:t>
            </w:r>
          </w:p>
        </w:tc>
        <w:tc>
          <w:tcPr>
            <w:tcW w:w="1656" w:type="dxa"/>
          </w:tcPr>
          <w:p w14:paraId="1DBE8FAE" w14:textId="77777777" w:rsidR="0056063A" w:rsidRPr="00772DEF" w:rsidRDefault="00000000" w:rsidP="00A055E1">
            <w:pPr>
              <w:spacing w:after="0" w:line="300" w:lineRule="auto"/>
              <w:rPr>
                <w:rFonts w:cs="Times New Roman"/>
                <w:szCs w:val="24"/>
              </w:rPr>
            </w:pPr>
            <w:r w:rsidRPr="00772DEF">
              <w:rPr>
                <w:rFonts w:cs="Times New Roman"/>
                <w:szCs w:val="24"/>
              </w:rPr>
              <w:t>−0.029 (0.036)</w:t>
            </w:r>
          </w:p>
        </w:tc>
        <w:tc>
          <w:tcPr>
            <w:tcW w:w="1656" w:type="dxa"/>
          </w:tcPr>
          <w:p w14:paraId="329AD6E9" w14:textId="77777777" w:rsidR="0056063A" w:rsidRPr="00772DEF" w:rsidRDefault="00000000" w:rsidP="00A055E1">
            <w:pPr>
              <w:spacing w:after="0" w:line="300" w:lineRule="auto"/>
              <w:rPr>
                <w:rFonts w:cs="Times New Roman"/>
                <w:szCs w:val="24"/>
              </w:rPr>
            </w:pPr>
            <w:r w:rsidRPr="00772DEF">
              <w:rPr>
                <w:rFonts w:cs="Times New Roman"/>
                <w:szCs w:val="24"/>
              </w:rPr>
              <w:t>0.004 (0.005)</w:t>
            </w:r>
          </w:p>
        </w:tc>
        <w:tc>
          <w:tcPr>
            <w:tcW w:w="1656" w:type="dxa"/>
          </w:tcPr>
          <w:p w14:paraId="7933742B" w14:textId="77777777" w:rsidR="0056063A" w:rsidRPr="00772DEF" w:rsidRDefault="00000000" w:rsidP="00A055E1">
            <w:pPr>
              <w:spacing w:after="0" w:line="300" w:lineRule="auto"/>
              <w:rPr>
                <w:rFonts w:cs="Times New Roman"/>
                <w:szCs w:val="24"/>
              </w:rPr>
            </w:pPr>
            <w:r w:rsidRPr="00772DEF">
              <w:rPr>
                <w:rFonts w:cs="Times New Roman"/>
                <w:szCs w:val="24"/>
              </w:rPr>
              <w:t>0.020 (0.019)</w:t>
            </w:r>
          </w:p>
        </w:tc>
      </w:tr>
      <w:tr w:rsidR="0056063A" w:rsidRPr="00772DEF" w14:paraId="1222642D" w14:textId="77777777">
        <w:trPr>
          <w:jc w:val="center"/>
        </w:trPr>
        <w:tc>
          <w:tcPr>
            <w:tcW w:w="2736" w:type="dxa"/>
          </w:tcPr>
          <w:p w14:paraId="06968B32" w14:textId="77777777" w:rsidR="0056063A" w:rsidRPr="00772DEF" w:rsidRDefault="00000000" w:rsidP="00772DEF">
            <w:pPr>
              <w:spacing w:after="0" w:line="300" w:lineRule="auto"/>
              <w:rPr>
                <w:rFonts w:cs="Times New Roman"/>
                <w:szCs w:val="24"/>
              </w:rPr>
            </w:pPr>
            <w:r w:rsidRPr="00772DEF">
              <w:rPr>
                <w:rFonts w:cs="Times New Roman"/>
                <w:szCs w:val="24"/>
              </w:rPr>
              <w:t>R4 Size-trimmed controls</w:t>
            </w:r>
          </w:p>
        </w:tc>
        <w:tc>
          <w:tcPr>
            <w:tcW w:w="1656" w:type="dxa"/>
          </w:tcPr>
          <w:p w14:paraId="5866B12A" w14:textId="77777777" w:rsidR="0056063A" w:rsidRPr="00772DEF" w:rsidRDefault="00000000" w:rsidP="00A055E1">
            <w:pPr>
              <w:spacing w:after="0" w:line="300" w:lineRule="auto"/>
              <w:rPr>
                <w:rFonts w:cs="Times New Roman"/>
                <w:szCs w:val="24"/>
              </w:rPr>
            </w:pPr>
            <w:r w:rsidRPr="00772DEF">
              <w:rPr>
                <w:rFonts w:cs="Times New Roman"/>
                <w:szCs w:val="24"/>
              </w:rPr>
              <w:t>0.016 (0.025)</w:t>
            </w:r>
          </w:p>
        </w:tc>
        <w:tc>
          <w:tcPr>
            <w:tcW w:w="1656" w:type="dxa"/>
          </w:tcPr>
          <w:p w14:paraId="76A77457" w14:textId="77777777" w:rsidR="0056063A" w:rsidRPr="00772DEF" w:rsidRDefault="00000000" w:rsidP="00A055E1">
            <w:pPr>
              <w:spacing w:after="0" w:line="300" w:lineRule="auto"/>
              <w:rPr>
                <w:rFonts w:cs="Times New Roman"/>
                <w:szCs w:val="24"/>
              </w:rPr>
            </w:pPr>
            <w:r w:rsidRPr="00772DEF">
              <w:rPr>
                <w:rFonts w:cs="Times New Roman"/>
                <w:szCs w:val="24"/>
              </w:rPr>
              <w:t>−0.007 (0.031)</w:t>
            </w:r>
          </w:p>
        </w:tc>
        <w:tc>
          <w:tcPr>
            <w:tcW w:w="1656" w:type="dxa"/>
          </w:tcPr>
          <w:p w14:paraId="112736E1" w14:textId="77777777" w:rsidR="0056063A" w:rsidRPr="00772DEF" w:rsidRDefault="00000000" w:rsidP="00A055E1">
            <w:pPr>
              <w:spacing w:after="0" w:line="300" w:lineRule="auto"/>
              <w:rPr>
                <w:rFonts w:cs="Times New Roman"/>
                <w:szCs w:val="24"/>
              </w:rPr>
            </w:pPr>
            <w:r w:rsidRPr="00772DEF">
              <w:rPr>
                <w:rFonts w:cs="Times New Roman"/>
                <w:szCs w:val="24"/>
              </w:rPr>
              <w:t>0.009* (0.005)</w:t>
            </w:r>
          </w:p>
        </w:tc>
        <w:tc>
          <w:tcPr>
            <w:tcW w:w="1656" w:type="dxa"/>
          </w:tcPr>
          <w:p w14:paraId="28710039" w14:textId="77777777" w:rsidR="0056063A" w:rsidRPr="00772DEF" w:rsidRDefault="00000000" w:rsidP="00A055E1">
            <w:pPr>
              <w:spacing w:after="0" w:line="300" w:lineRule="auto"/>
              <w:rPr>
                <w:rFonts w:cs="Times New Roman"/>
                <w:szCs w:val="24"/>
              </w:rPr>
            </w:pPr>
            <w:r w:rsidRPr="00772DEF">
              <w:rPr>
                <w:rFonts w:cs="Times New Roman"/>
                <w:szCs w:val="24"/>
              </w:rPr>
              <w:t>0.101*** (0.017)</w:t>
            </w:r>
          </w:p>
        </w:tc>
      </w:tr>
      <w:tr w:rsidR="0056063A" w:rsidRPr="00772DEF" w14:paraId="4834D925" w14:textId="77777777">
        <w:trPr>
          <w:jc w:val="center"/>
        </w:trPr>
        <w:tc>
          <w:tcPr>
            <w:tcW w:w="2736" w:type="dxa"/>
          </w:tcPr>
          <w:p w14:paraId="4C69C12D" w14:textId="77777777" w:rsidR="0056063A" w:rsidRPr="00772DEF" w:rsidRDefault="00000000" w:rsidP="00772DEF">
            <w:pPr>
              <w:spacing w:after="0" w:line="300" w:lineRule="auto"/>
              <w:rPr>
                <w:rFonts w:cs="Times New Roman"/>
                <w:szCs w:val="24"/>
              </w:rPr>
            </w:pPr>
            <w:r w:rsidRPr="00772DEF">
              <w:rPr>
                <w:rFonts w:cs="Times New Roman"/>
                <w:szCs w:val="24"/>
              </w:rPr>
              <w:t>R5 Placebo, 3 years early</w:t>
            </w:r>
          </w:p>
        </w:tc>
        <w:tc>
          <w:tcPr>
            <w:tcW w:w="1656" w:type="dxa"/>
          </w:tcPr>
          <w:p w14:paraId="1024C958" w14:textId="77777777" w:rsidR="0056063A" w:rsidRPr="00772DEF" w:rsidRDefault="00000000" w:rsidP="00A055E1">
            <w:pPr>
              <w:spacing w:after="0" w:line="300" w:lineRule="auto"/>
              <w:rPr>
                <w:rFonts w:cs="Times New Roman"/>
                <w:szCs w:val="24"/>
              </w:rPr>
            </w:pPr>
            <w:r w:rsidRPr="00772DEF">
              <w:rPr>
                <w:rFonts w:cs="Times New Roman"/>
                <w:szCs w:val="24"/>
              </w:rPr>
              <w:t>0.059*** (0.023)</w:t>
            </w:r>
          </w:p>
        </w:tc>
        <w:tc>
          <w:tcPr>
            <w:tcW w:w="1656" w:type="dxa"/>
          </w:tcPr>
          <w:p w14:paraId="6E4D0151" w14:textId="77777777" w:rsidR="0056063A" w:rsidRPr="00772DEF" w:rsidRDefault="00000000" w:rsidP="00A055E1">
            <w:pPr>
              <w:spacing w:after="0" w:line="300" w:lineRule="auto"/>
              <w:rPr>
                <w:rFonts w:cs="Times New Roman"/>
                <w:szCs w:val="24"/>
              </w:rPr>
            </w:pPr>
            <w:r w:rsidRPr="00772DEF">
              <w:rPr>
                <w:rFonts w:cs="Times New Roman"/>
                <w:szCs w:val="24"/>
              </w:rPr>
              <w:t>0.134*** (0.028)</w:t>
            </w:r>
          </w:p>
        </w:tc>
        <w:tc>
          <w:tcPr>
            <w:tcW w:w="1656" w:type="dxa"/>
          </w:tcPr>
          <w:p w14:paraId="1B388427" w14:textId="77777777" w:rsidR="0056063A" w:rsidRPr="00772DEF" w:rsidRDefault="00000000" w:rsidP="00A055E1">
            <w:pPr>
              <w:spacing w:after="0" w:line="300" w:lineRule="auto"/>
              <w:rPr>
                <w:rFonts w:cs="Times New Roman"/>
                <w:szCs w:val="24"/>
              </w:rPr>
            </w:pPr>
            <w:r w:rsidRPr="00772DEF">
              <w:rPr>
                <w:rFonts w:cs="Times New Roman"/>
                <w:szCs w:val="24"/>
              </w:rPr>
              <w:t>−0.002 (0.005)</w:t>
            </w:r>
          </w:p>
        </w:tc>
        <w:tc>
          <w:tcPr>
            <w:tcW w:w="1656" w:type="dxa"/>
          </w:tcPr>
          <w:p w14:paraId="62328C14" w14:textId="77777777" w:rsidR="0056063A" w:rsidRPr="00772DEF" w:rsidRDefault="00000000" w:rsidP="00A055E1">
            <w:pPr>
              <w:spacing w:after="0" w:line="300" w:lineRule="auto"/>
              <w:rPr>
                <w:rFonts w:cs="Times New Roman"/>
                <w:szCs w:val="24"/>
              </w:rPr>
            </w:pPr>
            <w:r w:rsidRPr="00772DEF">
              <w:rPr>
                <w:rFonts w:cs="Times New Roman"/>
                <w:szCs w:val="24"/>
              </w:rPr>
              <w:t>0.115*** (0.015)</w:t>
            </w:r>
          </w:p>
        </w:tc>
      </w:tr>
      <w:tr w:rsidR="0056063A" w:rsidRPr="00772DEF" w14:paraId="6922B240" w14:textId="77777777">
        <w:trPr>
          <w:jc w:val="center"/>
        </w:trPr>
        <w:tc>
          <w:tcPr>
            <w:tcW w:w="2736" w:type="dxa"/>
          </w:tcPr>
          <w:p w14:paraId="2E7B4047" w14:textId="77777777" w:rsidR="0056063A" w:rsidRPr="00772DEF" w:rsidRDefault="00000000" w:rsidP="00772DEF">
            <w:pPr>
              <w:spacing w:after="0" w:line="300" w:lineRule="auto"/>
              <w:rPr>
                <w:rFonts w:cs="Times New Roman"/>
                <w:szCs w:val="24"/>
              </w:rPr>
            </w:pPr>
            <w:r w:rsidRPr="00772DEF">
              <w:rPr>
                <w:rFonts w:cs="Times New Roman"/>
                <w:szCs w:val="24"/>
              </w:rPr>
              <w:t>R6 Two-way fixed effects</w:t>
            </w:r>
          </w:p>
        </w:tc>
        <w:tc>
          <w:tcPr>
            <w:tcW w:w="1656" w:type="dxa"/>
          </w:tcPr>
          <w:p w14:paraId="495DA37B" w14:textId="77777777" w:rsidR="0056063A" w:rsidRPr="00772DEF" w:rsidRDefault="00000000" w:rsidP="00A055E1">
            <w:pPr>
              <w:spacing w:after="0" w:line="300" w:lineRule="auto"/>
              <w:rPr>
                <w:rFonts w:cs="Times New Roman"/>
                <w:szCs w:val="24"/>
              </w:rPr>
            </w:pPr>
            <w:r w:rsidRPr="00772DEF">
              <w:rPr>
                <w:rFonts w:cs="Times New Roman"/>
                <w:szCs w:val="24"/>
              </w:rPr>
              <w:t>0.064** (0.026)</w:t>
            </w:r>
          </w:p>
        </w:tc>
        <w:tc>
          <w:tcPr>
            <w:tcW w:w="1656" w:type="dxa"/>
          </w:tcPr>
          <w:p w14:paraId="28558EA9" w14:textId="77777777" w:rsidR="0056063A" w:rsidRPr="00772DEF" w:rsidRDefault="00000000" w:rsidP="00A055E1">
            <w:pPr>
              <w:spacing w:after="0" w:line="300" w:lineRule="auto"/>
              <w:rPr>
                <w:rFonts w:cs="Times New Roman"/>
                <w:szCs w:val="24"/>
              </w:rPr>
            </w:pPr>
            <w:r w:rsidRPr="00772DEF">
              <w:rPr>
                <w:rFonts w:cs="Times New Roman"/>
                <w:szCs w:val="24"/>
              </w:rPr>
              <w:t>0.185*** (0.032)</w:t>
            </w:r>
          </w:p>
        </w:tc>
        <w:tc>
          <w:tcPr>
            <w:tcW w:w="1656" w:type="dxa"/>
          </w:tcPr>
          <w:p w14:paraId="754EAF3A" w14:textId="77777777" w:rsidR="0056063A" w:rsidRPr="00772DEF" w:rsidRDefault="00000000" w:rsidP="00A055E1">
            <w:pPr>
              <w:spacing w:after="0" w:line="300" w:lineRule="auto"/>
              <w:rPr>
                <w:rFonts w:cs="Times New Roman"/>
                <w:szCs w:val="24"/>
              </w:rPr>
            </w:pPr>
            <w:r w:rsidRPr="00772DEF">
              <w:rPr>
                <w:rFonts w:cs="Times New Roman"/>
                <w:szCs w:val="24"/>
              </w:rPr>
              <w:t>0.005 (0.005)</w:t>
            </w:r>
          </w:p>
        </w:tc>
        <w:tc>
          <w:tcPr>
            <w:tcW w:w="1656" w:type="dxa"/>
          </w:tcPr>
          <w:p w14:paraId="66A528FF" w14:textId="77777777" w:rsidR="0056063A" w:rsidRPr="00772DEF" w:rsidRDefault="00000000" w:rsidP="00A055E1">
            <w:pPr>
              <w:spacing w:after="0" w:line="300" w:lineRule="auto"/>
              <w:rPr>
                <w:rFonts w:cs="Times New Roman"/>
                <w:szCs w:val="24"/>
              </w:rPr>
            </w:pPr>
            <w:r w:rsidRPr="00772DEF">
              <w:rPr>
                <w:rFonts w:cs="Times New Roman"/>
                <w:szCs w:val="24"/>
              </w:rPr>
              <w:t>0.117*** (0.022)</w:t>
            </w:r>
          </w:p>
        </w:tc>
      </w:tr>
      <w:tr w:rsidR="0056063A" w:rsidRPr="00772DEF" w14:paraId="62A7917E" w14:textId="77777777">
        <w:trPr>
          <w:jc w:val="center"/>
        </w:trPr>
        <w:tc>
          <w:tcPr>
            <w:tcW w:w="2736" w:type="dxa"/>
          </w:tcPr>
          <w:p w14:paraId="731D2580" w14:textId="77777777" w:rsidR="0056063A" w:rsidRPr="00772DEF" w:rsidRDefault="00000000" w:rsidP="00772DEF">
            <w:pPr>
              <w:spacing w:after="0" w:line="300" w:lineRule="auto"/>
              <w:rPr>
                <w:rFonts w:cs="Times New Roman"/>
                <w:szCs w:val="24"/>
              </w:rPr>
            </w:pPr>
            <w:r w:rsidRPr="00772DEF">
              <w:rPr>
                <w:rFonts w:cs="Times New Roman"/>
                <w:szCs w:val="24"/>
              </w:rPr>
              <w:t>R7 Pre-trend removed</w:t>
            </w:r>
          </w:p>
        </w:tc>
        <w:tc>
          <w:tcPr>
            <w:tcW w:w="1656" w:type="dxa"/>
          </w:tcPr>
          <w:p w14:paraId="4034A10D" w14:textId="77777777" w:rsidR="0056063A" w:rsidRPr="00772DEF" w:rsidRDefault="00000000" w:rsidP="00A055E1">
            <w:pPr>
              <w:spacing w:after="0" w:line="300" w:lineRule="auto"/>
              <w:rPr>
                <w:rFonts w:cs="Times New Roman"/>
                <w:szCs w:val="24"/>
              </w:rPr>
            </w:pPr>
            <w:r w:rsidRPr="00772DEF">
              <w:rPr>
                <w:rFonts w:cs="Times New Roman"/>
                <w:szCs w:val="24"/>
              </w:rPr>
              <w:t>−0.052 (0.034)</w:t>
            </w:r>
          </w:p>
        </w:tc>
        <w:tc>
          <w:tcPr>
            <w:tcW w:w="1656" w:type="dxa"/>
          </w:tcPr>
          <w:p w14:paraId="3E134BCF" w14:textId="77777777" w:rsidR="0056063A" w:rsidRPr="00772DEF" w:rsidRDefault="00000000" w:rsidP="00A055E1">
            <w:pPr>
              <w:spacing w:after="0" w:line="300" w:lineRule="auto"/>
              <w:rPr>
                <w:rFonts w:cs="Times New Roman"/>
                <w:szCs w:val="24"/>
              </w:rPr>
            </w:pPr>
            <w:r w:rsidRPr="00772DEF">
              <w:rPr>
                <w:rFonts w:cs="Times New Roman"/>
                <w:szCs w:val="24"/>
              </w:rPr>
              <w:t>−0.134*** (0.042)</w:t>
            </w:r>
          </w:p>
        </w:tc>
        <w:tc>
          <w:tcPr>
            <w:tcW w:w="1656" w:type="dxa"/>
          </w:tcPr>
          <w:p w14:paraId="0550271C" w14:textId="77777777" w:rsidR="0056063A" w:rsidRPr="00772DEF" w:rsidRDefault="00000000" w:rsidP="00A055E1">
            <w:pPr>
              <w:spacing w:after="0" w:line="300" w:lineRule="auto"/>
              <w:rPr>
                <w:rFonts w:cs="Times New Roman"/>
                <w:szCs w:val="24"/>
              </w:rPr>
            </w:pPr>
            <w:r w:rsidRPr="00772DEF">
              <w:rPr>
                <w:rFonts w:cs="Times New Roman"/>
                <w:szCs w:val="24"/>
              </w:rPr>
              <w:t>0.023*** (0.006)</w:t>
            </w:r>
          </w:p>
        </w:tc>
        <w:tc>
          <w:tcPr>
            <w:tcW w:w="1656" w:type="dxa"/>
          </w:tcPr>
          <w:p w14:paraId="6EF907A7" w14:textId="77777777" w:rsidR="0056063A" w:rsidRPr="00772DEF" w:rsidRDefault="00000000" w:rsidP="00A055E1">
            <w:pPr>
              <w:spacing w:after="0" w:line="300" w:lineRule="auto"/>
              <w:rPr>
                <w:rFonts w:cs="Times New Roman"/>
                <w:szCs w:val="24"/>
              </w:rPr>
            </w:pPr>
            <w:r w:rsidRPr="00772DEF">
              <w:rPr>
                <w:rFonts w:cs="Times New Roman"/>
                <w:szCs w:val="24"/>
              </w:rPr>
              <w:t>0.011 (0.023)</w:t>
            </w:r>
          </w:p>
        </w:tc>
      </w:tr>
      <w:tr w:rsidR="0056063A" w:rsidRPr="00772DEF" w14:paraId="0A28B641" w14:textId="77777777">
        <w:trPr>
          <w:jc w:val="center"/>
        </w:trPr>
        <w:tc>
          <w:tcPr>
            <w:tcW w:w="2736" w:type="dxa"/>
          </w:tcPr>
          <w:p w14:paraId="51858A54" w14:textId="77777777" w:rsidR="0056063A" w:rsidRPr="00772DEF" w:rsidRDefault="00000000" w:rsidP="00772DEF">
            <w:pPr>
              <w:spacing w:after="0" w:line="300" w:lineRule="auto"/>
              <w:rPr>
                <w:rFonts w:cs="Times New Roman"/>
                <w:szCs w:val="24"/>
              </w:rPr>
            </w:pPr>
            <w:r w:rsidRPr="00772DEF">
              <w:rPr>
                <w:rFonts w:cs="Times New Roman"/>
                <w:szCs w:val="24"/>
              </w:rPr>
              <w:t>R8 Pre-coverage growth</w:t>
            </w:r>
          </w:p>
        </w:tc>
        <w:tc>
          <w:tcPr>
            <w:tcW w:w="1656" w:type="dxa"/>
          </w:tcPr>
          <w:p w14:paraId="0B18A684" w14:textId="77777777" w:rsidR="0056063A" w:rsidRPr="00772DEF" w:rsidRDefault="00000000" w:rsidP="00A055E1">
            <w:pPr>
              <w:spacing w:after="0" w:line="300" w:lineRule="auto"/>
              <w:rPr>
                <w:rFonts w:cs="Times New Roman"/>
                <w:szCs w:val="24"/>
              </w:rPr>
            </w:pPr>
            <w:r w:rsidRPr="00772DEF">
              <w:rPr>
                <w:rFonts w:cs="Times New Roman"/>
                <w:szCs w:val="24"/>
              </w:rPr>
              <w:t>0.028 (0.025)</w:t>
            </w:r>
          </w:p>
        </w:tc>
        <w:tc>
          <w:tcPr>
            <w:tcW w:w="1656" w:type="dxa"/>
          </w:tcPr>
          <w:p w14:paraId="4BB8BBF1" w14:textId="77777777" w:rsidR="0056063A" w:rsidRPr="00772DEF" w:rsidRDefault="00000000" w:rsidP="00A055E1">
            <w:pPr>
              <w:spacing w:after="0" w:line="300" w:lineRule="auto"/>
              <w:rPr>
                <w:rFonts w:cs="Times New Roman"/>
                <w:szCs w:val="24"/>
              </w:rPr>
            </w:pPr>
            <w:r w:rsidRPr="00772DEF">
              <w:rPr>
                <w:rFonts w:cs="Times New Roman"/>
                <w:szCs w:val="24"/>
              </w:rPr>
              <w:t>−0.034 (0.032)</w:t>
            </w:r>
          </w:p>
        </w:tc>
        <w:tc>
          <w:tcPr>
            <w:tcW w:w="1656" w:type="dxa"/>
          </w:tcPr>
          <w:p w14:paraId="090EE9EA" w14:textId="77777777" w:rsidR="0056063A" w:rsidRPr="00772DEF" w:rsidRDefault="00000000" w:rsidP="00A055E1">
            <w:pPr>
              <w:spacing w:after="0" w:line="300" w:lineRule="auto"/>
              <w:rPr>
                <w:rFonts w:cs="Times New Roman"/>
                <w:szCs w:val="24"/>
              </w:rPr>
            </w:pPr>
            <w:r w:rsidRPr="00772DEF">
              <w:rPr>
                <w:rFonts w:cs="Times New Roman"/>
                <w:szCs w:val="24"/>
              </w:rPr>
              <w:t>0.008 (0.005)</w:t>
            </w:r>
          </w:p>
        </w:tc>
        <w:tc>
          <w:tcPr>
            <w:tcW w:w="1656" w:type="dxa"/>
          </w:tcPr>
          <w:p w14:paraId="1C3075ED" w14:textId="77777777" w:rsidR="0056063A" w:rsidRPr="00772DEF" w:rsidRDefault="00000000" w:rsidP="00A055E1">
            <w:pPr>
              <w:spacing w:after="0" w:line="300" w:lineRule="auto"/>
              <w:rPr>
                <w:rFonts w:cs="Times New Roman"/>
                <w:szCs w:val="24"/>
              </w:rPr>
            </w:pPr>
            <w:r w:rsidRPr="00772DEF">
              <w:rPr>
                <w:rFonts w:cs="Times New Roman"/>
                <w:szCs w:val="24"/>
              </w:rPr>
              <w:t>0.043** (0.018)</w:t>
            </w:r>
          </w:p>
        </w:tc>
      </w:tr>
      <w:tr w:rsidR="0056063A" w:rsidRPr="00772DEF" w14:paraId="60A039D0" w14:textId="77777777">
        <w:trPr>
          <w:jc w:val="center"/>
        </w:trPr>
        <w:tc>
          <w:tcPr>
            <w:tcW w:w="2736" w:type="dxa"/>
          </w:tcPr>
          <w:p w14:paraId="56E49515" w14:textId="77777777" w:rsidR="0056063A" w:rsidRPr="00772DEF" w:rsidRDefault="00000000" w:rsidP="00772DEF">
            <w:pPr>
              <w:spacing w:after="0" w:line="300" w:lineRule="auto"/>
              <w:rPr>
                <w:rFonts w:cs="Times New Roman"/>
                <w:szCs w:val="24"/>
              </w:rPr>
            </w:pPr>
            <w:r w:rsidRPr="00772DEF">
              <w:rPr>
                <w:rFonts w:cs="Times New Roman"/>
                <w:szCs w:val="24"/>
              </w:rPr>
              <w:t>R9 No Malaysia</w:t>
            </w:r>
          </w:p>
        </w:tc>
        <w:tc>
          <w:tcPr>
            <w:tcW w:w="1656" w:type="dxa"/>
          </w:tcPr>
          <w:p w14:paraId="1A382CAF" w14:textId="77777777" w:rsidR="0056063A" w:rsidRPr="00772DEF" w:rsidRDefault="00000000" w:rsidP="00A055E1">
            <w:pPr>
              <w:spacing w:after="0" w:line="300" w:lineRule="auto"/>
              <w:rPr>
                <w:rFonts w:cs="Times New Roman"/>
                <w:szCs w:val="24"/>
              </w:rPr>
            </w:pPr>
            <w:r w:rsidRPr="00772DEF">
              <w:rPr>
                <w:rFonts w:cs="Times New Roman"/>
                <w:szCs w:val="24"/>
              </w:rPr>
              <w:t>−0.003 (0.035)</w:t>
            </w:r>
          </w:p>
        </w:tc>
        <w:tc>
          <w:tcPr>
            <w:tcW w:w="1656" w:type="dxa"/>
          </w:tcPr>
          <w:p w14:paraId="7816F82F" w14:textId="77777777" w:rsidR="0056063A" w:rsidRPr="00772DEF" w:rsidRDefault="00000000" w:rsidP="00A055E1">
            <w:pPr>
              <w:spacing w:after="0" w:line="300" w:lineRule="auto"/>
              <w:rPr>
                <w:rFonts w:cs="Times New Roman"/>
                <w:szCs w:val="24"/>
              </w:rPr>
            </w:pPr>
            <w:r w:rsidRPr="00772DEF">
              <w:rPr>
                <w:rFonts w:cs="Times New Roman"/>
                <w:szCs w:val="24"/>
              </w:rPr>
              <w:t>0.037 (0.038)</w:t>
            </w:r>
          </w:p>
        </w:tc>
        <w:tc>
          <w:tcPr>
            <w:tcW w:w="1656" w:type="dxa"/>
          </w:tcPr>
          <w:p w14:paraId="243C0F46" w14:textId="77777777" w:rsidR="0056063A" w:rsidRPr="00772DEF" w:rsidRDefault="00000000" w:rsidP="00A055E1">
            <w:pPr>
              <w:spacing w:after="0" w:line="300" w:lineRule="auto"/>
              <w:rPr>
                <w:rFonts w:cs="Times New Roman"/>
                <w:szCs w:val="24"/>
              </w:rPr>
            </w:pPr>
            <w:r w:rsidRPr="00772DEF">
              <w:rPr>
                <w:rFonts w:cs="Times New Roman"/>
                <w:szCs w:val="24"/>
              </w:rPr>
              <w:t>0.022*** (0.008)</w:t>
            </w:r>
          </w:p>
        </w:tc>
        <w:tc>
          <w:tcPr>
            <w:tcW w:w="1656" w:type="dxa"/>
          </w:tcPr>
          <w:p w14:paraId="2F22AEFF" w14:textId="77777777" w:rsidR="0056063A" w:rsidRPr="00772DEF" w:rsidRDefault="00000000" w:rsidP="00A055E1">
            <w:pPr>
              <w:spacing w:after="0" w:line="300" w:lineRule="auto"/>
              <w:rPr>
                <w:rFonts w:cs="Times New Roman"/>
                <w:szCs w:val="24"/>
              </w:rPr>
            </w:pPr>
            <w:r w:rsidRPr="00772DEF">
              <w:rPr>
                <w:rFonts w:cs="Times New Roman"/>
                <w:szCs w:val="24"/>
              </w:rPr>
              <w:t>0.046 (0.029)</w:t>
            </w:r>
          </w:p>
        </w:tc>
      </w:tr>
      <w:tr w:rsidR="0056063A" w:rsidRPr="00772DEF" w14:paraId="696C300E" w14:textId="77777777">
        <w:trPr>
          <w:jc w:val="center"/>
        </w:trPr>
        <w:tc>
          <w:tcPr>
            <w:tcW w:w="2736" w:type="dxa"/>
          </w:tcPr>
          <w:p w14:paraId="7DD6BDD8" w14:textId="77777777" w:rsidR="0056063A" w:rsidRPr="00772DEF" w:rsidRDefault="00000000" w:rsidP="00772DEF">
            <w:pPr>
              <w:spacing w:after="0" w:line="300" w:lineRule="auto"/>
              <w:rPr>
                <w:rFonts w:cs="Times New Roman"/>
                <w:szCs w:val="24"/>
              </w:rPr>
            </w:pPr>
            <w:r w:rsidRPr="00772DEF">
              <w:rPr>
                <w:rFonts w:cs="Times New Roman"/>
                <w:szCs w:val="24"/>
              </w:rPr>
              <w:t>R10 Dated 1 year later</w:t>
            </w:r>
          </w:p>
        </w:tc>
        <w:tc>
          <w:tcPr>
            <w:tcW w:w="1656" w:type="dxa"/>
          </w:tcPr>
          <w:p w14:paraId="323E0D24" w14:textId="77777777" w:rsidR="0056063A" w:rsidRPr="00772DEF" w:rsidRDefault="00000000" w:rsidP="00A055E1">
            <w:pPr>
              <w:spacing w:after="0" w:line="300" w:lineRule="auto"/>
              <w:rPr>
                <w:rFonts w:cs="Times New Roman"/>
                <w:szCs w:val="24"/>
              </w:rPr>
            </w:pPr>
            <w:r w:rsidRPr="00772DEF">
              <w:rPr>
                <w:rFonts w:cs="Times New Roman"/>
                <w:szCs w:val="24"/>
              </w:rPr>
              <w:t>−0.068*** (0.024)</w:t>
            </w:r>
          </w:p>
        </w:tc>
        <w:tc>
          <w:tcPr>
            <w:tcW w:w="1656" w:type="dxa"/>
          </w:tcPr>
          <w:p w14:paraId="118AF9B8" w14:textId="77777777" w:rsidR="0056063A" w:rsidRPr="00772DEF" w:rsidRDefault="00000000" w:rsidP="00A055E1">
            <w:pPr>
              <w:spacing w:after="0" w:line="300" w:lineRule="auto"/>
              <w:rPr>
                <w:rFonts w:cs="Times New Roman"/>
                <w:szCs w:val="24"/>
              </w:rPr>
            </w:pPr>
            <w:r w:rsidRPr="00772DEF">
              <w:rPr>
                <w:rFonts w:cs="Times New Roman"/>
                <w:szCs w:val="24"/>
              </w:rPr>
              <w:t>−0.073** (0.030)</w:t>
            </w:r>
          </w:p>
        </w:tc>
        <w:tc>
          <w:tcPr>
            <w:tcW w:w="1656" w:type="dxa"/>
          </w:tcPr>
          <w:p w14:paraId="1B9AC0F1" w14:textId="77777777" w:rsidR="0056063A" w:rsidRPr="00772DEF" w:rsidRDefault="00000000" w:rsidP="00A055E1">
            <w:pPr>
              <w:spacing w:after="0" w:line="300" w:lineRule="auto"/>
              <w:rPr>
                <w:rFonts w:cs="Times New Roman"/>
                <w:szCs w:val="24"/>
              </w:rPr>
            </w:pPr>
            <w:r w:rsidRPr="00772DEF">
              <w:rPr>
                <w:rFonts w:cs="Times New Roman"/>
                <w:szCs w:val="24"/>
              </w:rPr>
              <w:t>0.007 (0.005)</w:t>
            </w:r>
          </w:p>
        </w:tc>
        <w:tc>
          <w:tcPr>
            <w:tcW w:w="1656" w:type="dxa"/>
          </w:tcPr>
          <w:p w14:paraId="1AE8A0C4" w14:textId="77777777" w:rsidR="0056063A" w:rsidRPr="00772DEF" w:rsidRDefault="00000000" w:rsidP="00A055E1">
            <w:pPr>
              <w:spacing w:after="0" w:line="300" w:lineRule="auto"/>
              <w:rPr>
                <w:rFonts w:cs="Times New Roman"/>
                <w:szCs w:val="24"/>
              </w:rPr>
            </w:pPr>
            <w:r w:rsidRPr="00772DEF">
              <w:rPr>
                <w:rFonts w:cs="Times New Roman"/>
                <w:szCs w:val="24"/>
              </w:rPr>
              <w:t>−0.006 (0.017)</w:t>
            </w:r>
          </w:p>
        </w:tc>
      </w:tr>
      <w:tr w:rsidR="0056063A" w:rsidRPr="00772DEF" w14:paraId="092115D6" w14:textId="77777777">
        <w:trPr>
          <w:jc w:val="center"/>
        </w:trPr>
        <w:tc>
          <w:tcPr>
            <w:tcW w:w="2736" w:type="dxa"/>
          </w:tcPr>
          <w:p w14:paraId="767C7368" w14:textId="77777777" w:rsidR="0056063A" w:rsidRPr="00772DEF" w:rsidRDefault="00000000" w:rsidP="00772DEF">
            <w:pPr>
              <w:spacing w:after="0" w:line="300" w:lineRule="auto"/>
              <w:rPr>
                <w:rFonts w:cs="Times New Roman"/>
                <w:szCs w:val="24"/>
              </w:rPr>
            </w:pPr>
            <w:r w:rsidRPr="00772DEF">
              <w:rPr>
                <w:rFonts w:cs="Times New Roman"/>
                <w:szCs w:val="24"/>
              </w:rPr>
              <w:t>R11 Cohorts to 2021</w:t>
            </w:r>
          </w:p>
        </w:tc>
        <w:tc>
          <w:tcPr>
            <w:tcW w:w="1656" w:type="dxa"/>
          </w:tcPr>
          <w:p w14:paraId="1F645352" w14:textId="77777777" w:rsidR="0056063A" w:rsidRPr="00772DEF" w:rsidRDefault="00000000" w:rsidP="00A055E1">
            <w:pPr>
              <w:spacing w:after="0" w:line="300" w:lineRule="auto"/>
              <w:rPr>
                <w:rFonts w:cs="Times New Roman"/>
                <w:szCs w:val="24"/>
              </w:rPr>
            </w:pPr>
            <w:r w:rsidRPr="00772DEF">
              <w:rPr>
                <w:rFonts w:cs="Times New Roman"/>
                <w:szCs w:val="24"/>
              </w:rPr>
              <w:t>−0.008 (0.033)</w:t>
            </w:r>
          </w:p>
        </w:tc>
        <w:tc>
          <w:tcPr>
            <w:tcW w:w="1656" w:type="dxa"/>
          </w:tcPr>
          <w:p w14:paraId="66DD31E6" w14:textId="77777777" w:rsidR="0056063A" w:rsidRPr="00772DEF" w:rsidRDefault="00000000" w:rsidP="00A055E1">
            <w:pPr>
              <w:spacing w:after="0" w:line="300" w:lineRule="auto"/>
              <w:rPr>
                <w:rFonts w:cs="Times New Roman"/>
                <w:szCs w:val="24"/>
              </w:rPr>
            </w:pPr>
            <w:r w:rsidRPr="00772DEF">
              <w:rPr>
                <w:rFonts w:cs="Times New Roman"/>
                <w:szCs w:val="24"/>
              </w:rPr>
              <w:t>−0.030 (0.037)</w:t>
            </w:r>
          </w:p>
        </w:tc>
        <w:tc>
          <w:tcPr>
            <w:tcW w:w="1656" w:type="dxa"/>
          </w:tcPr>
          <w:p w14:paraId="4ED03ED6" w14:textId="77777777" w:rsidR="0056063A" w:rsidRPr="00772DEF" w:rsidRDefault="00000000" w:rsidP="00A055E1">
            <w:pPr>
              <w:spacing w:after="0" w:line="300" w:lineRule="auto"/>
              <w:rPr>
                <w:rFonts w:cs="Times New Roman"/>
                <w:szCs w:val="24"/>
              </w:rPr>
            </w:pPr>
            <w:r w:rsidRPr="00772DEF">
              <w:rPr>
                <w:rFonts w:cs="Times New Roman"/>
                <w:szCs w:val="24"/>
              </w:rPr>
              <w:t>0.013* (0.007)</w:t>
            </w:r>
          </w:p>
        </w:tc>
        <w:tc>
          <w:tcPr>
            <w:tcW w:w="1656" w:type="dxa"/>
          </w:tcPr>
          <w:p w14:paraId="2607825E" w14:textId="77777777" w:rsidR="0056063A" w:rsidRPr="00772DEF" w:rsidRDefault="00000000" w:rsidP="00A055E1">
            <w:pPr>
              <w:spacing w:after="0" w:line="300" w:lineRule="auto"/>
              <w:rPr>
                <w:rFonts w:cs="Times New Roman"/>
                <w:szCs w:val="24"/>
              </w:rPr>
            </w:pPr>
            <w:r w:rsidRPr="00772DEF">
              <w:rPr>
                <w:rFonts w:cs="Times New Roman"/>
                <w:szCs w:val="24"/>
              </w:rPr>
              <w:t>0.082*** (0.027)</w:t>
            </w:r>
          </w:p>
        </w:tc>
      </w:tr>
      <w:tr w:rsidR="0056063A" w:rsidRPr="00772DEF" w14:paraId="19D0C87B" w14:textId="77777777">
        <w:trPr>
          <w:jc w:val="center"/>
        </w:trPr>
        <w:tc>
          <w:tcPr>
            <w:tcW w:w="2736" w:type="dxa"/>
          </w:tcPr>
          <w:p w14:paraId="554F635F" w14:textId="77777777" w:rsidR="0056063A" w:rsidRPr="00772DEF" w:rsidRDefault="00000000" w:rsidP="00772DEF">
            <w:pPr>
              <w:spacing w:after="0" w:line="300" w:lineRule="auto"/>
              <w:rPr>
                <w:rFonts w:cs="Times New Roman"/>
                <w:szCs w:val="24"/>
              </w:rPr>
            </w:pPr>
            <w:r w:rsidRPr="00772DEF">
              <w:rPr>
                <w:rFonts w:cs="Times New Roman"/>
                <w:szCs w:val="24"/>
              </w:rPr>
              <w:t>High initial score</w:t>
            </w:r>
          </w:p>
        </w:tc>
        <w:tc>
          <w:tcPr>
            <w:tcW w:w="1656" w:type="dxa"/>
          </w:tcPr>
          <w:p w14:paraId="61A408EE" w14:textId="77777777" w:rsidR="0056063A" w:rsidRPr="00772DEF" w:rsidRDefault="00000000" w:rsidP="00A055E1">
            <w:pPr>
              <w:spacing w:after="0" w:line="300" w:lineRule="auto"/>
              <w:rPr>
                <w:rFonts w:cs="Times New Roman"/>
                <w:szCs w:val="24"/>
              </w:rPr>
            </w:pPr>
            <w:r w:rsidRPr="00772DEF">
              <w:rPr>
                <w:rFonts w:cs="Times New Roman"/>
                <w:szCs w:val="24"/>
              </w:rPr>
              <w:t>−0.019 (0.030)</w:t>
            </w:r>
          </w:p>
        </w:tc>
        <w:tc>
          <w:tcPr>
            <w:tcW w:w="1656" w:type="dxa"/>
          </w:tcPr>
          <w:p w14:paraId="6CF76EFF" w14:textId="77777777" w:rsidR="0056063A" w:rsidRPr="00772DEF" w:rsidRDefault="00000000" w:rsidP="00A055E1">
            <w:pPr>
              <w:spacing w:after="0" w:line="300" w:lineRule="auto"/>
              <w:rPr>
                <w:rFonts w:cs="Times New Roman"/>
                <w:szCs w:val="24"/>
              </w:rPr>
            </w:pPr>
            <w:r w:rsidRPr="00772DEF">
              <w:rPr>
                <w:rFonts w:cs="Times New Roman"/>
                <w:szCs w:val="24"/>
              </w:rPr>
              <w:t>−0.029 (0.034)</w:t>
            </w:r>
          </w:p>
        </w:tc>
        <w:tc>
          <w:tcPr>
            <w:tcW w:w="1656" w:type="dxa"/>
          </w:tcPr>
          <w:p w14:paraId="6B6A12FD" w14:textId="77777777" w:rsidR="0056063A" w:rsidRPr="00772DEF" w:rsidRDefault="00000000" w:rsidP="00A055E1">
            <w:pPr>
              <w:spacing w:after="0" w:line="300" w:lineRule="auto"/>
              <w:rPr>
                <w:rFonts w:cs="Times New Roman"/>
                <w:szCs w:val="24"/>
              </w:rPr>
            </w:pPr>
            <w:r w:rsidRPr="00772DEF">
              <w:rPr>
                <w:rFonts w:cs="Times New Roman"/>
                <w:szCs w:val="24"/>
              </w:rPr>
              <w:t>0.009 (0.006)</w:t>
            </w:r>
          </w:p>
        </w:tc>
        <w:tc>
          <w:tcPr>
            <w:tcW w:w="1656" w:type="dxa"/>
          </w:tcPr>
          <w:p w14:paraId="5F675265" w14:textId="77777777" w:rsidR="0056063A" w:rsidRPr="00772DEF" w:rsidRDefault="00000000" w:rsidP="00A055E1">
            <w:pPr>
              <w:spacing w:after="0" w:line="300" w:lineRule="auto"/>
              <w:rPr>
                <w:rFonts w:cs="Times New Roman"/>
                <w:szCs w:val="24"/>
              </w:rPr>
            </w:pPr>
            <w:r w:rsidRPr="00772DEF">
              <w:rPr>
                <w:rFonts w:cs="Times New Roman"/>
                <w:szCs w:val="24"/>
              </w:rPr>
              <w:t>0.038* (0.022)</w:t>
            </w:r>
          </w:p>
        </w:tc>
      </w:tr>
      <w:tr w:rsidR="0056063A" w:rsidRPr="00772DEF" w14:paraId="5A94BFBF" w14:textId="77777777">
        <w:trPr>
          <w:jc w:val="center"/>
        </w:trPr>
        <w:tc>
          <w:tcPr>
            <w:tcW w:w="2736" w:type="dxa"/>
          </w:tcPr>
          <w:p w14:paraId="79A7DDB6" w14:textId="77777777" w:rsidR="0056063A" w:rsidRPr="00772DEF" w:rsidRDefault="00000000" w:rsidP="00772DEF">
            <w:pPr>
              <w:spacing w:after="0" w:line="300" w:lineRule="auto"/>
              <w:rPr>
                <w:rFonts w:cs="Times New Roman"/>
                <w:szCs w:val="24"/>
              </w:rPr>
            </w:pPr>
            <w:r w:rsidRPr="00772DEF">
              <w:rPr>
                <w:rFonts w:cs="Times New Roman"/>
                <w:szCs w:val="24"/>
              </w:rPr>
              <w:t>Low initial score</w:t>
            </w:r>
          </w:p>
        </w:tc>
        <w:tc>
          <w:tcPr>
            <w:tcW w:w="1656" w:type="dxa"/>
          </w:tcPr>
          <w:p w14:paraId="37F196D0" w14:textId="77777777" w:rsidR="0056063A" w:rsidRPr="00772DEF" w:rsidRDefault="00000000" w:rsidP="00A055E1">
            <w:pPr>
              <w:spacing w:after="0" w:line="300" w:lineRule="auto"/>
              <w:rPr>
                <w:rFonts w:cs="Times New Roman"/>
                <w:szCs w:val="24"/>
              </w:rPr>
            </w:pPr>
            <w:r w:rsidRPr="00772DEF">
              <w:rPr>
                <w:rFonts w:cs="Times New Roman"/>
                <w:szCs w:val="24"/>
              </w:rPr>
              <w:t>0.022 (0.033)</w:t>
            </w:r>
          </w:p>
        </w:tc>
        <w:tc>
          <w:tcPr>
            <w:tcW w:w="1656" w:type="dxa"/>
          </w:tcPr>
          <w:p w14:paraId="4A33819A" w14:textId="77777777" w:rsidR="0056063A" w:rsidRPr="00772DEF" w:rsidRDefault="00000000" w:rsidP="00A055E1">
            <w:pPr>
              <w:spacing w:after="0" w:line="300" w:lineRule="auto"/>
              <w:rPr>
                <w:rFonts w:cs="Times New Roman"/>
                <w:szCs w:val="24"/>
              </w:rPr>
            </w:pPr>
            <w:r w:rsidRPr="00772DEF">
              <w:rPr>
                <w:rFonts w:cs="Times New Roman"/>
                <w:szCs w:val="24"/>
              </w:rPr>
              <w:t>−0.081* (0.042)</w:t>
            </w:r>
          </w:p>
        </w:tc>
        <w:tc>
          <w:tcPr>
            <w:tcW w:w="1656" w:type="dxa"/>
          </w:tcPr>
          <w:p w14:paraId="34FFDB32" w14:textId="77777777" w:rsidR="0056063A" w:rsidRPr="00772DEF" w:rsidRDefault="00000000" w:rsidP="00A055E1">
            <w:pPr>
              <w:spacing w:after="0" w:line="300" w:lineRule="auto"/>
              <w:rPr>
                <w:rFonts w:cs="Times New Roman"/>
                <w:szCs w:val="24"/>
              </w:rPr>
            </w:pPr>
            <w:r w:rsidRPr="00772DEF">
              <w:rPr>
                <w:rFonts w:cs="Times New Roman"/>
                <w:szCs w:val="24"/>
              </w:rPr>
              <w:t>0.007 (0.006)</w:t>
            </w:r>
          </w:p>
        </w:tc>
        <w:tc>
          <w:tcPr>
            <w:tcW w:w="1656" w:type="dxa"/>
          </w:tcPr>
          <w:p w14:paraId="5688D65E" w14:textId="77777777" w:rsidR="0056063A" w:rsidRPr="00772DEF" w:rsidRDefault="00000000" w:rsidP="00A055E1">
            <w:pPr>
              <w:spacing w:after="0" w:line="300" w:lineRule="auto"/>
              <w:rPr>
                <w:rFonts w:cs="Times New Roman"/>
                <w:szCs w:val="24"/>
              </w:rPr>
            </w:pPr>
            <w:r w:rsidRPr="00772DEF">
              <w:rPr>
                <w:rFonts w:cs="Times New Roman"/>
                <w:szCs w:val="24"/>
              </w:rPr>
              <w:t>0.049** (0.022)</w:t>
            </w:r>
          </w:p>
        </w:tc>
      </w:tr>
      <w:tr w:rsidR="0056063A" w:rsidRPr="00772DEF" w14:paraId="445C7AA2" w14:textId="77777777">
        <w:trPr>
          <w:jc w:val="center"/>
        </w:trPr>
        <w:tc>
          <w:tcPr>
            <w:tcW w:w="2736" w:type="dxa"/>
            <w:tcBorders>
              <w:bottom w:val="single" w:sz="6" w:space="0" w:color="000000"/>
            </w:tcBorders>
          </w:tcPr>
          <w:p w14:paraId="178CD5EF" w14:textId="77777777" w:rsidR="0056063A" w:rsidRPr="00772DEF" w:rsidRDefault="00000000" w:rsidP="00772DEF">
            <w:pPr>
              <w:spacing w:after="0" w:line="300" w:lineRule="auto"/>
              <w:rPr>
                <w:rFonts w:cs="Times New Roman"/>
                <w:szCs w:val="24"/>
              </w:rPr>
            </w:pPr>
            <w:r w:rsidRPr="00772DEF">
              <w:rPr>
                <w:rFonts w:cs="Times New Roman"/>
                <w:szCs w:val="24"/>
              </w:rPr>
              <w:lastRenderedPageBreak/>
              <w:t>High minus low</w:t>
            </w:r>
          </w:p>
        </w:tc>
        <w:tc>
          <w:tcPr>
            <w:tcW w:w="1656" w:type="dxa"/>
            <w:tcBorders>
              <w:bottom w:val="single" w:sz="6" w:space="0" w:color="000000"/>
            </w:tcBorders>
          </w:tcPr>
          <w:p w14:paraId="10F7F99C" w14:textId="77777777" w:rsidR="0056063A" w:rsidRPr="00772DEF" w:rsidRDefault="00000000" w:rsidP="00772DEF">
            <w:pPr>
              <w:spacing w:after="0" w:line="300" w:lineRule="auto"/>
              <w:jc w:val="center"/>
              <w:rPr>
                <w:rFonts w:cs="Times New Roman"/>
                <w:szCs w:val="24"/>
              </w:rPr>
            </w:pPr>
            <w:r w:rsidRPr="00772DEF">
              <w:rPr>
                <w:rFonts w:cs="Times New Roman"/>
                <w:szCs w:val="24"/>
              </w:rPr>
              <w:t>−0.041 (0.040)</w:t>
            </w:r>
          </w:p>
        </w:tc>
        <w:tc>
          <w:tcPr>
            <w:tcW w:w="1656" w:type="dxa"/>
            <w:tcBorders>
              <w:bottom w:val="single" w:sz="6" w:space="0" w:color="000000"/>
            </w:tcBorders>
          </w:tcPr>
          <w:p w14:paraId="142F899A" w14:textId="77777777" w:rsidR="0056063A" w:rsidRPr="00772DEF" w:rsidRDefault="00000000" w:rsidP="00772DEF">
            <w:pPr>
              <w:spacing w:after="0" w:line="300" w:lineRule="auto"/>
              <w:jc w:val="center"/>
              <w:rPr>
                <w:rFonts w:cs="Times New Roman"/>
                <w:szCs w:val="24"/>
              </w:rPr>
            </w:pPr>
            <w:r w:rsidRPr="00772DEF">
              <w:rPr>
                <w:rFonts w:cs="Times New Roman"/>
                <w:szCs w:val="24"/>
              </w:rPr>
              <w:t>0.052 (0.047)</w:t>
            </w:r>
          </w:p>
        </w:tc>
        <w:tc>
          <w:tcPr>
            <w:tcW w:w="1656" w:type="dxa"/>
            <w:tcBorders>
              <w:bottom w:val="single" w:sz="6" w:space="0" w:color="000000"/>
            </w:tcBorders>
          </w:tcPr>
          <w:p w14:paraId="7EBE87B2" w14:textId="77777777" w:rsidR="0056063A" w:rsidRPr="00772DEF" w:rsidRDefault="00000000" w:rsidP="00772DEF">
            <w:pPr>
              <w:spacing w:after="0" w:line="300" w:lineRule="auto"/>
              <w:jc w:val="center"/>
              <w:rPr>
                <w:rFonts w:cs="Times New Roman"/>
                <w:szCs w:val="24"/>
              </w:rPr>
            </w:pPr>
            <w:r w:rsidRPr="00772DEF">
              <w:rPr>
                <w:rFonts w:cs="Times New Roman"/>
                <w:szCs w:val="24"/>
              </w:rPr>
              <w:t>0.002 (0.008)</w:t>
            </w:r>
          </w:p>
        </w:tc>
        <w:tc>
          <w:tcPr>
            <w:tcW w:w="1656" w:type="dxa"/>
            <w:tcBorders>
              <w:bottom w:val="single" w:sz="6" w:space="0" w:color="000000"/>
            </w:tcBorders>
          </w:tcPr>
          <w:p w14:paraId="6E68C50D" w14:textId="77777777" w:rsidR="0056063A" w:rsidRPr="00772DEF" w:rsidRDefault="00000000" w:rsidP="00772DEF">
            <w:pPr>
              <w:spacing w:after="0" w:line="300" w:lineRule="auto"/>
              <w:jc w:val="center"/>
              <w:rPr>
                <w:rFonts w:cs="Times New Roman"/>
                <w:szCs w:val="24"/>
              </w:rPr>
            </w:pPr>
            <w:r w:rsidRPr="00772DEF">
              <w:rPr>
                <w:rFonts w:cs="Times New Roman"/>
                <w:szCs w:val="24"/>
              </w:rPr>
              <w:t>−0.011 (0.025)</w:t>
            </w:r>
          </w:p>
        </w:tc>
      </w:tr>
    </w:tbl>
    <w:p w14:paraId="2AD97CE2" w14:textId="77777777" w:rsidR="0056063A" w:rsidRPr="00772DEF" w:rsidRDefault="00000000" w:rsidP="00772DEF">
      <w:pPr>
        <w:spacing w:after="40" w:line="300" w:lineRule="auto"/>
        <w:rPr>
          <w:rFonts w:cs="Times New Roman"/>
          <w:szCs w:val="24"/>
        </w:rPr>
      </w:pPr>
      <w:r w:rsidRPr="00772DEF">
        <w:rPr>
          <w:rFonts w:cs="Times New Roman"/>
          <w:szCs w:val="24"/>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14:paraId="7498B062" w14:textId="77777777" w:rsidR="0056063A" w:rsidRPr="00772DEF" w:rsidRDefault="00000000" w:rsidP="00772DEF">
      <w:pPr>
        <w:spacing w:after="40" w:line="300" w:lineRule="auto"/>
        <w:rPr>
          <w:rFonts w:cs="Times New Roman"/>
          <w:szCs w:val="24"/>
        </w:rPr>
      </w:pPr>
      <w:r w:rsidRPr="00772DEF">
        <w:rPr>
          <w:rFonts w:cs="Times New Roman"/>
          <w:szCs w:val="24"/>
        </w:rPr>
        <w:t>Source: Authors' calculations from LSEG ESG scores and Compustat Global.</w:t>
      </w:r>
    </w:p>
    <w:p w14:paraId="20B387FB" w14:textId="23499553" w:rsidR="0056063A" w:rsidRPr="00F81527" w:rsidRDefault="0056063A" w:rsidP="00772DEF">
      <w:pPr>
        <w:spacing w:line="300" w:lineRule="auto"/>
        <w:rPr>
          <w:rFonts w:cs="Times New Roman"/>
          <w:szCs w:val="24"/>
          <w:lang w:val="vi-VN"/>
        </w:rPr>
      </w:pPr>
    </w:p>
    <w:sectPr w:rsidR="0056063A" w:rsidRPr="00F81527" w:rsidSect="00034616">
      <w:footerReference w:type="default" r:id="rId9"/>
      <w:pgSz w:w="12240" w:h="15840"/>
      <w:pgMar w:top="2160" w:right="1440" w:bottom="21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AD585E" w14:textId="77777777" w:rsidR="00921ECC" w:rsidRDefault="00921ECC">
      <w:pPr>
        <w:spacing w:after="0" w:line="240" w:lineRule="auto"/>
      </w:pPr>
      <w:r>
        <w:separator/>
      </w:r>
    </w:p>
  </w:endnote>
  <w:endnote w:type="continuationSeparator" w:id="0">
    <w:p w14:paraId="4A508682" w14:textId="77777777" w:rsidR="00921ECC" w:rsidRDefault="00921E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E16FA4" w14:textId="77777777" w:rsidR="0056063A" w:rsidRDefault="00000000">
    <w:pPr>
      <w:pStyle w:val="Footer"/>
      <w:jc w:val="center"/>
    </w:pPr>
    <w:r>
      <w:fldChar w:fldCharType="begin"/>
    </w:r>
    <w:r>
      <w:instrText>PAGE</w:instrText>
    </w:r>
    <w:r w:rsidR="00772DEF">
      <w:fldChar w:fldCharType="separate"/>
    </w:r>
    <w:r w:rsidR="00772DE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7642E5" w14:textId="77777777" w:rsidR="00921ECC" w:rsidRDefault="00921ECC">
      <w:pPr>
        <w:spacing w:after="0" w:line="240" w:lineRule="auto"/>
      </w:pPr>
      <w:r>
        <w:separator/>
      </w:r>
    </w:p>
  </w:footnote>
  <w:footnote w:type="continuationSeparator" w:id="0">
    <w:p w14:paraId="279407AF" w14:textId="77777777" w:rsidR="00921ECC" w:rsidRDefault="00921E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2972757">
    <w:abstractNumId w:val="8"/>
  </w:num>
  <w:num w:numId="2" w16cid:durableId="744498625">
    <w:abstractNumId w:val="6"/>
  </w:num>
  <w:num w:numId="3" w16cid:durableId="296226550">
    <w:abstractNumId w:val="5"/>
  </w:num>
  <w:num w:numId="4" w16cid:durableId="1522402467">
    <w:abstractNumId w:val="4"/>
  </w:num>
  <w:num w:numId="5" w16cid:durableId="611401186">
    <w:abstractNumId w:val="7"/>
  </w:num>
  <w:num w:numId="6" w16cid:durableId="647168119">
    <w:abstractNumId w:val="3"/>
  </w:num>
  <w:num w:numId="7" w16cid:durableId="1011956600">
    <w:abstractNumId w:val="2"/>
  </w:num>
  <w:num w:numId="8" w16cid:durableId="973146002">
    <w:abstractNumId w:val="1"/>
  </w:num>
  <w:num w:numId="9" w16cid:durableId="80597337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70A"/>
    <w:rsid w:val="0029639D"/>
    <w:rsid w:val="00326F90"/>
    <w:rsid w:val="00465227"/>
    <w:rsid w:val="0056063A"/>
    <w:rsid w:val="00772DEF"/>
    <w:rsid w:val="00773A22"/>
    <w:rsid w:val="00776197"/>
    <w:rsid w:val="00841697"/>
    <w:rsid w:val="00921ECC"/>
    <w:rsid w:val="00A055E1"/>
    <w:rsid w:val="00AA1D8D"/>
    <w:rsid w:val="00B47730"/>
    <w:rsid w:val="00B810F1"/>
    <w:rsid w:val="00CB0664"/>
    <w:rsid w:val="00DF2006"/>
    <w:rsid w:val="00E4182E"/>
    <w:rsid w:val="00F815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CDF936"/>
  <w14:defaultImageDpi w14:val="300"/>
  <w15:docId w15:val="{A87DEAF9-0D23-4349-BD19-22E1104BB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24</Pages>
  <Words>7367</Words>
  <Characters>41998</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16</cp:revision>
  <dcterms:created xsi:type="dcterms:W3CDTF">2013-12-23T23:15:00Z</dcterms:created>
  <dcterms:modified xsi:type="dcterms:W3CDTF">2026-09-26T08:34:00Z</dcterms:modified>
  <cp:category/>
</cp:coreProperties>
</file>