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line="312" w:lineRule="auto"/>
        <w:jc w:val="center"/>
      </w:pPr>
      <w:r>
        <w:rPr>
          <w:b/>
        </w:rPr>
        <w:t>ĐỀ CƯƠNG SƠ BỘ CHUYÊN ĐỀ THỰC TẬP</w:t>
      </w:r>
    </w:p>
    <w:p>
      <w:pPr>
        <w:spacing w:after="60" w:line="312" w:lineRule="auto"/>
      </w:pPr>
      <w:r>
        <w:rPr>
          <w:b/>
        </w:rPr>
        <w:t>Đề tài:</w:t>
      </w:r>
      <w:r>
        <w:rPr>
          <w:b w:val="0"/>
        </w:rPr>
        <w:t xml:space="preserve"> Pháp luật về góp vốn, mua cổ phần, phần vốn góp của nhà đầu tư nước ngoài tại doanh nghiệp Việt Nam – Thực tiễn tư vấn cho nhà đầu tư Trung Quốc tại Công ty Luật TNHH ASL</w:t>
      </w:r>
    </w:p>
    <w:p>
      <w:pPr>
        <w:spacing w:after="60" w:line="312" w:lineRule="auto"/>
      </w:pPr>
      <w:r>
        <w:rPr>
          <w:b w:val="0"/>
        </w:rPr>
        <w:t>Sinh viên: Phạm Thị Mỹ Bình</w:t>
      </w:r>
    </w:p>
    <w:p>
      <w:pPr>
        <w:spacing w:after="60" w:line="312" w:lineRule="auto"/>
      </w:pPr>
      <w:r>
        <w:rPr>
          <w:b w:val="0"/>
        </w:rPr>
        <w:t>Mã sinh viên: 19241399</w:t>
      </w:r>
    </w:p>
    <w:p>
      <w:pPr>
        <w:spacing w:after="60" w:line="312" w:lineRule="auto"/>
      </w:pPr>
      <w:r>
        <w:rPr>
          <w:b w:val="0"/>
        </w:rPr>
        <w:t>Lớp: LUKT36A</w:t>
      </w:r>
    </w:p>
    <w:p>
      <w:pPr>
        <w:spacing w:after="60" w:line="312" w:lineRule="auto"/>
      </w:pPr>
      <w:r>
        <w:rPr>
          <w:b w:val="0"/>
        </w:rPr>
        <w:t>Đơn vị thực tập: Công ty Luật TNHH ASL</w:t>
      </w:r>
    </w:p>
    <w:p>
      <w:pPr>
        <w:spacing w:after="60" w:line="312" w:lineRule="auto"/>
      </w:pPr>
      <w:r>
        <w:rPr>
          <w:b w:val="0"/>
        </w:rPr>
        <w:t>Giảng viên hướng dẫn: TS. Nguyễn Thị Hồng Hạnh</w:t>
      </w:r>
    </w:p>
    <w:p>
      <w:pPr>
        <w:spacing w:after="60" w:line="312" w:lineRule="auto"/>
        <w:jc w:val="center"/>
      </w:pPr>
      <w:r>
        <w:rPr>
          <w:b/>
        </w:rPr>
        <w:t>MỤC LỤC</w:t>
      </w:r>
    </w:p>
    <w:p>
      <w:pPr>
        <w:spacing w:after="60" w:line="312" w:lineRule="auto"/>
      </w:pPr>
      <w:r>
        <w:rPr>
          <w:b w:val="0"/>
        </w:rPr>
        <w:t>LỜI CAM ĐOAN</w:t>
      </w:r>
    </w:p>
    <w:p>
      <w:pPr>
        <w:spacing w:after="60" w:line="312" w:lineRule="auto"/>
      </w:pPr>
      <w:r>
        <w:rPr>
          <w:b w:val="0"/>
        </w:rPr>
        <w:t>LỜI CẢM ƠN</w:t>
      </w:r>
    </w:p>
    <w:p>
      <w:pPr>
        <w:spacing w:after="60" w:line="312" w:lineRule="auto"/>
      </w:pPr>
      <w:r>
        <w:rPr>
          <w:b w:val="0"/>
        </w:rPr>
        <w:t>DANH MỤC TỪ VIẾT TẮT</w:t>
      </w:r>
    </w:p>
    <w:p>
      <w:pPr>
        <w:spacing w:after="60" w:line="312" w:lineRule="auto"/>
      </w:pPr>
      <w:r>
        <w:rPr>
          <w:b w:val="0"/>
        </w:rPr>
        <w:t>DANH MỤC BẢNG, SƠ ĐỒ</w:t>
      </w:r>
    </w:p>
    <w:p>
      <w:pPr>
        <w:spacing w:after="60" w:line="312" w:lineRule="auto"/>
      </w:pPr>
      <w:r>
        <w:rPr>
          <w:b/>
        </w:rPr>
        <w:t>PHẦN MỞ ĐẦU</w:t>
      </w:r>
    </w:p>
    <w:p>
      <w:pPr>
        <w:spacing w:after="60" w:line="312" w:lineRule="auto"/>
        <w:ind w:left="0"/>
      </w:pPr>
      <w:r>
        <w:rPr>
          <w:b w:val="0"/>
        </w:rPr>
        <w:t>1. Lý do chọn đề tài</w:t>
      </w:r>
    </w:p>
    <w:p>
      <w:pPr>
        <w:spacing w:after="60" w:line="312" w:lineRule="auto"/>
        <w:ind w:left="0"/>
      </w:pPr>
      <w:r>
        <w:rPr>
          <w:b w:val="0"/>
        </w:rPr>
        <w:t>2. Tổng quan tình hình nghiên cứu</w:t>
      </w:r>
    </w:p>
    <w:p>
      <w:pPr>
        <w:spacing w:after="60" w:line="312" w:lineRule="auto"/>
        <w:ind w:left="0"/>
      </w:pPr>
      <w:r>
        <w:rPr>
          <w:b w:val="0"/>
        </w:rPr>
        <w:t>3. Mục đích, nhiệm vụ nghiên cứu</w:t>
      </w:r>
    </w:p>
    <w:p>
      <w:pPr>
        <w:spacing w:after="60" w:line="312" w:lineRule="auto"/>
        <w:ind w:left="0"/>
      </w:pPr>
      <w:r>
        <w:rPr>
          <w:b w:val="0"/>
        </w:rPr>
        <w:t>4. Đối tượng, phạm vi nghiên cứu</w:t>
      </w:r>
    </w:p>
    <w:p>
      <w:pPr>
        <w:spacing w:after="60" w:line="312" w:lineRule="auto"/>
        <w:ind w:left="0"/>
      </w:pPr>
      <w:r>
        <w:rPr>
          <w:b w:val="0"/>
        </w:rPr>
        <w:t>5. Phương pháp nghiên cứu</w:t>
      </w:r>
    </w:p>
    <w:p>
      <w:pPr>
        <w:spacing w:after="60" w:line="312" w:lineRule="auto"/>
        <w:ind w:left="425"/>
      </w:pPr>
      <w:r>
        <w:rPr>
          <w:b w:val="0"/>
        </w:rPr>
        <w:t>5.1. Phương pháp phân tích, tổng hợp</w:t>
      </w:r>
    </w:p>
    <w:p>
      <w:pPr>
        <w:spacing w:after="60" w:line="312" w:lineRule="auto"/>
        <w:ind w:left="425"/>
      </w:pPr>
      <w:r>
        <w:rPr>
          <w:b w:val="0"/>
        </w:rPr>
        <w:t>5.2. Phương pháp phân tích quy phạm pháp luật</w:t>
      </w:r>
    </w:p>
    <w:p>
      <w:pPr>
        <w:spacing w:after="60" w:line="312" w:lineRule="auto"/>
        <w:ind w:left="425"/>
      </w:pPr>
      <w:r>
        <w:rPr>
          <w:b w:val="0"/>
        </w:rPr>
        <w:t>5.3. Phương pháp so sánh</w:t>
      </w:r>
    </w:p>
    <w:p>
      <w:pPr>
        <w:spacing w:after="60" w:line="312" w:lineRule="auto"/>
        <w:ind w:left="425"/>
      </w:pPr>
      <w:r>
        <w:rPr>
          <w:b w:val="0"/>
        </w:rPr>
        <w:t>5.4. Phương pháp nghiên cứu hồ sơ vụ việc tư vấn tại đơn vị thực tập</w:t>
      </w:r>
    </w:p>
    <w:p>
      <w:pPr>
        <w:spacing w:after="60" w:line="312" w:lineRule="auto"/>
        <w:ind w:left="425"/>
      </w:pPr>
      <w:r>
        <w:rPr>
          <w:b w:val="0"/>
        </w:rPr>
        <w:t>5.5. Phương pháp thống kê</w:t>
      </w:r>
    </w:p>
    <w:p>
      <w:pPr>
        <w:spacing w:after="60" w:line="312" w:lineRule="auto"/>
        <w:ind w:left="0"/>
      </w:pPr>
      <w:r>
        <w:rPr>
          <w:b w:val="0"/>
        </w:rPr>
        <w:t>6. Kết cấu chuyên đề</w:t>
      </w:r>
    </w:p>
    <w:p>
      <w:pPr>
        <w:spacing w:after="60" w:line="312" w:lineRule="auto"/>
      </w:pPr>
      <w:r>
        <w:rPr>
          <w:b/>
        </w:rPr>
        <w:t>PHẦN NỘI DUNG</w:t>
      </w:r>
    </w:p>
    <w:p>
      <w:pPr>
        <w:spacing w:after="60" w:line="312" w:lineRule="auto"/>
      </w:pPr>
      <w:r>
        <w:rPr>
          <w:b/>
        </w:rPr>
        <w:t>CHƯƠNG 1. NHỮNG VẤN ĐỀ LÝ LUẬN VÀ PHÁP LUẬT VỀ GÓP VỐN, MUA CỔ PHẦN, PHẦN VỐN GÓP CỦA NHÀ ĐẦU TƯ NƯỚC NGOÀI TẠI DOANH NGHIỆP VIỆT NAM</w:t>
      </w:r>
    </w:p>
    <w:p>
      <w:pPr>
        <w:spacing w:after="60" w:line="312" w:lineRule="auto"/>
      </w:pPr>
      <w:r>
        <w:rPr>
          <w:b/>
        </w:rPr>
        <w:t>1.1. Những vấn đề lý luận về góp vốn, mua cổ phần, phần vốn góp của nhà đầu tư nước ngoài</w:t>
      </w:r>
    </w:p>
    <w:p>
      <w:pPr>
        <w:spacing w:after="60" w:line="312" w:lineRule="auto"/>
        <w:ind w:left="850"/>
      </w:pPr>
      <w:r>
        <w:rPr>
          <w:b w:val="0"/>
        </w:rPr>
        <w:t>1.1.1. Khái niệm nhà đầu tư nước ngoài và tổ chức kinh tế có vốn đầu tư nước ngoài</w:t>
      </w:r>
    </w:p>
    <w:p>
      <w:pPr>
        <w:spacing w:after="60" w:line="312" w:lineRule="auto"/>
        <w:ind w:left="850"/>
      </w:pPr>
      <w:r>
        <w:rPr>
          <w:b w:val="0"/>
        </w:rPr>
        <w:t>1.1.2. Khái niệm, đặc điểm của góp vốn, mua cổ phần, mua phần vốn góp</w:t>
      </w:r>
    </w:p>
    <w:p>
      <w:pPr>
        <w:spacing w:after="60" w:line="312" w:lineRule="auto"/>
        <w:ind w:left="850"/>
      </w:pPr>
      <w:r>
        <w:rPr>
          <w:b w:val="0"/>
        </w:rPr>
        <w:t>1.1.3. Phân biệt với hình thức đầu tư thành lập tổ chức kinh tế</w:t>
      </w:r>
    </w:p>
    <w:p>
      <w:pPr>
        <w:spacing w:after="60" w:line="312" w:lineRule="auto"/>
        <w:ind w:left="850"/>
      </w:pPr>
      <w:r>
        <w:rPr>
          <w:b w:val="0"/>
        </w:rPr>
        <w:t>1.1.4. Vai trò của hình thức đầu tư góp vốn, mua cổ phần, phần vốn góp</w:t>
      </w:r>
    </w:p>
    <w:p>
      <w:pPr>
        <w:spacing w:after="60" w:line="312" w:lineRule="auto"/>
      </w:pPr>
      <w:r>
        <w:rPr>
          <w:b/>
        </w:rPr>
        <w:t>1.2. Pháp luật về góp vốn, mua cổ phần, phần vốn góp của nhà đầu tư nước ngoài</w:t>
      </w:r>
    </w:p>
    <w:p>
      <w:pPr>
        <w:spacing w:after="60" w:line="312" w:lineRule="auto"/>
        <w:ind w:left="850"/>
      </w:pPr>
      <w:r>
        <w:rPr>
          <w:b w:val="0"/>
        </w:rPr>
        <w:t>1.2.1. Nguồn luật điều chỉnh</w:t>
      </w:r>
    </w:p>
    <w:p>
      <w:pPr>
        <w:spacing w:after="60" w:line="312" w:lineRule="auto"/>
        <w:ind w:left="1276"/>
      </w:pPr>
      <w:r>
        <w:rPr>
          <w:b w:val="0"/>
        </w:rPr>
        <w:t>1.2.1.1. Điều ước quốc tế và cam kết mở cửa thị trường của Việt Nam</w:t>
      </w:r>
    </w:p>
    <w:p>
      <w:pPr>
        <w:spacing w:after="60" w:line="312" w:lineRule="auto"/>
        <w:ind w:left="1276"/>
      </w:pPr>
      <w:r>
        <w:rPr>
          <w:b w:val="0"/>
        </w:rPr>
        <w:t>1.2.1.2. Pháp luật Việt Nam về đầu tư, doanh nghiệp, chứng khoán, cạnh tranh và quản lý ngoại hối</w:t>
      </w:r>
    </w:p>
    <w:p>
      <w:pPr>
        <w:spacing w:after="60" w:line="312" w:lineRule="auto"/>
        <w:ind w:left="850"/>
      </w:pPr>
      <w:r>
        <w:rPr>
          <w:b w:val="0"/>
        </w:rPr>
        <w:t>1.2.2. Chủ thể và hình thức góp vốn, mua cổ phần, phần vốn góp</w:t>
      </w:r>
    </w:p>
    <w:p>
      <w:pPr>
        <w:spacing w:after="60" w:line="312" w:lineRule="auto"/>
        <w:ind w:left="850"/>
      </w:pPr>
      <w:r>
        <w:rPr>
          <w:b w:val="0"/>
        </w:rPr>
        <w:t>1.2.3. Điều kiện đối với nhà đầu tư nước ngoài</w:t>
      </w:r>
    </w:p>
    <w:p>
      <w:pPr>
        <w:spacing w:after="60" w:line="312" w:lineRule="auto"/>
        <w:ind w:left="1276"/>
      </w:pPr>
      <w:r>
        <w:rPr>
          <w:b w:val="0"/>
        </w:rPr>
        <w:t>1.2.3.1. Điều kiện tiếp cận thị trường và tỷ lệ sở hữu</w:t>
      </w:r>
    </w:p>
    <w:p>
      <w:pPr>
        <w:spacing w:after="60" w:line="312" w:lineRule="auto"/>
        <w:ind w:left="1276"/>
      </w:pPr>
      <w:r>
        <w:rPr>
          <w:b w:val="0"/>
        </w:rPr>
        <w:t>1.2.3.2. Điều kiện bảo đảm quốc phòng, an ninh và sử dụng đất</w:t>
      </w:r>
    </w:p>
    <w:p>
      <w:pPr>
        <w:spacing w:after="60" w:line="312" w:lineRule="auto"/>
        <w:ind w:left="1276"/>
      </w:pPr>
      <w:r>
        <w:rPr>
          <w:b w:val="0"/>
        </w:rPr>
        <w:t>1.2.3.3. Điều kiện đối với ngành, nghề đầu tư kinh doanh có điều kiện</w:t>
      </w:r>
    </w:p>
    <w:p>
      <w:pPr>
        <w:spacing w:after="60" w:line="312" w:lineRule="auto"/>
        <w:ind w:left="850"/>
      </w:pPr>
      <w:r>
        <w:rPr>
          <w:b w:val="0"/>
        </w:rPr>
        <w:t>1.2.4. Trình tự, thủ tục</w:t>
      </w:r>
    </w:p>
    <w:p>
      <w:pPr>
        <w:spacing w:after="60" w:line="312" w:lineRule="auto"/>
        <w:ind w:left="1276"/>
      </w:pPr>
      <w:r>
        <w:rPr>
          <w:b w:val="0"/>
        </w:rPr>
        <w:t>1.2.4.1. Đăng ký góp vốn, mua cổ phần, phần vốn góp tại cơ quan đăng ký đầu tư</w:t>
      </w:r>
    </w:p>
    <w:p>
      <w:pPr>
        <w:spacing w:after="60" w:line="312" w:lineRule="auto"/>
        <w:ind w:left="1276"/>
      </w:pPr>
      <w:r>
        <w:rPr>
          <w:b w:val="0"/>
        </w:rPr>
        <w:t>1.2.4.2. Đăng ký thay đổi thành viên, cổ đông tại cơ quan đăng ký kinh doanh</w:t>
      </w:r>
    </w:p>
    <w:p>
      <w:pPr>
        <w:spacing w:after="60" w:line="312" w:lineRule="auto"/>
        <w:ind w:left="1276"/>
      </w:pPr>
      <w:r>
        <w:rPr>
          <w:b w:val="0"/>
        </w:rPr>
        <w:t>1.2.4.3. Thông báo tập trung kinh tế</w:t>
      </w:r>
    </w:p>
    <w:p>
      <w:pPr>
        <w:spacing w:after="60" w:line="312" w:lineRule="auto"/>
        <w:ind w:left="1276"/>
      </w:pPr>
      <w:r>
        <w:rPr>
          <w:b w:val="0"/>
        </w:rPr>
        <w:t>1.2.4.4. Mở tài khoản vốn đầu tư trực tiếp và chuyển vốn</w:t>
      </w:r>
    </w:p>
    <w:p>
      <w:pPr>
        <w:spacing w:after="60" w:line="312" w:lineRule="auto"/>
        <w:ind w:left="850"/>
      </w:pPr>
      <w:r>
        <w:rPr>
          <w:b w:val="0"/>
        </w:rPr>
        <w:t>1.2.5. Quyền, nghĩa vụ của nhà đầu tư nước ngoài sau khi góp vốn, mua cổ phần, phần vốn góp</w:t>
      </w:r>
    </w:p>
    <w:p>
      <w:pPr>
        <w:spacing w:after="60" w:line="312" w:lineRule="auto"/>
        <w:ind w:left="425"/>
      </w:pPr>
      <w:r>
        <w:rPr>
          <w:b w:val="0"/>
        </w:rPr>
        <w:t>Tiểu kết Chương 1</w:t>
      </w:r>
    </w:p>
    <w:p>
      <w:pPr>
        <w:spacing w:after="60" w:line="312" w:lineRule="auto"/>
      </w:pPr>
      <w:r>
        <w:rPr>
          <w:b/>
        </w:rPr>
        <w:t>CHƯƠNG 2. THỰC TIỄN ÁP DỤNG PHÁP LUẬT TRONG HOẠT ĐỘNG TƯ VẤN GÓP VỐN, MUA CỔ PHẦN, PHẦN VỐN GÓP CHO NHÀ ĐẦU TƯ TRUNG QUỐC TẠI CÔNG TY LUẬT TNHH ASL</w:t>
      </w:r>
    </w:p>
    <w:p>
      <w:pPr>
        <w:spacing w:after="60" w:line="312" w:lineRule="auto"/>
      </w:pPr>
      <w:r>
        <w:rPr>
          <w:b/>
        </w:rPr>
        <w:t>2.1. Tổng quan về Công ty Luật TNHH ASL</w:t>
      </w:r>
    </w:p>
    <w:p>
      <w:pPr>
        <w:spacing w:after="60" w:line="312" w:lineRule="auto"/>
        <w:ind w:left="850"/>
      </w:pPr>
      <w:r>
        <w:rPr>
          <w:b w:val="0"/>
        </w:rPr>
        <w:t>2.1.1. Quá trình hình thành, phát triển và tư cách pháp lý</w:t>
      </w:r>
    </w:p>
    <w:p>
      <w:pPr>
        <w:spacing w:after="60" w:line="312" w:lineRule="auto"/>
        <w:ind w:left="850"/>
      </w:pPr>
      <w:r>
        <w:rPr>
          <w:b w:val="0"/>
        </w:rPr>
        <w:t>2.1.2. Cơ cấu tổ chức và bộ phận phụ trách tư vấn đầu tư nước ngoài</w:t>
      </w:r>
    </w:p>
    <w:p>
      <w:pPr>
        <w:spacing w:after="60" w:line="312" w:lineRule="auto"/>
        <w:ind w:left="850"/>
      </w:pPr>
      <w:r>
        <w:rPr>
          <w:b w:val="0"/>
        </w:rPr>
        <w:t>2.1.3. Dịch vụ tư vấn đầu tư nước ngoài, mua bán và sáp nhập doanh nghiệp của Công ty</w:t>
      </w:r>
    </w:p>
    <w:p>
      <w:pPr>
        <w:spacing w:after="60" w:line="312" w:lineRule="auto"/>
      </w:pPr>
      <w:r>
        <w:rPr>
          <w:b/>
        </w:rPr>
        <w:t>2.2. Thực tiễn tư vấn góp vốn, mua cổ phần, phần vốn góp cho nhà đầu tư Trung Quốc</w:t>
      </w:r>
    </w:p>
    <w:p>
      <w:pPr>
        <w:spacing w:after="60" w:line="312" w:lineRule="auto"/>
        <w:ind w:left="850"/>
      </w:pPr>
      <w:r>
        <w:rPr>
          <w:b w:val="0"/>
        </w:rPr>
        <w:t>2.2.1. Đặc điểm nhà đầu tư Trung Quốc và nhu cầu tư vấn</w:t>
      </w:r>
    </w:p>
    <w:p>
      <w:pPr>
        <w:spacing w:after="60" w:line="312" w:lineRule="auto"/>
        <w:ind w:left="850"/>
      </w:pPr>
      <w:r>
        <w:rPr>
          <w:b w:val="0"/>
        </w:rPr>
        <w:t>2.2.2. Quy trình tư vấn tại Công ty</w:t>
      </w:r>
    </w:p>
    <w:p>
      <w:pPr>
        <w:spacing w:after="60" w:line="312" w:lineRule="auto"/>
        <w:ind w:left="850"/>
      </w:pPr>
      <w:r>
        <w:rPr>
          <w:b w:val="0"/>
        </w:rPr>
        <w:t>2.2.3. Rà soát điều kiện tiếp cận thị trường và điều kiện đầu tư kinh doanh</w:t>
      </w:r>
    </w:p>
    <w:p>
      <w:pPr>
        <w:spacing w:after="60" w:line="312" w:lineRule="auto"/>
        <w:ind w:left="850"/>
      </w:pPr>
      <w:r>
        <w:rPr>
          <w:b w:val="0"/>
        </w:rPr>
        <w:t>2.2.4. Thẩm định pháp lý doanh nghiệp nhận vốn góp</w:t>
      </w:r>
    </w:p>
    <w:p>
      <w:pPr>
        <w:spacing w:after="60" w:line="312" w:lineRule="auto"/>
        <w:ind w:left="850"/>
      </w:pPr>
      <w:r>
        <w:rPr>
          <w:b w:val="0"/>
        </w:rPr>
        <w:t>2.2.5. Tư vấn phương án giao dịch và soạn thảo hợp đồng chuyển nhượng</w:t>
      </w:r>
    </w:p>
    <w:p>
      <w:pPr>
        <w:spacing w:after="60" w:line="312" w:lineRule="auto"/>
        <w:ind w:left="850"/>
      </w:pPr>
      <w:r>
        <w:rPr>
          <w:b w:val="0"/>
        </w:rPr>
        <w:t>2.2.6. Thực hiện thủ tục đăng ký góp vốn và thay đổi đăng ký doanh nghiệp</w:t>
      </w:r>
    </w:p>
    <w:p>
      <w:pPr>
        <w:spacing w:after="60" w:line="312" w:lineRule="auto"/>
        <w:ind w:left="850"/>
      </w:pPr>
      <w:r>
        <w:rPr>
          <w:b w:val="0"/>
        </w:rPr>
        <w:t>2.2.7. Tư vấn chuyển vốn, quản lý ngoại hối và nghĩa vụ thuế của giao dịch</w:t>
      </w:r>
    </w:p>
    <w:p>
      <w:pPr>
        <w:spacing w:after="60" w:line="312" w:lineRule="auto"/>
      </w:pPr>
      <w:r>
        <w:rPr>
          <w:b/>
        </w:rPr>
        <w:t>2.3. Những vướng mắc pháp lý phát sinh trong thực tiễn tư vấn</w:t>
      </w:r>
    </w:p>
    <w:p>
      <w:pPr>
        <w:spacing w:after="60" w:line="312" w:lineRule="auto"/>
        <w:ind w:left="850"/>
      </w:pPr>
      <w:r>
        <w:rPr>
          <w:b w:val="0"/>
        </w:rPr>
        <w:t>2.3.1. Vướng mắc khi xác định điều kiện tiếp cận thị trường đối với ngành, nghề chưa cam kết</w:t>
      </w:r>
    </w:p>
    <w:p>
      <w:pPr>
        <w:spacing w:after="60" w:line="312" w:lineRule="auto"/>
        <w:ind w:left="850"/>
      </w:pPr>
      <w:r>
        <w:rPr>
          <w:b w:val="0"/>
        </w:rPr>
        <w:t>2.3.2. Vướng mắc về điều kiện bảo đảm quốc phòng, an ninh và thời gian xem xét hồ sơ</w:t>
      </w:r>
    </w:p>
    <w:p>
      <w:pPr>
        <w:spacing w:after="60" w:line="312" w:lineRule="auto"/>
        <w:ind w:left="850"/>
      </w:pPr>
      <w:r>
        <w:rPr>
          <w:b w:val="0"/>
        </w:rPr>
        <w:t>2.3.3. Vướng mắc về giấy tờ nước ngoài và thủ tục hợp pháp hóa lãnh sự</w:t>
      </w:r>
    </w:p>
    <w:p>
      <w:pPr>
        <w:spacing w:after="60" w:line="312" w:lineRule="auto"/>
        <w:ind w:left="850"/>
      </w:pPr>
      <w:r>
        <w:rPr>
          <w:b w:val="0"/>
        </w:rPr>
        <w:t>2.3.4. Vướng mắc từ quy định quản lý đầu tư ra nước ngoài của Trung Quốc</w:t>
      </w:r>
    </w:p>
    <w:p>
      <w:pPr>
        <w:spacing w:after="60" w:line="312" w:lineRule="auto"/>
        <w:ind w:left="425"/>
      </w:pPr>
      <w:r>
        <w:rPr>
          <w:b w:val="0"/>
        </w:rPr>
        <w:t>Tiểu kết Chương 2</w:t>
      </w:r>
    </w:p>
    <w:p>
      <w:pPr>
        <w:spacing w:after="60" w:line="312" w:lineRule="auto"/>
      </w:pPr>
      <w:r>
        <w:rPr>
          <w:b/>
        </w:rPr>
        <w:t>CHƯƠNG 3. ĐÁNH GIÁ, KIẾN NGHỊ HOÀN THIỆN PHÁP LUẬT VÀ GIẢI PHÁP NÂNG CAO HIỆU QUẢ TƯ VẤN TẠI CÔNG TY LUẬT TNHH ASL</w:t>
      </w:r>
    </w:p>
    <w:p>
      <w:pPr>
        <w:spacing w:after="60" w:line="312" w:lineRule="auto"/>
      </w:pPr>
      <w:r>
        <w:rPr>
          <w:b/>
        </w:rPr>
        <w:t>3.1. Đánh giá thực tiễn áp dụng pháp luật</w:t>
      </w:r>
    </w:p>
    <w:p>
      <w:pPr>
        <w:spacing w:after="60" w:line="312" w:lineRule="auto"/>
        <w:ind w:left="850"/>
      </w:pPr>
      <w:r>
        <w:rPr>
          <w:b w:val="0"/>
        </w:rPr>
        <w:t>3.1.1. Kết quả đạt được</w:t>
      </w:r>
    </w:p>
    <w:p>
      <w:pPr>
        <w:spacing w:after="60" w:line="312" w:lineRule="auto"/>
        <w:ind w:left="850"/>
      </w:pPr>
      <w:r>
        <w:rPr>
          <w:b w:val="0"/>
        </w:rPr>
        <w:t>3.1.2. Tồn tại, hạn chế</w:t>
      </w:r>
    </w:p>
    <w:p>
      <w:pPr>
        <w:spacing w:after="60" w:line="312" w:lineRule="auto"/>
        <w:ind w:left="850"/>
      </w:pPr>
      <w:r>
        <w:rPr>
          <w:b w:val="0"/>
        </w:rPr>
        <w:t>3.1.3. Nguyên nhân của tồn tại, hạn chế</w:t>
      </w:r>
    </w:p>
    <w:p>
      <w:pPr>
        <w:spacing w:after="60" w:line="312" w:lineRule="auto"/>
      </w:pPr>
      <w:r>
        <w:rPr>
          <w:b/>
        </w:rPr>
        <w:t>3.2. Kiến nghị hoàn thiện pháp luật</w:t>
      </w:r>
    </w:p>
    <w:p>
      <w:pPr>
        <w:spacing w:after="60" w:line="312" w:lineRule="auto"/>
        <w:ind w:left="850"/>
      </w:pPr>
      <w:r>
        <w:rPr>
          <w:b w:val="0"/>
        </w:rPr>
        <w:t>3.2.1. Về danh mục ngành, nghề hạn chế tiếp cận thị trường</w:t>
      </w:r>
    </w:p>
    <w:p>
      <w:pPr>
        <w:spacing w:after="60" w:line="312" w:lineRule="auto"/>
        <w:ind w:left="850"/>
      </w:pPr>
      <w:r>
        <w:rPr>
          <w:b w:val="0"/>
        </w:rPr>
        <w:t>3.2.2. Về tiêu chí và thời hạn xem xét điều kiện bảo đảm quốc phòng, an ninh</w:t>
      </w:r>
    </w:p>
    <w:p>
      <w:pPr>
        <w:spacing w:after="60" w:line="312" w:lineRule="auto"/>
        <w:ind w:left="850"/>
      </w:pPr>
      <w:r>
        <w:rPr>
          <w:b w:val="0"/>
        </w:rPr>
        <w:t>3.2.3. Về thủ tục đăng ký góp vốn, mua cổ phần, phần vốn góp</w:t>
      </w:r>
    </w:p>
    <w:p>
      <w:pPr>
        <w:spacing w:after="60" w:line="312" w:lineRule="auto"/>
        <w:ind w:left="850"/>
      </w:pPr>
      <w:r>
        <w:rPr>
          <w:b w:val="0"/>
        </w:rPr>
        <w:t>3.2.4. Về quản lý ngoại hối đối với giao dịch chuyển nhượng vốn</w:t>
      </w:r>
    </w:p>
    <w:p>
      <w:pPr>
        <w:spacing w:after="60" w:line="312" w:lineRule="auto"/>
      </w:pPr>
      <w:r>
        <w:rPr>
          <w:b/>
        </w:rPr>
        <w:t>3.3. Giải pháp nâng cao hiệu quả tư vấn tại Công ty Luật TNHH ASL</w:t>
      </w:r>
    </w:p>
    <w:p>
      <w:pPr>
        <w:spacing w:after="60" w:line="312" w:lineRule="auto"/>
        <w:ind w:left="850"/>
      </w:pPr>
      <w:r>
        <w:rPr>
          <w:b w:val="0"/>
        </w:rPr>
        <w:t>3.3.1. Chuẩn hóa quy trình và bộ hồ sơ mẫu tư vấn cho nhà đầu tư Trung Quốc</w:t>
      </w:r>
    </w:p>
    <w:p>
      <w:pPr>
        <w:spacing w:after="60" w:line="312" w:lineRule="auto"/>
        <w:ind w:left="850"/>
      </w:pPr>
      <w:r>
        <w:rPr>
          <w:b w:val="0"/>
        </w:rPr>
        <w:t>3.3.2. Nâng cao năng lực tiếng Trung và hiểu biết pháp luật Trung Quốc của đội ngũ tư vấn</w:t>
      </w:r>
    </w:p>
    <w:p>
      <w:pPr>
        <w:spacing w:after="60" w:line="312" w:lineRule="auto"/>
        <w:ind w:left="850"/>
      </w:pPr>
      <w:r>
        <w:rPr>
          <w:b w:val="0"/>
        </w:rPr>
        <w:t>3.3.3. Tăng cường phối hợp với công ty luật đối tác tại Trung Quốc</w:t>
      </w:r>
    </w:p>
    <w:p>
      <w:pPr>
        <w:spacing w:after="60" w:line="312" w:lineRule="auto"/>
        <w:ind w:left="850"/>
      </w:pPr>
      <w:r>
        <w:rPr>
          <w:b w:val="0"/>
        </w:rPr>
        <w:t>3.3.4. Ứng dụng công nghệ trong quản lý hồ sơ và theo dõi thủ tục</w:t>
      </w:r>
    </w:p>
    <w:p>
      <w:pPr>
        <w:spacing w:after="60" w:line="312" w:lineRule="auto"/>
        <w:ind w:left="425"/>
      </w:pPr>
      <w:r>
        <w:rPr>
          <w:b w:val="0"/>
        </w:rPr>
        <w:t>Tiểu kết Chương 3</w:t>
      </w:r>
    </w:p>
    <w:p>
      <w:pPr>
        <w:spacing w:after="60" w:line="312" w:lineRule="auto"/>
      </w:pPr>
      <w:r>
        <w:rPr>
          <w:b/>
        </w:rPr>
        <w:t>KẾT LUẬN</w:t>
      </w:r>
    </w:p>
    <w:p>
      <w:pPr>
        <w:spacing w:after="60" w:line="312" w:lineRule="auto"/>
      </w:pPr>
      <w:r>
        <w:rPr>
          <w:b/>
        </w:rPr>
        <w:t>DANH MỤC TÀI LIỆU THAM KHẢO</w:t>
      </w:r>
    </w:p>
    <w:p>
      <w:pPr>
        <w:spacing w:after="60" w:line="312" w:lineRule="auto"/>
        <w:ind w:left="425"/>
      </w:pPr>
      <w:r>
        <w:rPr>
          <w:b w:val="0"/>
        </w:rPr>
        <w:t>A. Văn bản quy phạm pháp luật và điều ước quốc tế</w:t>
      </w:r>
    </w:p>
    <w:p>
      <w:pPr>
        <w:spacing w:after="60" w:line="312" w:lineRule="auto"/>
        <w:ind w:left="425"/>
      </w:pPr>
      <w:r>
        <w:rPr>
          <w:b w:val="0"/>
        </w:rPr>
        <w:t>B. Tài liệu tiếng Việt</w:t>
      </w:r>
    </w:p>
    <w:p>
      <w:pPr>
        <w:spacing w:after="60" w:line="312" w:lineRule="auto"/>
        <w:ind w:left="425"/>
      </w:pPr>
      <w:r>
        <w:rPr>
          <w:b w:val="0"/>
        </w:rPr>
        <w:t>C. Tài liệu tiếng nước ngoài</w:t>
      </w:r>
    </w:p>
    <w:p>
      <w:pPr>
        <w:spacing w:after="60" w:line="312" w:lineRule="auto"/>
        <w:ind w:left="425"/>
      </w:pPr>
      <w:r>
        <w:rPr>
          <w:b w:val="0"/>
        </w:rPr>
        <w:t>D. Tài liệu trên trang thông tin điện tử</w:t>
      </w:r>
    </w:p>
    <w:p>
      <w:pPr>
        <w:spacing w:after="60" w:line="312" w:lineRule="auto"/>
      </w:pPr>
      <w:r>
        <w:rPr>
          <w:b/>
        </w:rPr>
        <w:t>PHỤ LỤC</w:t>
      </w:r>
    </w:p>
    <w:p>
      <w:pPr>
        <w:spacing w:after="60" w:line="312" w:lineRule="auto"/>
        <w:ind w:left="425"/>
      </w:pPr>
      <w:r>
        <w:rPr>
          <w:b w:val="0"/>
        </w:rPr>
        <w:t>Phụ lục 1. Giấy đăng ký hoạt động của Công ty Luật TNHH ASL</w:t>
      </w:r>
    </w:p>
    <w:p>
      <w:pPr>
        <w:spacing w:after="60" w:line="312" w:lineRule="auto"/>
        <w:ind w:left="425"/>
      </w:pPr>
      <w:r>
        <w:rPr>
          <w:b w:val="0"/>
        </w:rPr>
        <w:t>Phụ lục 2. Mẫu hợp đồng dịch vụ pháp lý tư vấn góp vốn, mua cổ phần, phần vốn góp</w:t>
      </w:r>
    </w:p>
    <w:p>
      <w:pPr>
        <w:spacing w:after="60" w:line="312" w:lineRule="auto"/>
        <w:ind w:left="425"/>
      </w:pPr>
      <w:r>
        <w:rPr>
          <w:b w:val="0"/>
        </w:rPr>
        <w:t>Phụ lục 3. Danh mục hồ sơ đăng ký góp vốn, mua cổ phần, phần vốn góp (đã ẩn thông tin khách hàng)</w:t>
      </w:r>
    </w:p>
    <w:p>
      <w:pPr>
        <w:spacing w:after="60" w:line="312" w:lineRule="auto"/>
        <w:ind w:left="425"/>
      </w:pPr>
      <w:r>
        <w:rPr>
          <w:b w:val="0"/>
        </w:rPr>
        <w:t>Phụ lục 4. Bảng tổng hợp vụ việc tư vấn cho nhà đầu tư Trung Quốc (đã ẩn thông tin khách hàng)</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