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kontrungcany@gmail.com;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spacing w:line="240" w:lineRule="auto" w:after="240" w:before="0"/>
        <w:jc w:val="center"/>
      </w:pPr>
      <w:r>
        <w:rPr/>
        <w:t>Running title: ESG score coverage and firm value</w:t>
      </w:r>
    </w:p>
    <w:p>
      <w:pPr>
        <w:keepNext/>
        <w:spacing w:line="360" w:lineRule="auto" w:after="120" w:before="240"/>
      </w:pPr>
      <w:r>
        <w:rPr>
          <w:b/>
          <w:sz w:val="24"/>
        </w:rPr>
        <w:t>Abstract</w:t>
      </w:r>
    </w:p>
    <w:p>
      <w:pPr>
        <w:spacing w:line="360" w:lineRule="auto" w:after="120" w:before="0"/>
        <w:jc w:val="both"/>
      </w:pPr>
      <w:r>
        <w:rPr/>
        <w:t>Most listed firms in Southeast Asia have no environmental, social, and governance (ESG) score, so they sit outside the universe that ESG-screened investors can hold. Following 675 non-financial firms that entered London Stock Exchange Group (LSEG) ESG coverage, we find that their market-to-book (MTB) ratio grew 10.0 percent more than that of never-scored firms beforehand, a run-up absent in a large Malaysian wave. Under parallel trends, we detect no MTB gain after the first score (estimate 0.002; 95% interval −0.046 to 0.048) for high- or low-score firms.</w:t>
      </w:r>
    </w:p>
    <w:p>
      <w:pPr>
        <w:spacing w:line="360" w:lineRule="auto" w:after="120" w:before="0"/>
      </w:pPr>
      <w:r>
        <w:rPr>
          <w:i/>
        </w:rPr>
        <w:t>Keywords:</w:t>
      </w:r>
      <w:r>
        <w:rPr/>
        <w:t xml:space="preserve"> Emerging markets; ESG investing; ESG ratings; Firm valuation; Rating coverage; Sustainable finance</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 provider whose scores are used in much of the academic literature on ESG ratings (Berg, Kölbel, et al., 2022; Dobrick et al., 2023),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Theory gives no single answer to the second question. Under investor recognition, a first score makes a firm visible to investors who screen on ESG data, and a broader investor base raises its price (Merton, 1987). Under ESG preferences, investors pay more for green assets and less for brown ones (Pástor et al., 2021; Pedersen et al., 2021), so a first score should raise the value of firms it reveals as green and lower the value of firms it reveals as brown. Evidence on ESG certification events is mixed: additions to the Dow Jones Sustainability Index have little price effect once comparable firms are used as benchmarks (Durand et al., 2019; Hawn et al., 2018), whereas downgrades of existing ratings are followed by negative abnormal returns and upgrades by weaker positive ones (Berg, Heeb, et al., 2022; Shanaev &amp; Ghimire, 2022). Fund investors respond to sustainability ratings when these are new and salient (Hartzmark &amp; Sussman, 2019).</w:t>
      </w:r>
    </w:p>
    <w:p>
      <w:pPr>
        <w:spacing w:line="360" w:lineRule="auto" w:after="120" w:before="0"/>
        <w:ind w:firstLine="432"/>
        <w:jc w:val="both"/>
      </w:pPr>
      <w:r>
        <w:rPr/>
        <w:t>The first question matters because providers choose whom to score. They are likely to add a firm once it is large, liquid, or disclosing enough to be scored, and the scores themselves rise with firm size (Dobrick et al., 2023; Drempetic et al.,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360" w:lineRule="auto" w:after="120" w:before="0"/>
        <w:ind w:firstLine="432"/>
        <w:jc w:val="both"/>
      </w:pPr>
      <w:r>
        <w:rPr/>
        <w:t>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et al.,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never-scored firms of similar size, country, and industry before their first scored year (Fig.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and the market capitalization run-up may partly reflect new shares. Second, the run-up differs across coverage waves (Fig.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the test of the preference channel, is −0.041 (p = 0.307), with a minimum detectable difference of 0.113, so we detect no difference but cannot exclude a moderate one. Fourth, a static two-way fixed effects regression on the same data attributes a 6.6 percent MTB increase to coverage.</w:t>
      </w:r>
    </w:p>
    <w:p>
      <w:pPr>
        <w:pageBreakBefore/>
        <w:spacing w:line="240" w:lineRule="auto" w:after="120" w:before="0"/>
      </w:pPr>
      <w:r>
        <w:rPr>
          <w:b/>
        </w:rPr>
        <w:t>Fig. 1</w:t>
      </w:r>
      <w:r>
        <w:t xml:space="preserve"> </w:t>
      </w:r>
      <w:r>
        <w:rPr/>
        <w:t>Event-time effects of the first LSEG ESG score on market-to-book ratio, market capitalization, leverage, and total assets</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Event year 4 is not part of Eq. (6).</w:t>
      </w:r>
    </w:p>
    <w:p>
      <w:pPr>
        <w:spacing w:line="240" w:lineRule="auto" w:after="40" w:before="0"/>
      </w:pPr>
      <w:r>
        <w:rPr>
          <w:sz w:val="20"/>
        </w:rPr>
        <w:t>Source: Authors' calculations from LSEG ESG scores and Compustat Global.</w:t>
      </w:r>
    </w:p>
    <w:p>
      <w:r>
        <w:br w:type="page"/>
      </w:r>
    </w:p>
    <w:p>
      <w:pPr>
        <w:pageBreakBefore/>
        <w:spacing w:line="240" w:lineRule="auto" w:after="120" w:before="0"/>
      </w:pPr>
      <w:r>
        <w:rPr>
          <w:b/>
        </w:rPr>
        <w:t>Fig. 2</w:t>
      </w:r>
      <w:r>
        <w:t xml:space="preserve"> </w:t>
      </w:r>
      <w:r>
        <w:rPr/>
        <w:t>Event-time effects on market-to-book ratio and market capitalization by coverage wave</w:t>
      </w:r>
    </w:p>
    <w:p>
      <w:pPr>
        <w:jc w:val="center"/>
      </w:pPr>
      <w:r>
        <w:drawing>
          <wp:inline xmlns:a="http://schemas.openxmlformats.org/drawingml/2006/main" xmlns:pic="http://schemas.openxmlformats.org/drawingml/2006/picture">
            <wp:extent cx="5760720" cy="531758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60720" cy="5317588"/>
                    </a:xfrm>
                    <a:prstGeom prst="rect"/>
                  </pic:spPr>
                </pic:pic>
              </a:graphicData>
            </a:graphic>
          </wp:inline>
        </w:drawing>
      </w:r>
    </w:p>
    <w:p>
      <w:pPr>
        <w:spacing w:line="240" w:lineRule="auto" w:after="40" w:before="0"/>
      </w:pPr>
      <w:r>
        <w:rPr>
          <w:sz w:val="20"/>
        </w:rPr>
        <w:t>Markers show the estimates of Eq. (5) for each wave against all never-scored firms, with bootstrap 95% intervals; marker shape and line type identify the wave. All other cohorts are firms first scored outside the two waves.</w:t>
      </w:r>
    </w:p>
    <w:p>
      <w:pPr>
        <w:spacing w:line="240" w:lineRule="auto" w:after="40" w:before="0"/>
      </w:pPr>
      <w:r>
        <w:rPr>
          <w:sz w:val="20"/>
        </w:rPr>
        <w:t>Source: Authors' calculations from LSEG ESG scores and Compustat Global.</w:t>
      </w:r>
    </w:p>
    <w:p>
      <w:r>
        <w:br w:type="page"/>
      </w:r>
    </w:p>
    <w:p>
      <w:pPr>
        <w:spacing w:line="360" w:lineRule="auto" w:after="120" w:before="0"/>
        <w:ind w:firstLine="432"/>
        <w:jc w:val="both"/>
      </w:pPr>
      <w:r>
        <w:rPr/>
        <w:t>We do not claim that coverage has no effect on valuation. When we date coverage one year later, to the first year in which investors could have seen a score, the MTB ratio changes by −6.6 percent relative to never-scored firms (95% interval −10.9 to −2.0 percent). This decline is measured from the end of the run-up, so it cannot separate a reversal of earlier growth from an effect of coverage, and it loses significance if post-coverage trends may drift by about a quarter of the largest pre-coverage change. When post-coverage departures from parallel trends may reach a quarter of the largest pre-coverage year-to-year change (Rambachan &amp; Roth, 2023), the interval for the headline estimate widens to −0.071 to 0.073.</w:t>
      </w:r>
    </w:p>
    <w:p>
      <w:pPr>
        <w:spacing w:line="360" w:lineRule="auto" w:after="120" w:before="0"/>
        <w:ind w:firstLine="432"/>
        <w:jc w:val="both"/>
      </w:pPr>
      <w:r>
        <w:rPr/>
        <w:t>The paper makes three contributions to sustainable finance. First, it adds valuation and an emerging-market setting to the rating-coverage literature (Bikmetova &amp; Pirinsky, 2026; Tsang et al., 2024, 2025) and documents which firms one provider brought into its scored universe: outside its largest wave, firms that had just outgrown their peers. Second, it adds the initiation of coverage to the evidence on ratings and certification as price-relevant information: entering LSEG coverage, unlike a downgrade of an MSCI rating (Berg, Heeb, et al., 2022),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ESG ratings as information and certification</w:t>
      </w:r>
    </w:p>
    <w:p>
      <w:pPr>
        <w:spacing w:line="360" w:lineRule="auto" w:after="120" w:before="0"/>
        <w:ind w:firstLine="432"/>
        <w:jc w:val="both"/>
      </w:pPr>
      <w:r>
        <w:rPr/>
        <w:t>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et al., 2022). Calendar-time portfolios of firms with rating changes give a similar asymmetry (Shanaev &amp; Ghimire, 2022). Consensus ratings predict future ESG news, but disagreement among providers weakens both this predictive power and the price reaction to the news (Serafeim &amp;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Certification by inclusion in a sustainability index is the closest analog to a first score. Additions to the Dow Jones Sustainability Index have limited price effects once firms are compared with similar firms outside the index (Hawn et al., 2018), and a replication finds no price effect but more analyst following after addition and more long-term ownership after continued membership (Durand et al., 2019). Sell-side coverage offers a second analog: losing analyst coverage lowers prices (Kelly &amp; Ljungqvist, 2012), and the first report on a neglected stock raises its price when the report is favorable (Demiroglu &amp; Ryngaert, 2010).</w:t>
      </w:r>
    </w:p>
    <w:p>
      <w:pPr>
        <w:keepNext/>
        <w:spacing w:line="360" w:lineRule="auto" w:after="120" w:before="120"/>
      </w:pPr>
      <w:r>
        <w:rPr>
          <w:b/>
          <w:i/>
          <w:sz w:val="24"/>
        </w:rPr>
        <w:t>2.2. ESG demand, recognition, and price pressure</w:t>
      </w:r>
    </w:p>
    <w:p>
      <w:pPr>
        <w:spacing w:line="360" w:lineRule="auto" w:after="120" w:before="0"/>
        <w:ind w:firstLine="432"/>
        <w:jc w:val="both"/>
      </w:pPr>
      <w:r>
        <w:rPr/>
        <w:t>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et al., 2004). Under ESG preferences, investors accept lower expected returns on assets they classify as sustainable (Pástor et al., 2021; Pedersen et al.,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Demand shocks also shape realized prices before any rating event. Pástor et al. (2022) show that the high realized returns of green assets reflect unexpected increases in ESG concern rather than high expected returns. In the same way, inclusion in the S&amp;P 500 raises prices (Harris &amp; Gurel, 1986; Shleifer, 1986), and part of the increase reverses within weeks (Harris &amp; Gurel, 1986). A run-up in value before coverage, followed by a flat path, is consistent with a demand shift that ended, with selection on growth, or with both.</w:t>
      </w:r>
    </w:p>
    <w:p>
      <w:pPr>
        <w:keepNext/>
        <w:spacing w:line="360" w:lineRule="auto" w:after="120" w:before="120"/>
      </w:pPr>
      <w:r>
        <w:rPr>
          <w:b/>
          <w:i/>
          <w:sz w:val="24"/>
        </w:rPr>
        <w:t>2.3. Which firms providers score</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The provider we study gives higher scores to larger firms, a bias first documented for its ASSET4 scores (Drempetic et al., 2020) and still present in its Refinitiv scores (Dobrick et al., 2023). Providers disagree about the same firm (Berg, Kölbel, et al., 2022; Christensen et al., 2022), the disagreement is priced (Avramov et al., 2022; Gibson Brandon et al., 2021), and the provider has rewritten historical scores on a large scale (Berg et al., 2020). If providers select firms that have grown, a comparison of scored and unscored firms mixes the effect of coverage with the growth that led to it.</w:t>
      </w:r>
    </w:p>
    <w:p>
      <w:pPr>
        <w:keepNext/>
        <w:spacing w:line="360" w:lineRule="auto" w:after="120" w:before="120"/>
      </w:pPr>
      <w:r>
        <w:rPr>
          <w:b/>
          <w:i/>
          <w:sz w:val="24"/>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sz w:val="24"/>
        </w:rPr>
        <w:t>3. Institutional Setting and Data</w:t>
      </w:r>
    </w:p>
    <w:p>
      <w:pPr>
        <w:keepNext/>
        <w:spacing w:line="360" w:lineRule="auto" w:after="120" w:before="120"/>
      </w:pPr>
      <w:r>
        <w:rPr>
          <w:b/>
          <w:i/>
          <w:sz w:val="24"/>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had to report sustainability information in the unified annual filing, the 56-1 One Report, since the fiscal year ending in 2021 (Tilleke &amp;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 Throughout, a score is the LSEG ESG score, a data-vendor assessment built from company disclosures; a rating is the broader class of assessments, including MSCI-type ratings produced by analysts; coverage means that the provider publishes a score for the firm; and the provider is LSEG.</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Because first scored fiscal years can precede publication (Section 3.2), the data cannot tell whether the Malaysian wave was linked to the November 2022 agreement, which concerned FTSE Russell scores. The waves do not line up with a single reporting rule: the Thai wave came before the One Report requirement, and the Malaysian wave came several years after Bursa Malaysia's rule was phased in. Singapore, Indonesia, and the Philippines have too few first scores per year (Table S2) to relate them to their rules. The data do not record why the provider expanded coverage when it did. The pooled estimates are weighted toward Malaysia and Thailand, and we report estimates by market and by wave.</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the firms that never receive one in our sample never-scored; the latter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Supplemental Appendix reports firm-years by outcome, and Table S6 reports scored firms by event year; counts differ slightly across tables because each counts the firms with the outcome observed in the base year and in the year concerned. Never-scored firms are smaller on average, and a check in Section 4.5 restricts scored firms to the size range of the controls.</w:t>
      </w:r>
    </w:p>
    <w:p>
      <w:pPr>
        <w:spacing w:line="360" w:lineRule="auto" w:after="120" w:before="0"/>
        <w:ind w:firstLine="432"/>
        <w:jc w:val="both"/>
      </w:pPr>
      <w:r>
        <w:rPr/>
        <w:t>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pageBreakBefore/>
        <w:spacing w:line="240" w:lineRule="auto" w:after="120" w:before="0"/>
      </w:pPr>
      <w:r>
        <w:rPr>
          <w:b/>
        </w:rPr>
        <w:t>Table 1</w:t>
      </w:r>
      <w:r>
        <w:t xml:space="preserve"> </w:t>
      </w:r>
      <w:r>
        <w:rPr/>
        <w:t>Characteristics of scored firms in the base year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never-scored firms with the same covariates from year g + e to the base year. Third, the covariates are measured in the base year, at the end of any run-up. Because the provider's scores rise with firm size (Dobrick et al.,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pageBreakBefore/>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confidence intervals (CI);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(TWFE)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Supplemental Appendix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pageBreakBefore/>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et al., 2023), we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which include 109 firms first scored in 2023, fall in between: their MTB ratio lies below that of never-scored firms by a similar amount in event years −5 and −2 (−0.103 and −0.108) and catches up in the base year (pre-trend p = 0.006), and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 S2 of the Supplemental Appendix plots the event-time path under R10. The decline grows with time since coverage, from −0.039 in the re-dated event year 0 to −0.200 in event year 3. The baseline path in Fig. 1 does not show this because its later event years come from early cohorts while its first post-coverage years pool all cohorts. Re-based within each cohort to the first scored year, the baseline point estimates for event years 3 and 4 are −0.083 and −0.167, much closer to the corresponding R10 estimates of −0.138 and −0.200 than the pooled baseline path suggests; we report these re-based values without standard errors, as a reconciliation of the two paths rather than as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b/>
          <w:i/>
          <w:sz w:val="24"/>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 S2 of the Supplemental Appendix vary the size covariate and the support. The run-up does not depend on conditioning on base-year total assets. Without covariates, the run-up from event year −5 to the base year is 6.6 percent for MTB (event year −5 p = 0.068; pre-trend p = 0.028), weaker than the baseline, and 24.0 percent for market capitalization.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it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b/>
          <w:i/>
          <w:sz w:val="24"/>
        </w:rPr>
        <w:t>5.6. Does the score itself matter?</w:t>
      </w:r>
    </w:p>
    <w:p>
      <w:pPr>
        <w:spacing w:line="360" w:lineRule="auto" w:after="120" w:before="0"/>
        <w:ind w:firstLine="432"/>
        <w:jc w:val="both"/>
      </w:pPr>
      <w:r>
        <w:rPr/>
        <w:t>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et al., 2022; Christensen et al., 2022) and revisions of initial scores (Sahin et al., 2023) weaken the signal in any single score.</w:t>
      </w:r>
    </w:p>
    <w:p>
      <w:pPr>
        <w:keepNext/>
        <w:spacing w:line="360" w:lineRule="auto" w:after="120" w:before="120"/>
      </w:pPr>
      <w:r>
        <w:rPr>
          <w:b/>
          <w:i/>
          <w:sz w:val="24"/>
        </w:rPr>
        <w:t>5.7.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et al., 2022). Annual year-end ratios would miss short-lived price pressure, so our estimates concern lasting revaluation of the kind a permanent rise in investor recognition would produce (Chen et al.,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sz w:val="24"/>
        </w:rPr>
        <w:t>6. Discussion</w:t>
      </w:r>
    </w:p>
    <w:p>
      <w:pPr>
        <w:keepNext/>
        <w:spacing w:line="360" w:lineRule="auto" w:after="120" w:before="120"/>
      </w:pPr>
      <w:r>
        <w:rPr>
          <w:b/>
          <w:i/>
          <w:sz w:val="24"/>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afterwards.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The flat post-coverage MTB path in the baseline admits three readings, depending on the counterfactual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et al., 2004), so a recognition effect of that kind should have appeared as a lasting rise after coverage; we detect none under assumption (2). The publication-dated estimates in Section 5.4 show a decline in the third and fourth years of coverage for early cohorts, which a reversal would produce and a positive coverage effect could partly offset, but which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b/>
          <w:i/>
          <w:sz w:val="24"/>
        </w:rPr>
        <w:t>6.2. Relation to evidence on ESG ratings and certification</w:t>
      </w:r>
    </w:p>
    <w:p>
      <w:pPr>
        <w:spacing w:line="360" w:lineRule="auto" w:after="120" w:before="0"/>
        <w:ind w:firstLine="432"/>
        <w:jc w:val="both"/>
      </w:pPr>
      <w:r>
        <w:rPr/>
        <w:t>The absence of a detected gain fits the evidence on certification by sustainability indices, where additions have little price effect once comparable firms are used as benchmarks (Durand et al., 2019; Hawn et al., 2018). It contrasts with the price effects of MSCI downgrades (Berg, Heeb, et al., 2022; Shanaev &amp; Ghimire, 2022). Two features of our setting may explain the difference. First, the evidence that ESG funds trade on ratings concerns MSCI, the one rating that explains their holdings (Berg, Heeb, et al.,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et al., 2022; Serafeim &amp; Yoon, 2023) further weakens the information in any single score. U.S. studies find that coverage changes firm conduct (Bikmetova &amp; Pirinsky, 2026; Tsang et al., 2024) and payout (Tsang et al., 2025); we find no stable change in leverage or total assets and observe no measures of conduct.</w:t>
      </w:r>
    </w:p>
    <w:p>
      <w:pPr>
        <w:spacing w:line="360" w:lineRule="auto" w:after="120" w:before="0"/>
        <w:ind w:firstLine="432"/>
        <w:jc w:val="both"/>
      </w:pPr>
      <w:r>
        <w:rPr/>
        <w:t>The pre-coverage run-up also bears on the evidence on ESG demand. Pástor et al.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 In the Section 4.4 bound with M̄ = 0.25, the data admit MTB changes from −6.9 to 7.5 percent, so a demand shift of a few percent after coverage cannot be excluded.</w:t>
      </w:r>
    </w:p>
    <w:p>
      <w:pPr>
        <w:keepNext/>
        <w:spacing w:line="360" w:lineRule="auto" w:after="120" w:before="120"/>
      </w:pPr>
      <w:r>
        <w:rPr>
          <w:b/>
          <w:i/>
          <w:sz w:val="24"/>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et al., 2020; Sahin et al., 2023).</w:t>
      </w:r>
    </w:p>
    <w:p>
      <w:pPr>
        <w:spacing w:line="360" w:lineRule="auto" w:after="120" w:before="0"/>
        <w:ind w:firstLine="432"/>
        <w:jc w:val="both"/>
      </w:pPr>
      <w:r>
        <w:rPr/>
        <w:t>For exchanges, the large Malaysian wave carried no run-up (Fig. 2), which suggests that broad expansions of coverage within a market select less on prior growth than additions of individual firms. We do not observe what caused that wave, and we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The LSEG score is not the rating that the cited evidence links to ESG fund holdings (Berg, Heeb, et al., 2022), and for firms with earlier scores from other providers, such as FTSE Russell scores for Malaysian index constituents (Bernama, 2022), the event is an additional score. We do not examine domestic ESG channels such as exchange sustainability indices or Shariah screens.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texts and, for Thailand and Malaysia, from secondary summaries,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sz w:val="24"/>
        </w:rPr>
        <w:t>8. Conclusion</w:t>
      </w:r>
    </w:p>
    <w:p>
      <w:pPr>
        <w:spacing w:line="360" w:lineRule="auto" w:after="120" w:before="0"/>
        <w:ind w:firstLine="432"/>
        <w:jc w:val="both"/>
      </w:pPr>
      <w:r>
        <w:rPr/>
        <w:t>Entry into LSEG ESG coverage in five Southeast Asian markets followed relative growth on average, and it was not followed by a detected rise in market-to-book ratios. Scored firms grew faster than never-scored firms of similar size, country, and industry before their first scored year, by 10.0 percent in MTB (1.9 to 18.2 percent), while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Bursa Malaysia. (2015). </w:t>
      </w:r>
      <w:r>
        <w:rPr>
          <w:i/>
        </w:rPr>
        <w:t>Sustainability reporting guide</w:t>
      </w:r>
      <w:r>
        <w:rPr/>
        <w:t>. Bursa Malaysia Berhad.</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432" w:hanging="432"/>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432" w:hanging="432"/>
      </w:pPr>
      <w:r>
        <w:rPr/>
        <w:t xml:space="preserve">Serafeim, G., &amp; Yoon, A. (2023). Stock price reactions to ESG news: The role of ESG ratings and disagreement. </w:t>
      </w:r>
      <w:r>
        <w:rPr>
          <w:i/>
        </w:rPr>
        <w:t>Review of Accounting Studies</w:t>
      </w:r>
      <w:r>
        <w:rPr/>
        <w:t xml:space="preserve">, </w:t>
      </w:r>
      <w:r>
        <w:rPr>
          <w:i/>
        </w:rPr>
        <w:t>28</w:t>
      </w:r>
      <w:r>
        <w:rPr/>
        <w:t>(3), 1500–1530. https://doi.org/10.1007/s11142-022-09675-3</w:t>
      </w:r>
    </w:p>
    <w:p>
      <w:pPr>
        <w:spacing w:line="360" w:lineRule="auto" w:after="80" w:before="0"/>
        <w:ind w:left="432" w:hanging="432"/>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