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keepNext/>
        <w:spacing w:line="360" w:lineRule="auto" w:after="120" w:before="240"/>
      </w:pPr>
      <w:r>
        <w:rPr>
          <w:b/>
        </w:rPr>
        <w:t>Abstract</w:t>
      </w:r>
    </w:p>
    <w:p>
      <w:pPr>
        <w:spacing w:line="360" w:lineRule="auto" w:after="80" w:before="0"/>
        <w:jc w:val="both"/>
      </w:pPr>
      <w:r>
        <w:rPr>
          <w:b/>
        </w:rPr>
        <w:t>Purpose</w:t>
      </w:r>
      <w:r>
        <w:t xml:space="preserve"> – </w:t>
      </w:r>
      <w:r>
        <w:rPr/>
        <w:t>Environmental, social, and governance (ESG) scores decide which firms ESG-screened investors can hold, yet most listed emerging-market firms have none. This study asks which firms enter the scored universe and whether entry changes their market valuation.</w:t>
      </w:r>
    </w:p>
    <w:p>
      <w:pPr>
        <w:spacing w:line="360" w:lineRule="auto" w:after="80" w:before="0"/>
        <w:jc w:val="both"/>
      </w:pPr>
      <w:r>
        <w:rPr>
          <w:b/>
        </w:rPr>
        <w:t>Design/methodology/approach</w:t>
      </w:r>
      <w:r>
        <w:t xml:space="preserve"> – </w:t>
      </w:r>
      <w:r>
        <w:rPr/>
        <w:t>The study compares 675 non-financial firms in Indonesia, Malaysia, the Philippines, Singapore, and Thailand that received a first London Stock Exchange Group (LSEG) ESG score in 2015 to 2024 with 2,613 never-scored firms, before and after the first score, following a pre-analysis plan.</w:t>
      </w:r>
    </w:p>
    <w:p>
      <w:pPr>
        <w:spacing w:line="360" w:lineRule="auto" w:after="80" w:before="0"/>
        <w:jc w:val="both"/>
      </w:pPr>
      <w:r>
        <w:rPr>
          <w:b/>
        </w:rPr>
        <w:t>Findings</w:t>
      </w:r>
      <w:r>
        <w:t xml:space="preserve"> – </w:t>
      </w:r>
      <w:r>
        <w:rPr/>
        <w:t>From five years before the first score to the year before it, scored firms' market-to-book (MTB) ratio grew 10.0 percent more than that of never-scored firms (95% interval 1.9 to 18.2 percent); a large Malaysian wave shows no such run-up. Under parallel trends, MTB did not rise after the first score (estimate 0.002; interval −0.046 to 0.048), and we detect no difference between high- and low-score firms (p = 0.307). Dated one year later, MTB fell −6.6 percent, a decline that small departures from parallel trends erase.</w:t>
      </w:r>
    </w:p>
    <w:p>
      <w:pPr>
        <w:spacing w:line="360" w:lineRule="auto" w:after="80" w:before="0"/>
        <w:jc w:val="both"/>
      </w:pPr>
      <w:r>
        <w:rPr>
          <w:b/>
        </w:rPr>
        <w:t>Research limitations/implications</w:t>
      </w:r>
      <w:r>
        <w:t xml:space="preserve"> – </w:t>
      </w:r>
      <w:r>
        <w:rPr/>
        <w:t>The provider chooses whom to cover, the data are annual, and departures from parallel trends like those before coverage admit effects of several percent.</w:t>
      </w:r>
    </w:p>
    <w:p>
      <w:pPr>
        <w:spacing w:line="360" w:lineRule="auto" w:after="80" w:before="0"/>
        <w:jc w:val="both"/>
      </w:pPr>
      <w:r>
        <w:rPr>
          <w:b/>
        </w:rPr>
        <w:t>Practical implications</w:t>
      </w:r>
      <w:r>
        <w:t xml:space="preserve"> – </w:t>
      </w:r>
      <w:r>
        <w:rPr/>
        <w:t>Rating providers, ESG screens, index builders, and ESG-premium studies that use this provider's scores draw on firms that have often just outgrown their peers.</w:t>
      </w:r>
    </w:p>
    <w:p>
      <w:pPr>
        <w:spacing w:line="360" w:lineRule="auto" w:after="80" w:before="0"/>
        <w:jc w:val="both"/>
      </w:pPr>
      <w:r>
        <w:rPr>
          <w:b/>
        </w:rPr>
        <w:t>Originality/value</w:t>
      </w:r>
      <w:r>
        <w:t xml:space="preserve"> – </w:t>
      </w:r>
      <w:r>
        <w:rPr/>
        <w:t>The study documents selection into ESG rating coverage, and its valuation consequences, in emerging markets.</w:t>
      </w:r>
    </w:p>
    <w:p>
      <w:pPr>
        <w:spacing w:line="360" w:lineRule="auto" w:after="80" w:before="0"/>
      </w:pPr>
      <w:r>
        <w:rPr>
          <w:b/>
        </w:rPr>
        <w:t>Keywords</w:t>
      </w:r>
      <w:r>
        <w:t xml:space="preserve"> Emerging markets, ESG investing, ESG ratings, Firm valuation, Rating coverage, Sustainable finance</w:t>
      </w:r>
    </w:p>
    <w:p>
      <w:pPr>
        <w:spacing w:line="360" w:lineRule="auto" w:after="80" w:before="0"/>
      </w:pPr>
      <w:r>
        <w:rPr>
          <w:b/>
        </w:rPr>
        <w:t>Paper type</w:t>
      </w:r>
      <w:r>
        <w:t xml:space="preserve"> Research paper</w:t>
      </w:r>
    </w:p>
    <w:p>
      <w:pPr>
        <w:spacing w:line="360" w:lineRule="auto" w:after="80" w:before="0"/>
      </w:pPr>
      <w:r>
        <w:rPr>
          <w:b/>
        </w:rPr>
        <w:t>JEL classification</w:t>
      </w:r>
      <w:r>
        <w:t xml:space="preserve"> G14, G15, G32, M14, Q56</w:t>
      </w:r>
    </w:p>
    <w:p>
      <w:r>
        <w:br w:type="page"/>
      </w:r>
    </w:p>
    <w:p>
      <w:pPr>
        <w:keepNext/>
        <w:spacing w:line="360" w:lineRule="auto" w:after="120" w:before="240"/>
      </w:pPr>
      <w:r>
        <w:rPr>
          <w:b/>
        </w:rPr>
        <w:t>1. Introduction</w:t>
      </w:r>
    </w:p>
    <w:p>
      <w:pPr>
        <w:spacing w:line="360" w:lineRule="auto" w:after="120" w:before="0"/>
        <w:ind w:firstLine="432"/>
        <w:jc w:val="both"/>
      </w:pPr>
      <w:r>
        <w:rPr/>
        <w:t xml:space="preserve">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 provider whose scores are used in much of the academic literature on ESG ratings (Berg, Kölbel </w:t>
      </w:r>
      <w:r>
        <w:rPr>
          <w:i/>
        </w:rPr>
        <w:t>et al.</w:t>
      </w:r>
      <w:r>
        <w:rPr/>
        <w:t xml:space="preserve">, 2022; Dobrick </w:t>
      </w:r>
      <w:r>
        <w:rPr>
          <w:i/>
        </w:rPr>
        <w:t>et al.</w:t>
      </w:r>
      <w:r>
        <w:rPr/>
        <w:t>, 2023),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 xml:space="preserve">Theory gives no single answer to the second question. Under investor recognition, a first score makes a firm visible to investors who screen on ESG data, and a broader investor base raises its price (Merton, 1987). Under ESG preferences, investors pay more for green assets and less for brown ones (Pástor </w:t>
      </w:r>
      <w:r>
        <w:rPr>
          <w:i/>
        </w:rPr>
        <w:t>et al.</w:t>
      </w:r>
      <w:r>
        <w:rPr/>
        <w:t xml:space="preserve">, 2021; Pedersen </w:t>
      </w:r>
      <w:r>
        <w:rPr>
          <w:i/>
        </w:rPr>
        <w:t>et al.</w:t>
      </w:r>
      <w:r>
        <w:rPr/>
        <w:t xml:space="preserve">, 2021), so a first score should raise the value of firms it reveals as green and lower the value of firms it reveals as brown. Evidence on ESG certification events is mixed: additions to the Dow Jones Sustainability Index have little price effect once comparable firms are used as benchmarks (Durand </w:t>
      </w:r>
      <w:r>
        <w:rPr>
          <w:i/>
        </w:rPr>
        <w:t>et al.</w:t>
      </w:r>
      <w:r>
        <w:rPr/>
        <w:t xml:space="preserve">, 2019; Hawn </w:t>
      </w:r>
      <w:r>
        <w:rPr>
          <w:i/>
        </w:rPr>
        <w:t>et al.</w:t>
      </w:r>
      <w:r>
        <w:rPr/>
        <w:t xml:space="preserve">, 2018), whereas downgrades of existing ratings are followed by negative abnormal returns and upgrades by weaker positive ones (Berg, Heeb </w:t>
      </w:r>
      <w:r>
        <w:rPr>
          <w:i/>
        </w:rPr>
        <w:t>et al.</w:t>
      </w:r>
      <w:r>
        <w:rPr/>
        <w:t>, 2022; Shanaev and Ghimire, 2022). Fund investors respond to sustainability ratings when these are new and salient (Hartzmark and Sussman, 2019).</w:t>
      </w:r>
    </w:p>
    <w:p>
      <w:pPr>
        <w:spacing w:line="360" w:lineRule="auto" w:after="120" w:before="0"/>
        <w:ind w:firstLine="432"/>
        <w:jc w:val="both"/>
      </w:pPr>
      <w:r>
        <w:rPr/>
        <w:t xml:space="preserve">The first question matters because providers choose whom to score. They are likely to add a firm once it is large, liquid, or disclosing enough to be scored, and the scores themselves rise with firm size (Dobrick </w:t>
      </w:r>
      <w:r>
        <w:rPr>
          <w:i/>
        </w:rPr>
        <w:t>et al.</w:t>
      </w:r>
      <w:r>
        <w:rPr/>
        <w:t xml:space="preserve">, 2023; Drempetic </w:t>
      </w:r>
      <w:r>
        <w:rPr>
          <w:i/>
        </w:rPr>
        <w:t>et al.</w:t>
      </w:r>
      <w:r>
        <w:rPr/>
        <w:t xml:space="preserve">,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w:t>
      </w:r>
      <w:r>
        <w:rPr>
          <w:i/>
        </w:rPr>
        <w:t>et al.</w:t>
      </w:r>
      <w:r>
        <w:rPr/>
        <w:t xml:space="preserve">, 2024), lower emissions and more ownership by high-ESG institutions (Bikmetova and Pirinsky, 2026), and dividend increases (Tsang </w:t>
      </w:r>
      <w:r>
        <w:rPr>
          <w:i/>
        </w:rPr>
        <w:t>et al.</w:t>
      </w:r>
      <w:r>
        <w:rPr/>
        <w:t>, 2025). None of these studies examines valuation in emerging markets, where most firms are unscored and coverage has expanded in waves.</w:t>
      </w:r>
    </w:p>
    <w:p>
      <w:pPr>
        <w:spacing w:line="360" w:lineRule="auto" w:after="120" w:before="0"/>
        <w:ind w:firstLine="432"/>
        <w:jc w:val="both"/>
      </w:pPr>
      <w:r>
        <w:rPr/>
        <w:t xml:space="preserve">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w:t>
      </w:r>
      <w:r>
        <w:rPr>
          <w:i/>
        </w:rPr>
        <w:t>et al.</w:t>
      </w:r>
      <w:r>
        <w:rPr/>
        <w:t>,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never-scored firms of similar size, country, and industry before their first scored year (Figure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and the market capitalization run-up may partly reflect new shares. Second, the run-up differs across coverage waves (Figure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the test of the preference channel, is −0.041 (p = 0.307), with a minimum detectable difference of 0.113, so we detect no difference but cannot exclude a moderate one. Fourth, a static two-way fixed effects regression on the same data attributes a 6.6 percent MTB increase to coverage.</w:t>
      </w:r>
    </w:p>
    <w:p>
      <w:pPr>
        <w:spacing w:line="360" w:lineRule="auto" w:after="120" w:before="120"/>
        <w:jc w:val="center"/>
      </w:pPr>
      <w:r>
        <w:rPr>
          <w:b/>
        </w:rPr>
        <w:t>[Insert Figure 1 here]</w:t>
      </w:r>
    </w:p>
    <w:p>
      <w:pPr>
        <w:spacing w:line="360" w:lineRule="auto" w:after="120" w:before="120"/>
        <w:jc w:val="center"/>
      </w:pPr>
      <w:r>
        <w:rPr>
          <w:b/>
        </w:rPr>
        <w:t>[Insert Figure 2 here]</w:t>
      </w:r>
    </w:p>
    <w:p>
      <w:pPr>
        <w:spacing w:line="360" w:lineRule="auto" w:after="120" w:before="0"/>
        <w:ind w:firstLine="432"/>
        <w:jc w:val="both"/>
      </w:pPr>
      <w:r>
        <w:rPr/>
        <w:t>We do not claim that coverage has no effect on valuation. When we date coverage one year later, to the first year in which investors could have seen a score, the MTB ratio changes by −6.6 percent relative to never-scored firms (95% interval −10.9 to −2.0 percent). This decline is measured from the end of the run-up, so it cannot separate a reversal of earlier growth from an effect of coverage, and it loses significance if post-coverage trends may drift by about a quarter of the largest pre-coverage change. When post-coverage departures from parallel trends may reach a quarter of the largest pre-coverage year-to-year change (Rambachan and Roth, 2023), the interval for the headline estimate widens to −0.071 to 0.073.</w:t>
      </w:r>
    </w:p>
    <w:p>
      <w:pPr>
        <w:spacing w:line="360" w:lineRule="auto" w:after="120" w:before="0"/>
        <w:ind w:firstLine="432"/>
        <w:jc w:val="both"/>
      </w:pPr>
      <w:r>
        <w:rPr/>
        <w:t xml:space="preserve">The paper makes three contributions to sustainable finance. First, it adds valuation and an emerging-market setting to the rating-coverage literature (Bikmetova and Pirinsky, 2026; Tsang </w:t>
      </w:r>
      <w:r>
        <w:rPr>
          <w:i/>
        </w:rPr>
        <w:t>et al.</w:t>
      </w:r>
      <w:r>
        <w:rPr/>
        <w:t xml:space="preserve">, 2024, 2025) and documents which firms one provider brought into its scored universe: outside its largest wave, firms that had just outgrown their peers. Second, it adds the initiation of coverage to the evidence on ratings and certification as price-relevant information: entering LSEG coverage, unlike a downgrade of an MSCI rating (Berg, Heeb </w:t>
      </w:r>
      <w:r>
        <w:rPr>
          <w:i/>
        </w:rPr>
        <w:t>et al.</w:t>
      </w:r>
      <w:r>
        <w:rPr/>
        <w:t>, 2022),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rPr>
        <w:t>2. Related Literature and Hypotheses</w:t>
      </w:r>
    </w:p>
    <w:p>
      <w:pPr>
        <w:keepNext/>
        <w:spacing w:line="360" w:lineRule="auto" w:after="120" w:before="120"/>
      </w:pPr>
      <w:r>
        <w:rPr>
          <w:i/>
        </w:rPr>
        <w:t>2.1 ESG ratings as information and certification</w:t>
      </w:r>
    </w:p>
    <w:p>
      <w:pPr>
        <w:spacing w:line="360" w:lineRule="auto" w:after="120" w:before="0"/>
        <w:ind w:firstLine="432"/>
        <w:jc w:val="both"/>
      </w:pPr>
      <w:r>
        <w:rPr/>
        <w:t xml:space="preserve">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w:t>
      </w:r>
      <w:r>
        <w:rPr>
          <w:i/>
        </w:rPr>
        <w:t>et al.</w:t>
      </w:r>
      <w:r>
        <w:rPr/>
        <w:t>, 2022). Calendar-time portfolios of firms with rating changes give a similar asymmetry (Shanaev and Ghimire, 2022). Consensus ratings predict future ESG news, but disagreement among providers weakens both this predictive power and the price reaction to the news (Serafeim and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 xml:space="preserve">Certification by inclusion in a sustainability index is the closest analog to a first score. Additions to the Dow Jones Sustainability Index have limited price effects once firms are compared with similar firms outside the index (Hawn </w:t>
      </w:r>
      <w:r>
        <w:rPr>
          <w:i/>
        </w:rPr>
        <w:t>et al.</w:t>
      </w:r>
      <w:r>
        <w:rPr/>
        <w:t xml:space="preserve">, 2018), and a replication finds no price effect but more analyst following after addition and more long-term ownership after continued membership (Durand </w:t>
      </w:r>
      <w:r>
        <w:rPr>
          <w:i/>
        </w:rPr>
        <w:t>et al.</w:t>
      </w:r>
      <w:r>
        <w:rPr/>
        <w:t>, 2019). Sell-side coverage offers a second analog: losing analyst coverage lowers prices (Kelly and Ljungqvist, 2012), and the first report on a neglected stock raises its price when the report is favorable (Demiroglu and Ryngaert, 2010).</w:t>
      </w:r>
    </w:p>
    <w:p>
      <w:pPr>
        <w:keepNext/>
        <w:spacing w:line="360" w:lineRule="auto" w:after="120" w:before="120"/>
      </w:pPr>
      <w:r>
        <w:rPr>
          <w:i/>
        </w:rPr>
        <w:t>2.2 ESG demand, recognition, and price pressure</w:t>
      </w:r>
    </w:p>
    <w:p>
      <w:pPr>
        <w:spacing w:line="360" w:lineRule="auto" w:after="120" w:before="0"/>
        <w:ind w:firstLine="432"/>
        <w:jc w:val="both"/>
      </w:pPr>
      <w:r>
        <w:rPr/>
        <w:t xml:space="preserve">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w:t>
      </w:r>
      <w:r>
        <w:rPr>
          <w:i/>
        </w:rPr>
        <w:t>et al.</w:t>
      </w:r>
      <w:r>
        <w:rPr/>
        <w:t xml:space="preserve">, 2004). Under ESG preferences, investors accept lower expected returns on assets they classify as sustainable (Pástor </w:t>
      </w:r>
      <w:r>
        <w:rPr>
          <w:i/>
        </w:rPr>
        <w:t>et al.</w:t>
      </w:r>
      <w:r>
        <w:rPr/>
        <w:t xml:space="preserve">, 2021; Pedersen </w:t>
      </w:r>
      <w:r>
        <w:rPr>
          <w:i/>
        </w:rPr>
        <w:t>et al.</w:t>
      </w:r>
      <w:r>
        <w:rPr/>
        <w:t>,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 xml:space="preserve">Demand shocks also shape realized prices before any rating event. Pástor </w:t>
      </w:r>
      <w:r>
        <w:rPr>
          <w:i/>
        </w:rPr>
        <w:t>et al.</w:t>
      </w:r>
      <w:r>
        <w:rPr/>
        <w:t xml:space="preserve"> (2022) show that the high realized returns of green assets reflect unexpected increases in ESG concern rather than high expected returns. In the same way, inclusion in the S&amp;P 500 raises prices (Harris and Gurel, 1986; Shleifer, 1986), and part of the increase reverses within weeks (Harris and Gurel, 1986). A run-up in value before coverage, followed by a flat path, is consistent with a demand shift that ended, with selection on growth, or with both.</w:t>
      </w:r>
    </w:p>
    <w:p>
      <w:pPr>
        <w:keepNext/>
        <w:spacing w:line="360" w:lineRule="auto" w:after="120" w:before="120"/>
      </w:pPr>
      <w:r>
        <w:rPr>
          <w:i/>
        </w:rPr>
        <w:t>2.3 Which firms providers score</w:t>
      </w:r>
    </w:p>
    <w:p>
      <w:pPr>
        <w:spacing w:line="360" w:lineRule="auto" w:after="120" w:before="0"/>
        <w:ind w:firstLine="432"/>
        <w:jc w:val="both"/>
      </w:pPr>
      <w:r>
        <w:rPr/>
        <w:t xml:space="preserve">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w:t>
      </w:r>
      <w:r>
        <w:rPr>
          <w:i/>
        </w:rPr>
        <w:t>et al.</w:t>
      </w:r>
      <w:r>
        <w:rPr/>
        <w:t xml:space="preserve">, 2024). The provider we study gives higher scores to larger firms, a bias first documented for its ASSET4 scores (Drempetic </w:t>
      </w:r>
      <w:r>
        <w:rPr>
          <w:i/>
        </w:rPr>
        <w:t>et al.</w:t>
      </w:r>
      <w:r>
        <w:rPr/>
        <w:t xml:space="preserve">, 2020) and still present in its Refinitiv scores (Dobrick </w:t>
      </w:r>
      <w:r>
        <w:rPr>
          <w:i/>
        </w:rPr>
        <w:t>et al.</w:t>
      </w:r>
      <w:r>
        <w:rPr/>
        <w:t xml:space="preserve">, 2023). Providers disagree about the same firm (Berg, Kölbel </w:t>
      </w:r>
      <w:r>
        <w:rPr>
          <w:i/>
        </w:rPr>
        <w:t>et al.</w:t>
      </w:r>
      <w:r>
        <w:rPr/>
        <w:t xml:space="preserve">, 2022; Christensen </w:t>
      </w:r>
      <w:r>
        <w:rPr>
          <w:i/>
        </w:rPr>
        <w:t>et al.</w:t>
      </w:r>
      <w:r>
        <w:rPr/>
        <w:t xml:space="preserve">, 2022), the disagreement is priced (Avramov </w:t>
      </w:r>
      <w:r>
        <w:rPr>
          <w:i/>
        </w:rPr>
        <w:t>et al.</w:t>
      </w:r>
      <w:r>
        <w:rPr/>
        <w:t xml:space="preserve">, 2022; Gibson Brandon </w:t>
      </w:r>
      <w:r>
        <w:rPr>
          <w:i/>
        </w:rPr>
        <w:t>et al.</w:t>
      </w:r>
      <w:r>
        <w:rPr/>
        <w:t xml:space="preserve">, 2021), and the provider has rewritten historical scores on a large scale (Berg </w:t>
      </w:r>
      <w:r>
        <w:rPr>
          <w:i/>
        </w:rPr>
        <w:t>et al.</w:t>
      </w:r>
      <w:r>
        <w:rPr/>
        <w:t>, 2020). If providers select firms that have grown, a comparison of scored and unscored firms mixes the effect of coverage with the growth that led to it.</w:t>
      </w:r>
    </w:p>
    <w:p>
      <w:pPr>
        <w:keepNext/>
        <w:spacing w:line="360" w:lineRule="auto" w:after="120" w:before="120"/>
      </w:pPr>
      <w:r>
        <w:rPr>
          <w:i/>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rPr>
        <w:t>3. Institutional Setting and Data</w:t>
      </w:r>
    </w:p>
    <w:p>
      <w:pPr>
        <w:keepNext/>
        <w:spacing w:line="360" w:lineRule="auto" w:after="120" w:before="120"/>
      </w:pPr>
      <w:r>
        <w:rPr>
          <w:i/>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had to report sustainability information in the unified annual filing, the 56-1 One Report, since the fiscal year ending in 2021 (Tilleke and Gibbins, 2020); we could not confirm the dates of earlier Thai guidance.</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 Throughout, a score is the LSEG ESG score, a data-vendor assessment built from company disclosures; a rating is the broader class of assessments, including MSCI-type ratings produced by analysts; coverage means that the provider publishes a score for the firm; and the provider is LSEG.</w:t>
      </w:r>
    </w:p>
    <w:p>
      <w:pPr>
        <w:spacing w:line="36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and Malaysian and Thai firms together make up 84.3 percent. Because first scored fiscal years can precede publication (Section 3.2), the data cannot tell whether the Malaysian wave was linked to the November 2022 agreement, which concerned FTSE Russell scores. The waves do not line up with a single reporting rule: the Thai wave came before the One Report requirement, and the Malaysian wave came several years after Bursa Malaysia's rule was phased in. Singapore, Indonesia, and the Philippines have too few first scores per year (Table S2) to relate them to their rules. The data do not record why the provider expanded coverage when it did. The pooled estimates are weighted toward Malaysia and Thailand, and we report estimates by market and by wave.</w:t>
      </w:r>
    </w:p>
    <w:p>
      <w:pPr>
        <w:keepNext/>
        <w:spacing w:line="360" w:lineRule="auto" w:after="120" w:before="120"/>
      </w:pPr>
      <w:r>
        <w:rPr>
          <w:i/>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We call firms without an LSEG score unscored, and the firms that never receive one in our sample never-scored; the latter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supplementary material reports firm-years by outcome, and Table S6 reports scored firms by event year; counts differ slightly across tables because each counts the firms with the outcome observed in the base year and in the year concerned. Never-scored firms are smaller on average, and a check in Section 4.5 restricts scored firms to the size range of the controls.</w:t>
      </w:r>
    </w:p>
    <w:p>
      <w:pPr>
        <w:spacing w:line="360" w:lineRule="auto" w:after="120" w:before="0"/>
        <w:ind w:firstLine="432"/>
        <w:jc w:val="both"/>
      </w:pPr>
      <w:r>
        <w:rPr/>
        <w:t xml:space="preserve">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w:t>
      </w:r>
      <w:r>
        <w:rPr>
          <w:i/>
        </w:rPr>
        <w:t>et al.</w:t>
      </w:r>
      <w:r>
        <w:rPr/>
        <w:t xml:space="preserve">, 2020), and scores for the five most recent fiscal years can change after publication (Sahin </w:t>
      </w:r>
      <w:r>
        <w:rPr>
          <w:i/>
        </w:rPr>
        <w:t>et al.</w:t>
      </w:r>
      <w:r>
        <w:rPr/>
        <w:t>,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i/>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rPr>
        <w:t>4. Methods</w:t>
      </w:r>
    </w:p>
    <w:p>
      <w:pPr>
        <w:keepNext/>
        <w:spacing w:line="360" w:lineRule="auto" w:after="120" w:before="120"/>
      </w:pPr>
      <w:r>
        <w:rPr>
          <w:i/>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spacing w:line="360" w:lineRule="auto" w:after="120" w:before="120"/>
        <w:jc w:val="center"/>
      </w:pPr>
      <w:r>
        <w:rPr>
          <w:b/>
        </w:rPr>
        <w:t>[Insert Table 1 here]</w:t>
      </w:r>
    </w:p>
    <w:p>
      <w:pPr>
        <w:keepNext/>
        <w:spacing w:line="360" w:lineRule="auto" w:after="120" w:before="120"/>
      </w:pPr>
      <w:r>
        <w:rPr>
          <w:i/>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and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 xml:space="preserve">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never-scored firms with the same covariates from year g + e to the base year. Third, the covariates are measured in the base year, at the end of any run-up. Because the provider's scores rise with firm size (Dobrick </w:t>
      </w:r>
      <w:r>
        <w:rPr>
          <w:i/>
        </w:rPr>
        <w:t>et al.</w:t>
      </w:r>
      <w:r>
        <w:rPr/>
        <w:t>,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i/>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spacing w:line="360" w:lineRule="auto" w:after="120" w:before="120"/>
        <w:jc w:val="center"/>
      </w:pPr>
      <w:r>
        <w:rPr>
          <w:b/>
        </w:rPr>
        <w:t>[Insert Table 2 here]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i/>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i/>
        </w:rPr>
        <w:t>4.5 Benchmark regression and robustness checks</w:t>
      </w:r>
    </w:p>
    <w:p>
      <w:pPr>
        <w:spacing w:line="360" w:lineRule="auto" w:after="120" w:before="0"/>
        <w:ind w:firstLine="432"/>
        <w:jc w:val="both"/>
      </w:pPr>
      <w:r>
        <w:rPr/>
        <w:t xml:space="preserve">As a benchmark, we estimate on scored and never-scored firms the static two-way fixed effects (TWFE) regression that Goodman-Bacon (2021) and Baker </w:t>
      </w:r>
      <w:r>
        <w:rPr>
          <w:i/>
        </w:rPr>
        <w:t>et al.</w:t>
      </w:r>
      <w:r>
        <w:rPr/>
        <w:t xml:space="preserve">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supplementary material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spacing w:line="360" w:lineRule="auto" w:after="120" w:before="120"/>
        <w:jc w:val="center"/>
      </w:pPr>
      <w:r>
        <w:rPr>
          <w:b/>
        </w:rPr>
        <w:t>[Insert Table 3 here]</w:t>
      </w:r>
    </w:p>
    <w:p>
      <w:pPr>
        <w:keepNext/>
        <w:spacing w:line="360" w:lineRule="auto" w:after="120" w:before="240"/>
      </w:pPr>
      <w:r>
        <w:rPr>
          <w:b/>
        </w:rPr>
        <w:t>5. Results</w:t>
      </w:r>
    </w:p>
    <w:p>
      <w:pPr>
        <w:keepNext/>
        <w:spacing w:line="360" w:lineRule="auto" w:after="120" w:before="120"/>
      </w:pPr>
      <w:r>
        <w:rPr>
          <w:i/>
        </w:rPr>
        <w:t>5.1 Which firms get scored</w:t>
      </w:r>
    </w:p>
    <w:p>
      <w:pPr>
        <w:spacing w:line="360" w:lineRule="auto" w:after="120" w:before="0"/>
        <w:ind w:firstLine="432"/>
        <w:jc w:val="both"/>
      </w:pPr>
      <w:r>
        <w:rPr/>
        <w:t xml:space="preserve">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w:t>
      </w:r>
      <w:r>
        <w:rPr>
          <w:i/>
        </w:rPr>
        <w:t>et al.</w:t>
      </w:r>
      <w:r>
        <w:rPr/>
        <w:t>, 2023), we compare changes and adjust for size, country, and industry in Eq. (3).</w:t>
      </w:r>
    </w:p>
    <w:p>
      <w:pPr>
        <w:keepNext/>
        <w:spacing w:line="360" w:lineRule="auto" w:after="120" w:before="120"/>
      </w:pPr>
      <w:r>
        <w:rPr>
          <w:i/>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i/>
        </w:rPr>
        <w:t>5.3 Dynamics before and after the first score</w:t>
      </w:r>
    </w:p>
    <w:p>
      <w:pPr>
        <w:spacing w:line="360" w:lineRule="auto" w:after="120" w:before="0"/>
        <w:ind w:firstLine="432"/>
        <w:jc w:val="both"/>
      </w:pPr>
      <w:r>
        <w:rPr/>
        <w:t>Figure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Figure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which include 109 firms first scored in 2023, fall in between: their MTB ratio lies below that of never-scored firms by a similar amount in event years −5 and −2 (−0.103 and −0.108) and catches up in the base year (pre-trend p = 0.006), and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360" w:lineRule="auto" w:after="120" w:before="120"/>
      </w:pPr>
      <w:r>
        <w:rPr>
          <w:i/>
        </w:rPr>
        <w:t>5.4 Timing of coverage and sensitivity to pre-trends</w:t>
      </w:r>
    </w:p>
    <w:p>
      <w:pPr>
        <w:spacing w:line="360" w:lineRule="auto" w:after="120" w:before="0"/>
        <w:ind w:firstLine="432"/>
        <w:jc w:val="both"/>
      </w:pPr>
      <w:r>
        <w:rPr/>
        <w:t xml:space="preserve">Table 3 reports the robustness checks; rows R1 to R6 were pre-specified, and rows R7 to R11 are exploratory. Row R10 dates coverage one year after the first scored fiscal year, when a score could first have been published. Because scores were backfilled or revised (Berg </w:t>
      </w:r>
      <w:r>
        <w:rPr>
          <w:i/>
        </w:rPr>
        <w:t>et al.</w:t>
      </w:r>
      <w:r>
        <w:rPr/>
        <w:t xml:space="preserve">, 2020; Sahin </w:t>
      </w:r>
      <w:r>
        <w:rPr>
          <w:i/>
        </w:rPr>
        <w:t>et al.</w:t>
      </w:r>
      <w:r>
        <w:rPr/>
        <w:t>,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360" w:lineRule="auto" w:after="120" w:before="0"/>
        <w:ind w:firstLine="432"/>
        <w:jc w:val="both"/>
      </w:pPr>
      <w:r>
        <w:rPr/>
        <w:t>Figure S2 of the supplementary material plots the event-time path under R10. The decline grows with time since coverage, from −0.039 in the re-dated event year 0 to −0.200 in event year 3. The baseline path in Figure 1 does not show this because its later event years come from early cohorts while its first post-coverage years pool all cohorts. Re-based within each cohort to the first scored year, the baseline point estimates for event years 3 and 4 are −0.083 and −0.167, much closer to the corresponding R10 estimates of −0.138 and −0.200 than the pooled baseline path suggests; we report these re-based values without standard errors, as a reconciliation of the two paths rather than as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supplementary material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i/>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Figure S2 of the supplementary material vary the size covariate and the support. The run-up does not depend on conditioning on base-year total assets. Without covariates, the run-up from event year −5 to the base year is 6.6 percent for MTB (event year −5 p = 0.068; pre-trend p = 0.028), weaker than the baseline, and 24.0 percent for market capitalization.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it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supplementary material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i/>
        </w:rPr>
        <w:t>5.6 Does the score itself matter?</w:t>
      </w:r>
    </w:p>
    <w:p>
      <w:pPr>
        <w:spacing w:line="360" w:lineRule="auto" w:after="120" w:before="0"/>
        <w:ind w:firstLine="432"/>
        <w:jc w:val="both"/>
      </w:pPr>
      <w:r>
        <w:rPr/>
        <w:t xml:space="preserve">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w:t>
      </w:r>
      <w:r>
        <w:rPr>
          <w:i/>
        </w:rPr>
        <w:t>et al.</w:t>
      </w:r>
      <w:r>
        <w:rPr/>
        <w:t xml:space="preserve">, 2022; Christensen </w:t>
      </w:r>
      <w:r>
        <w:rPr>
          <w:i/>
        </w:rPr>
        <w:t>et al.</w:t>
      </w:r>
      <w:r>
        <w:rPr/>
        <w:t xml:space="preserve">, 2022) and revisions of initial scores (Sahin </w:t>
      </w:r>
      <w:r>
        <w:rPr>
          <w:i/>
        </w:rPr>
        <w:t>et al.</w:t>
      </w:r>
      <w:r>
        <w:rPr/>
        <w:t>, 2023) weaken the signal in any single score.</w:t>
      </w:r>
    </w:p>
    <w:p>
      <w:pPr>
        <w:keepNext/>
        <w:spacing w:line="360" w:lineRule="auto" w:after="120" w:before="120"/>
      </w:pPr>
      <w:r>
        <w:rPr>
          <w:i/>
        </w:rPr>
        <w:t>5.7 Economic magnitude</w:t>
      </w:r>
    </w:p>
    <w:p>
      <w:pPr>
        <w:spacing w:line="360" w:lineRule="auto" w:after="120" w:before="0"/>
        <w:ind w:firstLine="432"/>
        <w:jc w:val="both"/>
      </w:pPr>
      <w:r>
        <w:rPr/>
        <w:t xml:space="preserve">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w:t>
      </w:r>
      <w:r>
        <w:rPr>
          <w:i/>
        </w:rPr>
        <w:t>et al.</w:t>
      </w:r>
      <w:r>
        <w:rPr/>
        <w:t xml:space="preserve">, 2022). Annual year-end ratios would miss short-lived price pressure, so our estimates concern lasting revaluation of the kind a permanent rise in investor recognition would produce (Chen </w:t>
      </w:r>
      <w:r>
        <w:rPr>
          <w:i/>
        </w:rPr>
        <w:t>et al.</w:t>
      </w:r>
      <w:r>
        <w:rPr/>
        <w:t>, 2004; Merton, 1987). A lasting effect half as large as the MTB run-up would lie at the upper end of the headline interval, so any such effect is small relative to the growth that preceded coverage.</w:t>
      </w:r>
    </w:p>
    <w:p>
      <w:pPr>
        <w:keepNext/>
        <w:spacing w:line="360" w:lineRule="auto" w:after="120" w:before="240"/>
      </w:pPr>
      <w:r>
        <w:rPr>
          <w:b/>
        </w:rPr>
        <w:t>6. Discussion</w:t>
      </w:r>
    </w:p>
    <w:p>
      <w:pPr>
        <w:keepNext/>
        <w:spacing w:line="360" w:lineRule="auto" w:after="120" w:before="120"/>
      </w:pPr>
      <w:r>
        <w:rPr>
          <w:i/>
        </w:rPr>
        <w:t>6.1 What the ordering of events shows</w:t>
      </w:r>
    </w:p>
    <w:p>
      <w:pPr>
        <w:spacing w:line="36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afterwards.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 xml:space="preserve">The flat post-coverage MTB path in the baseline admits three readings, depending on the counterfactual trend (Rambachan and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w:t>
      </w:r>
      <w:r>
        <w:rPr>
          <w:i/>
        </w:rPr>
        <w:t>et al.</w:t>
      </w:r>
      <w:r>
        <w:rPr/>
        <w:t>, 2004), so a recognition effect of that kind should have appeared as a lasting rise after coverage; we detect none under assumption (2). The publication-dated estimates in Section 5.4 show a decline in the third and fourth years of coverage for early cohorts, which a reversal would produce and a positive coverage effect could partly offset, but which could also reflect a negative effect of coverage. The evidence therefore does not show that coverage has no effect: no heterogeneity-robust specification detects a valuation gain, and the bounds do not exclude one.</w:t>
      </w:r>
    </w:p>
    <w:p>
      <w:pPr>
        <w:keepNext/>
        <w:spacing w:line="360" w:lineRule="auto" w:after="120" w:before="120"/>
      </w:pPr>
      <w:r>
        <w:rPr>
          <w:i/>
        </w:rPr>
        <w:t>6.2 Relation to evidence on ESG ratings and certification</w:t>
      </w:r>
    </w:p>
    <w:p>
      <w:pPr>
        <w:spacing w:line="360" w:lineRule="auto" w:after="120" w:before="0"/>
        <w:ind w:firstLine="432"/>
        <w:jc w:val="both"/>
      </w:pPr>
      <w:r>
        <w:rPr/>
        <w:t xml:space="preserve">The absence of a detected gain fits the evidence on certification by sustainability indices, where additions have little price effect once comparable firms are used as benchmarks (Durand </w:t>
      </w:r>
      <w:r>
        <w:rPr>
          <w:i/>
        </w:rPr>
        <w:t>et al.</w:t>
      </w:r>
      <w:r>
        <w:rPr/>
        <w:t xml:space="preserve">, 2019; Hawn </w:t>
      </w:r>
      <w:r>
        <w:rPr>
          <w:i/>
        </w:rPr>
        <w:t>et al.</w:t>
      </w:r>
      <w:r>
        <w:rPr/>
        <w:t xml:space="preserve">, 2018). It contrasts with the price effects of MSCI downgrades (Berg, Heeb </w:t>
      </w:r>
      <w:r>
        <w:rPr>
          <w:i/>
        </w:rPr>
        <w:t>et al.</w:t>
      </w:r>
      <w:r>
        <w:rPr/>
        <w:t xml:space="preserve">, 2022; Shanaev and Ghimire, 2022). Two features of our setting may explain the difference. First, the evidence that ESG funds trade on ratings concerns MSCI, the one rating that explains their holdings (Berg, Heeb </w:t>
      </w:r>
      <w:r>
        <w:rPr>
          <w:i/>
        </w:rPr>
        <w:t>et al.</w:t>
      </w:r>
      <w:r>
        <w:rPr/>
        <w:t xml:space="preserve">,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w:t>
      </w:r>
      <w:r>
        <w:rPr>
          <w:i/>
        </w:rPr>
        <w:t>et al.</w:t>
      </w:r>
      <w:r>
        <w:rPr/>
        <w:t xml:space="preserve">, 2022; Serafeim and Yoon, 2023) further weakens the information in any single score. U.S. studies find that coverage changes firm conduct (Bikmetova and Pirinsky, 2026; Tsang </w:t>
      </w:r>
      <w:r>
        <w:rPr>
          <w:i/>
        </w:rPr>
        <w:t>et al.</w:t>
      </w:r>
      <w:r>
        <w:rPr/>
        <w:t xml:space="preserve">, 2024) and payout (Tsang </w:t>
      </w:r>
      <w:r>
        <w:rPr>
          <w:i/>
        </w:rPr>
        <w:t>et al.</w:t>
      </w:r>
      <w:r>
        <w:rPr/>
        <w:t>, 2025); we find no stable change in leverage or total assets and observe no measures of conduct.</w:t>
      </w:r>
    </w:p>
    <w:p>
      <w:pPr>
        <w:spacing w:line="360" w:lineRule="auto" w:after="120" w:before="0"/>
        <w:ind w:firstLine="432"/>
        <w:jc w:val="both"/>
      </w:pPr>
      <w:r>
        <w:rPr/>
        <w:t xml:space="preserve">The pre-coverage run-up also bears on the evidence on ESG demand. Pástor </w:t>
      </w:r>
      <w:r>
        <w:rPr>
          <w:i/>
        </w:rPr>
        <w:t>et al.</w:t>
      </w:r>
      <w:r>
        <w:rPr/>
        <w:t xml:space="preserve">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 In the Section 4.4 bound with M̄ = 0.25, the data admit MTB changes from −6.9 to 7.5 percent, so a demand shift of a few percent after coverage cannot be excluded.</w:t>
      </w:r>
    </w:p>
    <w:p>
      <w:pPr>
        <w:keepNext/>
        <w:spacing w:line="360" w:lineRule="auto" w:after="120" w:before="120"/>
      </w:pPr>
      <w:r>
        <w:rPr>
          <w:i/>
        </w:rPr>
        <w:t>6.3 Implications</w:t>
      </w:r>
    </w:p>
    <w:p>
      <w:pPr>
        <w:spacing w:line="36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360" w:lineRule="auto" w:after="120" w:before="0"/>
        <w:ind w:firstLine="432"/>
        <w:jc w:val="both"/>
      </w:pPr>
      <w:r>
        <w:rPr/>
        <w:t xml:space="preserve">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w:t>
      </w:r>
      <w:r>
        <w:rPr>
          <w:i/>
        </w:rPr>
        <w:t>et al.</w:t>
      </w:r>
      <w:r>
        <w:rPr/>
        <w:t xml:space="preserve">, 2020; Sahin </w:t>
      </w:r>
      <w:r>
        <w:rPr>
          <w:i/>
        </w:rPr>
        <w:t>et al.</w:t>
      </w:r>
      <w:r>
        <w:rPr/>
        <w:t>, 2023).</w:t>
      </w:r>
    </w:p>
    <w:p>
      <w:pPr>
        <w:spacing w:line="360" w:lineRule="auto" w:after="120" w:before="0"/>
        <w:ind w:firstLine="432"/>
        <w:jc w:val="both"/>
      </w:pPr>
      <w:r>
        <w:rPr/>
        <w:t>For exchanges, the large Malaysian wave carried no run-up (Figure 2), which suggests that broad expansions of coverage within a market select less on prior growth than additions of individual firms. We do not observe what caused that wave, and we cannot attribute it to the November 2022 arrangement between Bursa Malaysia and LSEG (Bernama, 2022). Our data do not show whether broader coverage raises the value of the firms it reaches;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360" w:lineRule="auto" w:after="120" w:before="0"/>
        <w:ind w:firstLine="432"/>
        <w:jc w:val="both"/>
      </w:pPr>
      <w:r>
        <w:rPr/>
        <w:t xml:space="preserve">For listed firms in the five markets, the estimates give no support, under assumption (2), to the expectation that a first LSEG score will raise their valuation through investor recognition or preferences (Merton, 1987; Pástor </w:t>
      </w:r>
      <w:r>
        <w:rPr>
          <w:i/>
        </w:rPr>
        <w:t>et al.</w:t>
      </w:r>
      <w:r>
        <w:rPr/>
        <w:t>,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rPr>
        <w:t>7. Limitations</w:t>
      </w:r>
    </w:p>
    <w:p>
      <w:pPr>
        <w:spacing w:line="360" w:lineRule="auto" w:after="120" w:before="0"/>
        <w:ind w:firstLine="432"/>
        <w:jc w:val="both"/>
      </w:pPr>
      <w:r>
        <w:rPr/>
        <w:t xml:space="preserve">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The LSEG score is not the rating that the cited evidence links to ESG fund holdings (Berg, Heeb </w:t>
      </w:r>
      <w:r>
        <w:rPr>
          <w:i/>
        </w:rPr>
        <w:t>et al.</w:t>
      </w:r>
      <w:r>
        <w:rPr/>
        <w:t>, 2022), and for firms with earlier scores from other providers, such as FTSE Russell scores for Malaysian index constituents (Bernama, 2022), the event is an additional score. We do not examine domestic ESG channels such as exchange sustainability indices or Shariah screens.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texts and, for Thailand and Malaysia, from secondary summaries,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rPr>
        <w:t>8. Conclusion</w:t>
      </w:r>
    </w:p>
    <w:p>
      <w:pPr>
        <w:spacing w:line="360" w:lineRule="auto" w:after="120" w:before="0"/>
        <w:ind w:firstLine="432"/>
        <w:jc w:val="both"/>
      </w:pPr>
      <w:r>
        <w:rPr/>
        <w:t>Entry into LSEG ESG coverage in five Southeast Asian markets followed relative growth on average, and it was not followed by a detected rise in market-to-book ratios. Scored firms grew faster than never-scored firms of similar size, country, and industry before their first scored year, by 10.0 percent in MTB (1.9 to 18.2 percent), while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rPr>
        <w:t>References</w:t>
      </w:r>
    </w:p>
    <w:p>
      <w:pPr>
        <w:spacing w:line="360" w:lineRule="auto" w:after="80" w:before="0"/>
        <w:ind w:left="432" w:hanging="432"/>
      </w:pPr>
      <w:r>
        <w:rPr/>
        <w:t xml:space="preserve">Avramov, D., Cheng, S., Lioui, A. and Tarelli, A. (2022), "Sustainable investing with ESG rating uncertainty", </w:t>
      </w:r>
      <w:r>
        <w:rPr>
          <w:i/>
        </w:rPr>
        <w:t>Journal of Financial Economics</w:t>
      </w:r>
      <w:r>
        <w:rPr/>
        <w:t>, Vol. 145 No. 2, pp. 642-664, doi: 10.1016/j.jfineco.2021.09.009.</w:t>
      </w:r>
    </w:p>
    <w:p>
      <w:pPr>
        <w:spacing w:line="360" w:lineRule="auto" w:after="80" w:before="0"/>
        <w:ind w:left="432" w:hanging="432"/>
      </w:pPr>
      <w:r>
        <w:rPr/>
        <w:t xml:space="preserve">Baker, A.C., Larcker, D.F. and Wang, C.C.Y. (2022), "How much should we trust staggered difference-in-differences estimates?", </w:t>
      </w:r>
      <w:r>
        <w:rPr>
          <w:i/>
        </w:rPr>
        <w:t>Journal of Financial Economics</w:t>
      </w:r>
      <w:r>
        <w:rPr/>
        <w:t>, Vol. 144 No. 2, pp. 370-395, doi: 10.1016/j.jfineco.2022.01.004.</w:t>
      </w:r>
    </w:p>
    <w:p>
      <w:pPr>
        <w:spacing w:line="360" w:lineRule="auto" w:after="80" w:before="0"/>
        <w:ind w:left="432" w:hanging="432"/>
      </w:pPr>
      <w:r>
        <w:rPr/>
        <w:t>Berg, F., Fabisik, K. and Sautner, Z. (2020), "Is history repeating itself? The (un)predictable past of ESG ratings", working paper No. 708/2020, European Corporate Governance Institute, Brussels, available at: https://ssrn.com/abstract=3722087.</w:t>
      </w:r>
    </w:p>
    <w:p>
      <w:pPr>
        <w:spacing w:line="360" w:lineRule="auto" w:after="80" w:before="0"/>
        <w:ind w:left="432" w:hanging="432"/>
      </w:pPr>
      <w:r>
        <w:rPr/>
        <w:t>Berg, F., Heeb, F. and Kölbel, J.F. (2022), "The economic impact of ESG ratings", SAFE working paper No. 439, Leibniz Institute for Financial Research SAFE, Frankfurt am Main, available at: https://ssrn.com/abstract=4088545.</w:t>
      </w:r>
    </w:p>
    <w:p>
      <w:pPr>
        <w:spacing w:line="360" w:lineRule="auto" w:after="80" w:before="0"/>
        <w:ind w:left="432" w:hanging="432"/>
      </w:pPr>
      <w:r>
        <w:rPr/>
        <w:t xml:space="preserve">Berg, F., Kölbel, J.F. and Rigobon, R. (2022), "Aggregate confusion: the divergence of ESG ratings", </w:t>
      </w:r>
      <w:r>
        <w:rPr>
          <w:i/>
        </w:rPr>
        <w:t>Review of Finance</w:t>
      </w:r>
      <w:r>
        <w:rPr/>
        <w:t>, Vol. 26 No. 6, pp. 1315-1344, doi: 10.1093/rof/rfac033.</w:t>
      </w:r>
    </w:p>
    <w:p>
      <w:pPr>
        <w:spacing w:line="360" w:lineRule="auto" w:after="80" w:before="0"/>
        <w:ind w:left="432" w:hanging="432"/>
      </w:pPr>
      <w:r>
        <w:rPr/>
        <w:t>Bernama (2022), "Bursa Malaysia signs sustainability MoU with London Stock Exchange Group", 2 November, available at: https://www.bernama.com/en/news.php?id=2134522.</w:t>
      </w:r>
    </w:p>
    <w:p>
      <w:pPr>
        <w:spacing w:line="360" w:lineRule="auto" w:after="80" w:before="0"/>
        <w:ind w:left="432" w:hanging="432"/>
      </w:pPr>
      <w:r>
        <w:rPr/>
        <w:t xml:space="preserve">Bikmetova, N. and Pirinsky, C.A. (2026), "Do ESG rating agencies improve ESG performance?", </w:t>
      </w:r>
      <w:r>
        <w:rPr>
          <w:i/>
        </w:rPr>
        <w:t>Journal of Business Ethics</w:t>
      </w:r>
      <w:r>
        <w:rPr/>
        <w:t>, Vol. 204 No. 2, pp. 335-365, doi: 10.1007/s10551-025-06063-0.</w:t>
      </w:r>
    </w:p>
    <w:p>
      <w:pPr>
        <w:spacing w:line="360" w:lineRule="auto" w:after="80" w:before="0"/>
        <w:ind w:left="432" w:hanging="432"/>
      </w:pPr>
      <w:r>
        <w:rPr/>
        <w:t>Bursa Malaysia (2015), Sustainability Reporting Guide, Bursa Malaysia Berhad, Kuala Lumpur.</w:t>
      </w:r>
    </w:p>
    <w:p>
      <w:pPr>
        <w:spacing w:line="360" w:lineRule="auto" w:after="80" w:before="0"/>
        <w:ind w:left="432" w:hanging="432"/>
      </w:pPr>
      <w:r>
        <w:rPr/>
        <w:t xml:space="preserve">Callaway, B. and Sant'Anna, P.H.C. (2021), "Difference-in-differences with multiple time periods", </w:t>
      </w:r>
      <w:r>
        <w:rPr>
          <w:i/>
        </w:rPr>
        <w:t>Journal of Econometrics</w:t>
      </w:r>
      <w:r>
        <w:rPr/>
        <w:t>, Vol. 225 No. 2, pp. 200-230, doi: 10.1016/j.jeconom.2020.12.001.</w:t>
      </w:r>
    </w:p>
    <w:p>
      <w:pPr>
        <w:spacing w:line="360" w:lineRule="auto" w:after="80" w:before="0"/>
        <w:ind w:left="432" w:hanging="432"/>
      </w:pPr>
      <w:r>
        <w:rPr/>
        <w:t xml:space="preserve">Chen, H., Noronha, G. and Singal, V. (2004), "The price response to S&amp;P 500 index additions and deletions: evidence of asymmetry and a new explanation", </w:t>
      </w:r>
      <w:r>
        <w:rPr>
          <w:i/>
        </w:rPr>
        <w:t>The Journal of Finance</w:t>
      </w:r>
      <w:r>
        <w:rPr/>
        <w:t>, Vol. 59 No. 4, pp. 1901-1929, doi: 10.1111/j.1540-6261.2004.00683.x.</w:t>
      </w:r>
    </w:p>
    <w:p>
      <w:pPr>
        <w:spacing w:line="360" w:lineRule="auto" w:after="80" w:before="0"/>
        <w:ind w:left="432" w:hanging="432"/>
      </w:pPr>
      <w:r>
        <w:rPr/>
        <w:t xml:space="preserve">Christensen, D.M., Serafeim, G. and Sikochi, A. (2022), "Why is corporate virtue in the eye of the beholder? The case of ESG ratings", </w:t>
      </w:r>
      <w:r>
        <w:rPr>
          <w:i/>
        </w:rPr>
        <w:t>The Accounting Review</w:t>
      </w:r>
      <w:r>
        <w:rPr/>
        <w:t>, Vol. 97 No. 1, pp. 147-175, doi: 10.2308/TAR-2019-0506.</w:t>
      </w:r>
    </w:p>
    <w:p>
      <w:pPr>
        <w:spacing w:line="360" w:lineRule="auto" w:after="80" w:before="0"/>
        <w:ind w:left="432" w:hanging="432"/>
      </w:pPr>
      <w:r>
        <w:rPr/>
        <w:t xml:space="preserve">Demiroglu, C. and Ryngaert, M.D. (2010), "The first analyst coverage of neglected stocks", </w:t>
      </w:r>
      <w:r>
        <w:rPr>
          <w:i/>
        </w:rPr>
        <w:t>Financial Management</w:t>
      </w:r>
      <w:r>
        <w:rPr/>
        <w:t>, Vol. 39 No. 2, pp. 555-584, doi: 10.1111/j.1755-053X.2010.01084.x.</w:t>
      </w:r>
    </w:p>
    <w:p>
      <w:pPr>
        <w:spacing w:line="360" w:lineRule="auto" w:after="80" w:before="0"/>
        <w:ind w:left="432" w:hanging="432"/>
      </w:pPr>
      <w:r>
        <w:rPr/>
        <w:t xml:space="preserve">Dobrick, J., Klein, C. and Zwergel, B. (2023), "Size bias in Refinitiv ESG data", </w:t>
      </w:r>
      <w:r>
        <w:rPr>
          <w:i/>
        </w:rPr>
        <w:t>Finance Research Letters</w:t>
      </w:r>
      <w:r>
        <w:rPr/>
        <w:t>, Vol. 55, 104014, doi: 10.1016/j.frl.2023.104014.</w:t>
      </w:r>
    </w:p>
    <w:p>
      <w:pPr>
        <w:spacing w:line="360" w:lineRule="auto" w:after="80" w:before="0"/>
        <w:ind w:left="432" w:hanging="432"/>
      </w:pPr>
      <w:r>
        <w:rPr/>
        <w:t xml:space="preserve">Drempetic, S., Klein, C. and Zwergel, B. (2020), "The influence of firm size on the ESG score: corporate sustainability ratings under review", </w:t>
      </w:r>
      <w:r>
        <w:rPr>
          <w:i/>
        </w:rPr>
        <w:t>Journal of Business Ethics</w:t>
      </w:r>
      <w:r>
        <w:rPr/>
        <w:t>, Vol. 167 No. 2, pp. 333-360, doi: 10.1007/s10551-019-04164-1.</w:t>
      </w:r>
    </w:p>
    <w:p>
      <w:pPr>
        <w:spacing w:line="360" w:lineRule="auto" w:after="80" w:before="0"/>
        <w:ind w:left="432" w:hanging="432"/>
      </w:pPr>
      <w:r>
        <w:rPr/>
        <w:t xml:space="preserve">Durand, R., Paugam, L. and Stolowy, H. (2019), "Do investors actually value sustainability indices? Replication, development, and new evidence on CSR visibility", </w:t>
      </w:r>
      <w:r>
        <w:rPr>
          <w:i/>
        </w:rPr>
        <w:t>Strategic Management Journal</w:t>
      </w:r>
      <w:r>
        <w:rPr/>
        <w:t>, Vol. 40 No. 9, pp. 1471-1490, doi: 10.1002/smj.3035.</w:t>
      </w:r>
    </w:p>
    <w:p>
      <w:pPr>
        <w:spacing w:line="360" w:lineRule="auto" w:after="80" w:before="0"/>
        <w:ind w:left="432" w:hanging="432"/>
      </w:pPr>
      <w:r>
        <w:rPr/>
        <w:t xml:space="preserve">Gibson Brandon, R., Krueger, P. and Schmidt, P.S. (2021), "ESG rating disagreement and stock returns", </w:t>
      </w:r>
      <w:r>
        <w:rPr>
          <w:i/>
        </w:rPr>
        <w:t>Financial Analysts Journal</w:t>
      </w:r>
      <w:r>
        <w:rPr/>
        <w:t>, Vol. 77 No. 4, pp. 104-127, doi: 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Vol. 225 No. 2, pp. 254-277, doi: 10.1016/j.jeconom.2021.03.014.</w:t>
      </w:r>
    </w:p>
    <w:p>
      <w:pPr>
        <w:spacing w:line="360" w:lineRule="auto" w:after="80" w:before="0"/>
        <w:ind w:left="432" w:hanging="432"/>
      </w:pPr>
      <w:r>
        <w:rPr/>
        <w:t xml:space="preserve">Harris, L. and Gurel, E. (1986), "Price and volume effects associated with changes in the S&amp;P 500 list: new evidence for the existence of price pressures", </w:t>
      </w:r>
      <w:r>
        <w:rPr>
          <w:i/>
        </w:rPr>
        <w:t>The Journal of Finance</w:t>
      </w:r>
      <w:r>
        <w:rPr/>
        <w:t>, Vol. 41 No. 4, pp. 815-829, doi: 10.1111/j.1540-6261.1986.tb04550.x.</w:t>
      </w:r>
    </w:p>
    <w:p>
      <w:pPr>
        <w:spacing w:line="360" w:lineRule="auto" w:after="80" w:before="0"/>
        <w:ind w:left="432" w:hanging="432"/>
      </w:pPr>
      <w:r>
        <w:rPr/>
        <w:t xml:space="preserve">Hartzmark, S.M. and Sussman, A.B. (2019), "Do investors value sustainability? A natural experiment examining ranking and fund flows", </w:t>
      </w:r>
      <w:r>
        <w:rPr>
          <w:i/>
        </w:rPr>
        <w:t>The Journal of Finance</w:t>
      </w:r>
      <w:r>
        <w:rPr/>
        <w:t>, Vol. 74 No. 6, pp. 2789-2837, doi: 10.1111/jofi.12841.</w:t>
      </w:r>
    </w:p>
    <w:p>
      <w:pPr>
        <w:spacing w:line="360" w:lineRule="auto" w:after="80" w:before="0"/>
        <w:ind w:left="432" w:hanging="432"/>
      </w:pPr>
      <w:r>
        <w:rPr/>
        <w:t xml:space="preserve">Hawn, O., Chatterji, A.K. and Mitchell, W. (2018), "Do investors actually value sustainability? New evidence from investor reactions to the Dow Jones Sustainability Index (DJSI)", </w:t>
      </w:r>
      <w:r>
        <w:rPr>
          <w:i/>
        </w:rPr>
        <w:t>Strategic Management Journal</w:t>
      </w:r>
      <w:r>
        <w:rPr/>
        <w:t>, Vol. 39 No. 4, pp. 949-976, doi: 10.1002/smj.2752.</w:t>
      </w:r>
    </w:p>
    <w:p>
      <w:pPr>
        <w:spacing w:line="360" w:lineRule="auto" w:after="80" w:before="0"/>
        <w:ind w:left="432" w:hanging="432"/>
      </w:pPr>
      <w:r>
        <w:rPr/>
        <w:t xml:space="preserve">Kelly, B. and Ljungqvist, A. (2012), "Testing asymmetric-information asset pricing models", </w:t>
      </w:r>
      <w:r>
        <w:rPr>
          <w:i/>
        </w:rPr>
        <w:t>The Review of Financial Studies</w:t>
      </w:r>
      <w:r>
        <w:rPr/>
        <w:t>, Vol. 25 No. 5, pp. 1366-1413, doi: 10.1093/rfs/hhr134.</w:t>
      </w:r>
    </w:p>
    <w:p>
      <w:pPr>
        <w:spacing w:line="360" w:lineRule="auto" w:after="80" w:before="0"/>
        <w:ind w:left="432" w:hanging="432"/>
      </w:pPr>
      <w:r>
        <w:rPr/>
        <w:t xml:space="preserve">Krueger, P., Sautner, Z., Tang, D.Y. and Zhong, R. (2024), "The effects of mandatory ESG disclosure around the world", </w:t>
      </w:r>
      <w:r>
        <w:rPr>
          <w:i/>
        </w:rPr>
        <w:t>Journal of Accounting Research</w:t>
      </w:r>
      <w:r>
        <w:rPr/>
        <w:t>, Vol. 62 No. 5, pp. 1795-1847, doi: 10.1111/1475-679X.12548.</w:t>
      </w:r>
    </w:p>
    <w:p>
      <w:pPr>
        <w:spacing w:line="360" w:lineRule="auto" w:after="80" w:before="0"/>
        <w:ind w:left="432" w:hanging="432"/>
      </w:pPr>
      <w:r>
        <w:rPr/>
        <w:t>LSEG (2025), LSEG ESG Scores (ESG Score Field), Annual, 2014-2024, dataset, LSEG Workspace.</w:t>
      </w:r>
    </w:p>
    <w:p>
      <w:pPr>
        <w:spacing w:line="360" w:lineRule="auto" w:after="80" w:before="0"/>
        <w:ind w:left="432" w:hanging="432"/>
      </w:pPr>
      <w:r>
        <w:rPr/>
        <w:t xml:space="preserve">Merton, R.C. (1987), "A simple model of capital market equilibrium with incomplete information", </w:t>
      </w:r>
      <w:r>
        <w:rPr>
          <w:i/>
        </w:rPr>
        <w:t>The Journal of Finance</w:t>
      </w:r>
      <w:r>
        <w:rPr/>
        <w:t>, Vol. 42 No. 3, pp. 483-510, doi: 10.1111/j.1540-6261.1987.tb04565.x.</w:t>
      </w:r>
    </w:p>
    <w:p>
      <w:pPr>
        <w:spacing w:line="360" w:lineRule="auto" w:after="80" w:before="0"/>
        <w:ind w:left="432" w:hanging="432"/>
      </w:pPr>
      <w:r>
        <w:rPr/>
        <w:t>Otoritas Jasa Keuangan (2017), Peraturan Otoritas Jasa Keuangan Nomor 51/POJK.03/2017 tentang Penerapan Keuangan Berkelanjutan bagi Lembaga Jasa Keuangan, Emiten, dan Perusahaan Publik [Regulation on the application of sustainable finance to financial services institutions, issuers, and public companies], Otoritas Jasa Keuangan, Jakarta.</w:t>
      </w:r>
    </w:p>
    <w:p>
      <w:pPr>
        <w:spacing w:line="360" w:lineRule="auto" w:after="80" w:before="0"/>
        <w:ind w:left="432" w:hanging="432"/>
      </w:pPr>
      <w:r>
        <w:rPr/>
        <w:t xml:space="preserve">Pástor, Ľ., Stambaugh, R.F. and Taylor, L.A. (2021), "Sustainable investing in equilibrium", </w:t>
      </w:r>
      <w:r>
        <w:rPr>
          <w:i/>
        </w:rPr>
        <w:t>Journal of Financial Economics</w:t>
      </w:r>
      <w:r>
        <w:rPr/>
        <w:t>, Vol. 142 No. 2, pp. 550-571, doi: 10.1016/j.jfineco.2020.12.011.</w:t>
      </w:r>
    </w:p>
    <w:p>
      <w:pPr>
        <w:spacing w:line="360" w:lineRule="auto" w:after="80" w:before="0"/>
        <w:ind w:left="432" w:hanging="432"/>
      </w:pPr>
      <w:r>
        <w:rPr/>
        <w:t xml:space="preserve">Pástor, Ľ., Stambaugh, R.F. and Taylor, L.A. (2022), "Dissecting green returns", </w:t>
      </w:r>
      <w:r>
        <w:rPr>
          <w:i/>
        </w:rPr>
        <w:t>Journal of Financial Economics</w:t>
      </w:r>
      <w:r>
        <w:rPr/>
        <w:t>, Vol. 146 No. 2, pp. 403-424, doi: 10.1016/j.jfineco.2022.07.007.</w:t>
      </w:r>
    </w:p>
    <w:p>
      <w:pPr>
        <w:spacing w:line="360" w:lineRule="auto" w:after="80" w:before="0"/>
        <w:ind w:left="432" w:hanging="432"/>
      </w:pPr>
      <w:r>
        <w:rPr/>
        <w:t xml:space="preserve">Pedersen, L.H., Fitzgibbons, S. and Pomorski, L. (2021), "Responsible investing: the ESG-efficient frontier", </w:t>
      </w:r>
      <w:r>
        <w:rPr>
          <w:i/>
        </w:rPr>
        <w:t>Journal of Financial Economics</w:t>
      </w:r>
      <w:r>
        <w:rPr/>
        <w:t>, Vol. 142 No. 2, pp. 572-597, doi: 10.1016/j.jfineco.2020.11.001.</w:t>
      </w:r>
    </w:p>
    <w:p>
      <w:pPr>
        <w:spacing w:line="360" w:lineRule="auto" w:after="80" w:before="0"/>
        <w:ind w:left="432" w:hanging="432"/>
      </w:pPr>
      <w:r>
        <w:rPr/>
        <w:t xml:space="preserve">Rambachan, A. and Roth, J. (2023), "A more credible approach to parallel trends", </w:t>
      </w:r>
      <w:r>
        <w:rPr>
          <w:i/>
        </w:rPr>
        <w:t>The Review of Economic Studies</w:t>
      </w:r>
      <w:r>
        <w:rPr/>
        <w:t>, Vol. 90 No. 5, pp. 2555-2591, doi: 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Vol. 4 No. 3, pp. 305-322, doi: 10.1257/aeri.20210236.</w:t>
      </w:r>
    </w:p>
    <w:p>
      <w:pPr>
        <w:spacing w:line="360" w:lineRule="auto" w:after="80" w:before="0"/>
        <w:ind w:left="432" w:hanging="432"/>
      </w:pPr>
      <w:r>
        <w:rPr/>
        <w:t>S&amp;P Global Market Intelligence (2025), Compustat Global, Annual Fundamentals, 2014-2024, dataset, S&amp;P Global Market Intelligence.</w:t>
      </w:r>
    </w:p>
    <w:p>
      <w:pPr>
        <w:spacing w:line="360" w:lineRule="auto" w:after="80" w:before="0"/>
        <w:ind w:left="432" w:hanging="432"/>
      </w:pPr>
      <w:r>
        <w:rPr/>
        <w:t xml:space="preserve">Sahin, Ö., Bax, K., Paterlini, S. and Czado, C. (2023), "The pitfalls of (non-definitive) environmental, social, and governance scoring methodology", </w:t>
      </w:r>
      <w:r>
        <w:rPr>
          <w:i/>
        </w:rPr>
        <w:t>Global Finance Journal</w:t>
      </w:r>
      <w:r>
        <w:rPr/>
        <w:t>, Vol. 56, 100780, doi: 10.1016/j.gfj.2022.100780.</w:t>
      </w:r>
    </w:p>
    <w:p>
      <w:pPr>
        <w:spacing w:line="360" w:lineRule="auto" w:after="80" w:before="0"/>
        <w:ind w:left="432" w:hanging="432"/>
      </w:pPr>
      <w:r>
        <w:rPr/>
        <w:t xml:space="preserve">Sant'Anna, P.H.C. and Zhao, J. (2020), "Doubly robust difference-in-differences estimators", </w:t>
      </w:r>
      <w:r>
        <w:rPr>
          <w:i/>
        </w:rPr>
        <w:t>Journal of Econometrics</w:t>
      </w:r>
      <w:r>
        <w:rPr/>
        <w:t>, Vol. 219 No. 1, pp. 101-122, doi: 10.1016/j.jeconom.2020.06.003.</w:t>
      </w:r>
    </w:p>
    <w:p>
      <w:pPr>
        <w:spacing w:line="360" w:lineRule="auto" w:after="80" w:before="0"/>
        <w:ind w:left="432" w:hanging="432"/>
      </w:pPr>
      <w:r>
        <w:rPr/>
        <w:t>Securities and Exchange Commission Philippines (2019), "Memorandum Circular No. 4, series of 2019: sustainability reporting guidelines for publicly-listed companies", available at: https://www.sec.gov.ph/wp-content/uploads/2020/09/2019MCNo4.pdf.</w:t>
      </w:r>
    </w:p>
    <w:p>
      <w:pPr>
        <w:spacing w:line="360" w:lineRule="auto" w:after="80" w:before="0"/>
        <w:ind w:left="432" w:hanging="432"/>
      </w:pPr>
      <w:r>
        <w:rPr/>
        <w:t xml:space="preserve">Serafeim, G. and Yoon, A. (2023), "Stock price reactions to ESG news: the role of ESG ratings and disagreement", </w:t>
      </w:r>
      <w:r>
        <w:rPr>
          <w:i/>
        </w:rPr>
        <w:t>Review of Accounting Studies</w:t>
      </w:r>
      <w:r>
        <w:rPr/>
        <w:t>, Vol. 28 No. 3, pp. 1500-1530, doi: 10.1007/s11142-022-09675-3.</w:t>
      </w:r>
    </w:p>
    <w:p>
      <w:pPr>
        <w:spacing w:line="360" w:lineRule="auto" w:after="80" w:before="0"/>
        <w:ind w:left="432" w:hanging="432"/>
      </w:pPr>
      <w:r>
        <w:rPr/>
        <w:t xml:space="preserve">Shanaev, S. and Ghimire, B. (2022), "When ESG meets AAA: the effect of ESG rating changes on stock returns", </w:t>
      </w:r>
      <w:r>
        <w:rPr>
          <w:i/>
        </w:rPr>
        <w:t>Finance Research Letters</w:t>
      </w:r>
      <w:r>
        <w:rPr/>
        <w:t>, Vol. 46 Part A, 102302, doi: 10.1016/j.frl.2021.102302.</w:t>
      </w:r>
    </w:p>
    <w:p>
      <w:pPr>
        <w:spacing w:line="360" w:lineRule="auto" w:after="80" w:before="0"/>
        <w:ind w:left="432" w:hanging="432"/>
      </w:pPr>
      <w:r>
        <w:rPr/>
        <w:t xml:space="preserve">Shleifer, A. (1986), "Do demand curves for stocks slope down?", </w:t>
      </w:r>
      <w:r>
        <w:rPr>
          <w:i/>
        </w:rPr>
        <w:t>The Journal of Finance</w:t>
      </w:r>
      <w:r>
        <w:rPr/>
        <w:t>, Vol. 41 No. 3, pp. 579-590, doi: 10.1111/j.1540-6261.1986.tb04518.x.</w:t>
      </w:r>
    </w:p>
    <w:p>
      <w:pPr>
        <w:spacing w:line="360" w:lineRule="auto" w:after="80" w:before="0"/>
        <w:ind w:left="432" w:hanging="432"/>
      </w:pPr>
      <w:r>
        <w:rPr/>
        <w:t>Singapore Exchange (2016), "SGX Mainboard Rules 711A and 711B: sustainability report", SGX Rulebook, available at: https://rulebook.sgx.com/rulebook/711a.</w:t>
      </w:r>
    </w:p>
    <w:p>
      <w:pPr>
        <w:spacing w:line="360" w:lineRule="auto" w:after="80" w:before="0"/>
        <w:ind w:left="432" w:hanging="432"/>
      </w:pPr>
      <w:r>
        <w:rPr/>
        <w:t>Tilleke &amp; Gibbins (2020), "Thailand's SEC unifies annual report for listed companies", September, available at: https://www.tilleke.com/insights/thailands-sec-unifies-annual-report-listed-companies/.</w:t>
      </w:r>
    </w:p>
    <w:p>
      <w:pPr>
        <w:spacing w:line="360" w:lineRule="auto" w:after="80" w:before="0"/>
        <w:ind w:left="432" w:hanging="432"/>
      </w:pPr>
      <w:r>
        <w:rPr/>
        <w:t xml:space="preserve">Tsang, A., Wang, Y., Xiang, Y. and Yu, L. (2024), "The rise of ESG rating agencies and management of corporate ESG violations", </w:t>
      </w:r>
      <w:r>
        <w:rPr>
          <w:i/>
        </w:rPr>
        <w:t>Journal of Banking &amp; Finance</w:t>
      </w:r>
      <w:r>
        <w:rPr/>
        <w:t>, Vol. 169, 107312, doi: 10.1016/j.jbankfin.2024.107312.</w:t>
      </w:r>
    </w:p>
    <w:p>
      <w:pPr>
        <w:spacing w:line="360" w:lineRule="auto" w:after="80" w:before="0"/>
        <w:ind w:left="432" w:hanging="432"/>
      </w:pPr>
      <w:r>
        <w:rPr/>
        <w:t xml:space="preserve">Tsang, A., Wang, Y., Xiang, Y. and Yu, L. (2025), "ESG ratings and dividend changes: evidence from the initiation of nonfinancial agency coverage", </w:t>
      </w:r>
      <w:r>
        <w:rPr>
          <w:i/>
        </w:rPr>
        <w:t>Corporate Governance: An International Review</w:t>
      </w:r>
      <w:r>
        <w:rPr/>
        <w:t>, Vol. 33 No. 4, pp. 554-577, doi: 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