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keepNext/>
        <w:spacing w:line="360" w:lineRule="auto" w:after="120" w:before="240"/>
      </w:pPr>
      <w:r>
        <w:rPr>
          <w:b/>
        </w:rPr>
        <w:t>Abstract</w:t>
      </w:r>
    </w:p>
    <w:p>
      <w:pPr>
        <w:spacing w:line="360" w:lineRule="auto" w:after="80" w:before="0"/>
        <w:jc w:val="both"/>
      </w:pPr>
      <w:r>
        <w:rPr>
          <w:b/>
        </w:rPr>
        <w:t>Purpose</w:t>
      </w:r>
      <w:r>
        <w:t xml:space="preserve"> – </w:t>
      </w:r>
      <w:r>
        <w:rPr/>
        <w:t>Environmental, social, and governance (ESG) scores decide which firms ESG-screened investors can hold, yet most listed emerging-market firms have none. This study asks which firms enter the scored universe and whether entry changes their market valuation.</w:t>
      </w:r>
    </w:p>
    <w:p>
      <w:pPr>
        <w:spacing w:line="360" w:lineRule="auto" w:after="80" w:before="0"/>
        <w:jc w:val="both"/>
      </w:pPr>
      <w:r>
        <w:rPr>
          <w:b/>
        </w:rPr>
        <w:t>Design/methodology/approach</w:t>
      </w:r>
      <w:r>
        <w:t xml:space="preserve"> – </w:t>
      </w:r>
      <w:r>
        <w:rPr/>
        <w:t>The study compares 675 non-financial firms in Indonesia, Malaysia, the Philippines, Singapore, and Thailand that received a first London Stock Exchange Group (LSEG) ESG score in 2015 to 2024 with 2,613 never-scored firms, before and after the first score, following a pre-analysis plan.</w:t>
      </w:r>
    </w:p>
    <w:p>
      <w:pPr>
        <w:spacing w:line="360" w:lineRule="auto" w:after="80" w:before="0"/>
        <w:jc w:val="both"/>
      </w:pPr>
      <w:r>
        <w:rPr>
          <w:b/>
        </w:rPr>
        <w:t>Findings</w:t>
      </w:r>
      <w:r>
        <w:t xml:space="preserve"> – </w:t>
      </w:r>
      <w:r>
        <w:rPr/>
        <w:t>From five years before the first score to the year before it, scored firms' market-to-book (MTB) ratio grew 10.0 percent more than that of never-scored firms (95% interval 1.9 to 18.2 percent); a large Malaysian wave shows no such run-up. Under parallel trends, MTB did not rise after the first score (estimate 0.002; interval −0.046 to 0.048), and we detect no difference between high- and low-score firms (p = 0.307). Dated one year later, MTB fell −6.6 percent, a decline that small departures from parallel trends erase.</w:t>
      </w:r>
    </w:p>
    <w:p>
      <w:pPr>
        <w:spacing w:line="360" w:lineRule="auto" w:after="80" w:before="0"/>
        <w:jc w:val="both"/>
      </w:pPr>
      <w:r>
        <w:rPr>
          <w:b/>
        </w:rPr>
        <w:t>Research limitations/implications</w:t>
      </w:r>
      <w:r>
        <w:t xml:space="preserve"> – </w:t>
      </w:r>
      <w:r>
        <w:rPr/>
        <w:t>The provider chooses whom to cover, the data are annual, and departures from parallel trends like those before coverage admit effects of several percent.</w:t>
      </w:r>
    </w:p>
    <w:p>
      <w:pPr>
        <w:spacing w:line="360" w:lineRule="auto" w:after="80" w:before="0"/>
        <w:jc w:val="both"/>
      </w:pPr>
      <w:r>
        <w:rPr>
          <w:b/>
        </w:rPr>
        <w:t>Practical implications</w:t>
      </w:r>
      <w:r>
        <w:t xml:space="preserve"> – </w:t>
      </w:r>
      <w:r>
        <w:rPr/>
        <w:t>Rating providers, ESG screens, index builders, and ESG-premium studies that use this provider's scores draw on firms that have often just outgrown their peers.</w:t>
      </w:r>
    </w:p>
    <w:p>
      <w:pPr>
        <w:spacing w:line="360" w:lineRule="auto" w:after="80" w:before="0"/>
        <w:jc w:val="both"/>
      </w:pPr>
      <w:r>
        <w:rPr>
          <w:b/>
        </w:rPr>
        <w:t>Originality/value</w:t>
      </w:r>
      <w:r>
        <w:t xml:space="preserve"> – </w:t>
      </w:r>
      <w:r>
        <w:rPr/>
        <w:t>The study documents selection into ESG rating coverage, and its valuation consequences, in emerging markets.</w:t>
      </w:r>
    </w:p>
    <w:p>
      <w:pPr>
        <w:spacing w:line="360" w:lineRule="auto" w:after="80" w:before="0"/>
      </w:pPr>
      <w:r>
        <w:rPr>
          <w:b/>
        </w:rPr>
        <w:t>Keywords</w:t>
      </w:r>
      <w:r>
        <w:t xml:space="preserve"> Emerging markets, ESG investing, ESG ratings, Firm valuation, Rating coverage, Sustainable finance</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 xml:space="preserve">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w:t>
      </w:r>
      <w:r>
        <w:rPr>
          <w:i/>
        </w:rPr>
        <w:t>et al.</w:t>
      </w:r>
      <w:r>
        <w:rPr/>
        <w:t xml:space="preserve">, 2022; Dobrick </w:t>
      </w:r>
      <w:r>
        <w:rPr>
          <w:i/>
        </w:rPr>
        <w:t>et al.</w:t>
      </w:r>
      <w:r>
        <w:rPr/>
        <w:t>,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 xml:space="preserve">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w:t>
      </w:r>
      <w:r>
        <w:rPr>
          <w:i/>
        </w:rPr>
        <w:t>et al.</w:t>
      </w:r>
      <w:r>
        <w:rPr/>
        <w:t xml:space="preserve">, 2021; Pedersen </w:t>
      </w:r>
      <w:r>
        <w:rPr>
          <w:i/>
        </w:rPr>
        <w:t>et al.</w:t>
      </w:r>
      <w:r>
        <w:rPr/>
        <w:t xml:space="preserve">,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w:t>
      </w:r>
      <w:r>
        <w:rPr>
          <w:i/>
        </w:rPr>
        <w:t>et al.</w:t>
      </w:r>
      <w:r>
        <w:rPr/>
        <w:t xml:space="preserve">, 2019; Hawn </w:t>
      </w:r>
      <w:r>
        <w:rPr>
          <w:i/>
        </w:rPr>
        <w:t>et al.</w:t>
      </w:r>
      <w:r>
        <w:rPr/>
        <w:t xml:space="preserve">, 2018), whereas downgrades of existing ratings are followed by negative abnormal returns and upgrades by weaker positive ones (Berg, Heeb </w:t>
      </w:r>
      <w:r>
        <w:rPr>
          <w:i/>
        </w:rPr>
        <w:t>et al.</w:t>
      </w:r>
      <w:r>
        <w:rPr/>
        <w:t>, 2022; Shanaev and Ghimire, 2022). Fund investors respond to sustainability ratings when these are new and salient (Hartzmark and Sussman, 2019).</w:t>
      </w:r>
    </w:p>
    <w:p>
      <w:pPr>
        <w:spacing w:line="360" w:lineRule="auto" w:after="120" w:before="0"/>
        <w:ind w:firstLine="432"/>
        <w:jc w:val="both"/>
      </w:pPr>
      <w:r>
        <w:rPr/>
        <w:t xml:space="preserve">The first question matters because providers choose whom to score. They are likely to add a firm once it is large, liquid, or disclosing enough to be scored, and the scores themselves rise with firm size (Dobrick </w:t>
      </w:r>
      <w:r>
        <w:rPr>
          <w:i/>
        </w:rPr>
        <w:t>et al.</w:t>
      </w:r>
      <w:r>
        <w:rPr/>
        <w:t xml:space="preserve">, 2023; Drempetic </w:t>
      </w:r>
      <w:r>
        <w:rPr>
          <w:i/>
        </w:rPr>
        <w:t>et al.</w:t>
      </w:r>
      <w:r>
        <w:rPr/>
        <w:t xml:space="preserve">,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w:t>
      </w:r>
      <w:r>
        <w:rPr>
          <w:i/>
        </w:rPr>
        <w:t>et al.</w:t>
      </w:r>
      <w:r>
        <w:rPr/>
        <w:t xml:space="preserve">, 2024), lower emissions and more ownership by high-ESG institutions (Bikmetova and Pirinsky, 2026), and dividend increases (Tsang </w:t>
      </w:r>
      <w:r>
        <w:rPr>
          <w:i/>
        </w:rPr>
        <w:t>et al.</w:t>
      </w:r>
      <w:r>
        <w:rPr/>
        <w:t>, 2025). None of these studies examines valuation in emerging markets, where most firms are unscored and coverage has expanded in waves.</w:t>
      </w:r>
    </w:p>
    <w:p>
      <w:pPr>
        <w:spacing w:line="360" w:lineRule="auto" w:after="120" w:before="0"/>
        <w:ind w:firstLine="432"/>
        <w:jc w:val="both"/>
      </w:pPr>
      <w:r>
        <w:rPr/>
        <w:t xml:space="preserve">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w:t>
      </w:r>
      <w:r>
        <w:rPr>
          <w:i/>
        </w:rPr>
        <w:t>et al.</w:t>
      </w:r>
      <w:r>
        <w:rPr/>
        <w:t>,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(Figure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(Figure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spacing w:line="360" w:lineRule="auto" w:after="120" w:before="120"/>
        <w:jc w:val="center"/>
      </w:pPr>
      <w:r>
        <w:rPr>
          <w:b/>
        </w:rPr>
        <w:t>[Insert Figure 1 here]</w:t>
      </w:r>
    </w:p>
    <w:p>
      <w:pPr>
        <w:spacing w:line="360" w:lineRule="auto" w:after="120" w:before="120"/>
        <w:jc w:val="center"/>
      </w:pPr>
      <w:r>
        <w:rPr>
          <w:b/>
        </w:rPr>
        <w:t>[Insert Figure 2 here]</w:t>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and Roth, 2023), the interval for the headline estimate widens to −0.071 to 0.073.</w:t>
      </w:r>
    </w:p>
    <w:p>
      <w:pPr>
        <w:spacing w:line="360" w:lineRule="auto" w:after="120" w:before="0"/>
        <w:ind w:firstLine="432"/>
        <w:jc w:val="both"/>
      </w:pPr>
      <w:r>
        <w:rPr/>
        <w:t xml:space="preserve">The paper makes three contributions to sustainable finance. First, it adds valuation and an emerging-market setting to the rating-coverage literature (Bikmetova and Pirinsky, 2026; Tsang </w:t>
      </w:r>
      <w:r>
        <w:rPr>
          <w:i/>
        </w:rPr>
        <w:t>et al.</w:t>
      </w:r>
      <w:r>
        <w:rPr/>
        <w:t xml:space="preserve">,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w:t>
      </w:r>
      <w:r>
        <w:rPr>
          <w:i/>
        </w:rPr>
        <w:t>et al.</w:t>
      </w:r>
      <w:r>
        <w:rPr/>
        <w:t>,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ESG ratings as information and certification</w:t>
      </w:r>
    </w:p>
    <w:p>
      <w:pPr>
        <w:spacing w:line="360" w:lineRule="auto" w:after="120" w:before="0"/>
        <w:ind w:firstLine="432"/>
        <w:jc w:val="both"/>
      </w:pPr>
      <w:r>
        <w:rPr/>
        <w:t xml:space="preserve">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w:t>
      </w:r>
      <w:r>
        <w:rPr>
          <w:i/>
        </w:rPr>
        <w:t>et al.</w:t>
      </w:r>
      <w:r>
        <w:rPr/>
        <w:t>, 2022). Calendar-time portfolios of firms with rating changes give a similar asymmetry (Shanaev and Ghimire, 2022). Consensus ratings predict future ESG news, but disagreement among providers weakens both this predictive power and the price reaction to the news (Serafeim and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 xml:space="preserve">Certification by inclusion in a sustainability index is the closest analog to a first score. Additions to the Dow Jones Sustainability Index have limited price effects once firms are compared with similar firms outside the index (Hawn </w:t>
      </w:r>
      <w:r>
        <w:rPr>
          <w:i/>
        </w:rPr>
        <w:t>et al.</w:t>
      </w:r>
      <w:r>
        <w:rPr/>
        <w:t xml:space="preserve">, 2018), and a replication finds no price effect but more analyst following after addition and more long-term ownership after continued membership (Durand </w:t>
      </w:r>
      <w:r>
        <w:rPr>
          <w:i/>
        </w:rPr>
        <w:t>et al.</w:t>
      </w:r>
      <w:r>
        <w:rPr/>
        <w:t>, 2019). Sell-side coverage offers a second analog: losing analyst coverage lowers prices (Kelly and Ljungqvist, 2012), and the first report on a neglected stock raises its price when the report is favorable (Demiroglu and Ryngaert, 2010).</w:t>
      </w:r>
    </w:p>
    <w:p>
      <w:pPr>
        <w:keepNext/>
        <w:spacing w:line="360" w:lineRule="auto" w:after="120" w:before="120"/>
      </w:pPr>
      <w:r>
        <w:rPr>
          <w:i/>
        </w:rPr>
        <w:t>2.2 ESG demand, recognition, and price pressure</w:t>
      </w:r>
    </w:p>
    <w:p>
      <w:pPr>
        <w:spacing w:line="360" w:lineRule="auto" w:after="120" w:before="0"/>
        <w:ind w:firstLine="432"/>
        <w:jc w:val="both"/>
      </w:pPr>
      <w:r>
        <w:rPr/>
        <w:t xml:space="preserve">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w:t>
      </w:r>
      <w:r>
        <w:rPr>
          <w:i/>
        </w:rPr>
        <w:t>et al.</w:t>
      </w:r>
      <w:r>
        <w:rPr/>
        <w:t xml:space="preserve">, 2004). Under ESG preferences, investors accept lower expected returns on assets they classify as sustainable (Pástor </w:t>
      </w:r>
      <w:r>
        <w:rPr>
          <w:i/>
        </w:rPr>
        <w:t>et al.</w:t>
      </w:r>
      <w:r>
        <w:rPr/>
        <w:t xml:space="preserve">, 2021; Pedersen </w:t>
      </w:r>
      <w:r>
        <w:rPr>
          <w:i/>
        </w:rPr>
        <w:t>et al.</w:t>
      </w:r>
      <w:r>
        <w:rPr/>
        <w:t>,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 xml:space="preserve">Demand shocks also shape realized prices before any rating event. Pástor </w:t>
      </w:r>
      <w:r>
        <w:rPr>
          <w:i/>
        </w:rPr>
        <w:t>et al.</w:t>
      </w:r>
      <w:r>
        <w:rPr/>
        <w:t xml:space="preserve"> (2022) show that the high realized returns of green assets reflect unexpected increases in ESG concern rather than high expected returns. In the same way, inclusion in the S&amp;P 500 raises prices (Harris and Gurel, 1986; Shleifer, 1986), and part of the increase reverses within weeks (Harris and Gurel, 1986). A run-up in value before coverage, followed by a flat path, is consistent with a demand shift that ended, with selection on growth, or with both.</w:t>
      </w:r>
    </w:p>
    <w:p>
      <w:pPr>
        <w:keepNext/>
        <w:spacing w:line="360" w:lineRule="auto" w:after="120" w:before="120"/>
      </w:pPr>
      <w:r>
        <w:rPr>
          <w:i/>
        </w:rPr>
        <w:t>2.3 Which firms providers score</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The provider we study gives higher scores to larger firms, a bias first documented for its ASSET4 scores (Drempetic </w:t>
      </w:r>
      <w:r>
        <w:rPr>
          <w:i/>
        </w:rPr>
        <w:t>et al.</w:t>
      </w:r>
      <w:r>
        <w:rPr/>
        <w:t xml:space="preserve">, 2020) and still present in its Refinitiv scores (Dobrick </w:t>
      </w:r>
      <w:r>
        <w:rPr>
          <w:i/>
        </w:rPr>
        <w:t>et al.</w:t>
      </w:r>
      <w:r>
        <w:rPr/>
        <w:t xml:space="preserve">, 2023). Providers disagree about the same firm (Berg, Kölbel </w:t>
      </w:r>
      <w:r>
        <w:rPr>
          <w:i/>
        </w:rPr>
        <w:t>et al.</w:t>
      </w:r>
      <w:r>
        <w:rPr/>
        <w:t xml:space="preserve">, 2022; Christensen </w:t>
      </w:r>
      <w:r>
        <w:rPr>
          <w:i/>
        </w:rPr>
        <w:t>et al.</w:t>
      </w:r>
      <w:r>
        <w:rPr/>
        <w:t xml:space="preserve">, 2022), the disagreement is priced (Avramov </w:t>
      </w:r>
      <w:r>
        <w:rPr>
          <w:i/>
        </w:rPr>
        <w:t>et al.</w:t>
      </w:r>
      <w:r>
        <w:rPr/>
        <w:t xml:space="preserve">, 2022; Gibson Brandon </w:t>
      </w:r>
      <w:r>
        <w:rPr>
          <w:i/>
        </w:rPr>
        <w:t>et al.</w:t>
      </w:r>
      <w:r>
        <w:rPr/>
        <w:t xml:space="preserve">, 2021), and the provider has rewritten historical scores on a large scale (Berg </w:t>
      </w:r>
      <w:r>
        <w:rPr>
          <w:i/>
        </w:rPr>
        <w:t>et al.</w:t>
      </w:r>
      <w:r>
        <w:rPr/>
        <w:t>, 2020). If providers select firms that have grown, a comparison of scored and unscored firms mixes the effect of coverage with the growth that led to it.</w:t>
      </w:r>
    </w:p>
    <w:p>
      <w:pPr>
        <w:keepNext/>
        <w:spacing w:line="360" w:lineRule="auto" w:after="120" w:before="120"/>
      </w:pPr>
      <w:r>
        <w:rPr>
          <w:i/>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rPr>
        <w:t>3. Institutional Setting and Data</w:t>
      </w:r>
    </w:p>
    <w:p>
      <w:pPr>
        <w:keepNext/>
        <w:spacing w:line="360" w:lineRule="auto" w:after="120" w:before="120"/>
      </w:pPr>
      <w:r>
        <w:rPr>
          <w:i/>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and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publishes a score for the firm; and the provider is LSEG.</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supplementary material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 xml:space="preserve">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 xml:space="preserve">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w:t>
      </w:r>
      <w:r>
        <w:rPr>
          <w:i/>
        </w:rPr>
        <w:t>et al.</w:t>
      </w:r>
      <w:r>
        <w:rPr/>
        <w:t>,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estimate on scored and never-scored firms the static two-way fixed effects (TWFE)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supplementary material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w:t>
      </w:r>
      <w:r>
        <w:rPr>
          <w:i/>
        </w:rPr>
        <w:t>et al.</w:t>
      </w:r>
      <w:r>
        <w:rPr/>
        <w:t>, 2023), we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Figure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fiscal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Figure S2 of the supplementary material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supplementary material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i/>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Figure S2 of the supplementary material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supplementary material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i/>
        </w:rPr>
        <w:t>5.6 Does the score itself matter?</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w:t>
      </w:r>
      <w:r>
        <w:rPr>
          <w:i/>
        </w:rPr>
        <w:t>et al.</w:t>
      </w:r>
      <w:r>
        <w:rPr/>
        <w:t xml:space="preserve">, 2022; Christensen </w:t>
      </w:r>
      <w:r>
        <w:rPr>
          <w:i/>
        </w:rPr>
        <w:t>et al.</w:t>
      </w:r>
      <w:r>
        <w:rPr/>
        <w:t xml:space="preserve">, 2022) and revisions of initial scores (Sahin </w:t>
      </w:r>
      <w:r>
        <w:rPr>
          <w:i/>
        </w:rPr>
        <w:t>et al.</w:t>
      </w:r>
      <w:r>
        <w:rPr/>
        <w:t>, 2023) weaken the signal in any single score.</w:t>
      </w:r>
    </w:p>
    <w:p>
      <w:pPr>
        <w:keepNext/>
        <w:spacing w:line="360" w:lineRule="auto" w:after="120" w:before="120"/>
      </w:pPr>
      <w:r>
        <w:rPr>
          <w:i/>
        </w:rPr>
        <w:t>5.7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w:t>
      </w:r>
      <w:r>
        <w:rPr>
          <w:i/>
        </w:rPr>
        <w:t>et al.</w:t>
      </w:r>
      <w:r>
        <w:rPr/>
        <w:t xml:space="preserve">, 2022). Annual year-end ratios would miss short-lived price pressure, so our estimates concern lasting revaluation of the kind a permanent rise in investor recognition would produce (Chen </w:t>
      </w:r>
      <w:r>
        <w:rPr>
          <w:i/>
        </w:rPr>
        <w:t>et al.</w:t>
      </w:r>
      <w:r>
        <w:rPr/>
        <w:t>,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rPr>
        <w:t>6. Discussion</w:t>
      </w:r>
    </w:p>
    <w:p>
      <w:pPr>
        <w:keepNext/>
        <w:spacing w:line="360" w:lineRule="auto" w:after="120" w:before="120"/>
      </w:pPr>
      <w:r>
        <w:rPr>
          <w:i/>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 xml:space="preserve">The flat post-coverage MTB path in the baseline admits three readings, depending on the counterfactual trend (Rambachan and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w:t>
      </w:r>
      <w:r>
        <w:rPr>
          <w:i/>
        </w:rPr>
        <w:t>et al.</w:t>
      </w:r>
      <w:r>
        <w:rPr/>
        <w:t>,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i/>
        </w:rPr>
        <w:t>6.2 Relation to evidence on ESG ratings and certification</w:t>
      </w:r>
    </w:p>
    <w:p>
      <w:pPr>
        <w:spacing w:line="360" w:lineRule="auto" w:after="120" w:before="0"/>
        <w:ind w:firstLine="432"/>
        <w:jc w:val="both"/>
      </w:pPr>
      <w:r>
        <w:rPr/>
        <w:t xml:space="preserve">The absence of a detected gain fits the evidence on certification by sustainability indices, where additions have little price effect once comparable firms are used as benchmarks (Durand </w:t>
      </w:r>
      <w:r>
        <w:rPr>
          <w:i/>
        </w:rPr>
        <w:t>et al.</w:t>
      </w:r>
      <w:r>
        <w:rPr/>
        <w:t xml:space="preserve">, 2019; Hawn </w:t>
      </w:r>
      <w:r>
        <w:rPr>
          <w:i/>
        </w:rPr>
        <w:t>et al.</w:t>
      </w:r>
      <w:r>
        <w:rPr/>
        <w:t xml:space="preserve">, 2018). It contrasts with the price effects of MSCI downgrades (Berg, Heeb </w:t>
      </w:r>
      <w:r>
        <w:rPr>
          <w:i/>
        </w:rPr>
        <w:t>et al.</w:t>
      </w:r>
      <w:r>
        <w:rPr/>
        <w:t xml:space="preserve">, 2022; Shanaev and Ghimire, 2022). Two features of our setting may explain the difference. First, the evidence that ESG funds trade on ratings concerns MSCI, the one rating that explains their holdings (Berg, Heeb </w:t>
      </w:r>
      <w:r>
        <w:rPr>
          <w:i/>
        </w:rPr>
        <w:t>et al.</w:t>
      </w:r>
      <w:r>
        <w:rPr/>
        <w:t xml:space="preserve">,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w:t>
      </w:r>
      <w:r>
        <w:rPr>
          <w:i/>
        </w:rPr>
        <w:t>et al.</w:t>
      </w:r>
      <w:r>
        <w:rPr/>
        <w:t xml:space="preserve">, 2022; Serafeim and Yoon, 2023) further weakens the information in any single score. U.S. studies find that coverage changes firm conduct (Bikmetova and Pirinsky, 2026; Tsang </w:t>
      </w:r>
      <w:r>
        <w:rPr>
          <w:i/>
        </w:rPr>
        <w:t>et al.</w:t>
      </w:r>
      <w:r>
        <w:rPr/>
        <w:t xml:space="preserve">, 2024) and payout (Tsang </w:t>
      </w:r>
      <w:r>
        <w:rPr>
          <w:i/>
        </w:rPr>
        <w:t>et al.</w:t>
      </w:r>
      <w:r>
        <w:rPr/>
        <w:t>, 2025); we find no stable change in leverage or total assets and observe no measures of conduct.</w:t>
      </w:r>
    </w:p>
    <w:p>
      <w:pPr>
        <w:spacing w:line="360" w:lineRule="auto" w:after="120" w:before="0"/>
        <w:ind w:firstLine="432"/>
        <w:jc w:val="both"/>
      </w:pPr>
      <w:r>
        <w:rPr/>
        <w:t xml:space="preserve">The pre-coverage run-up also bears on the evidence on ESG demand. Pástor </w:t>
      </w:r>
      <w:r>
        <w:rPr>
          <w:i/>
        </w:rPr>
        <w:t>et al.</w:t>
      </w:r>
      <w:r>
        <w:rPr/>
        <w:t xml:space="preserve">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i/>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 xml:space="preserve">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w:t>
      </w:r>
      <w:r>
        <w:rPr>
          <w:i/>
        </w:rPr>
        <w:t>et al.</w:t>
      </w:r>
      <w:r>
        <w:rPr/>
        <w:t xml:space="preserve">, 2020; Sahin </w:t>
      </w:r>
      <w:r>
        <w:rPr>
          <w:i/>
        </w:rPr>
        <w:t>et al.</w:t>
      </w:r>
      <w:r>
        <w:rPr/>
        <w:t>, 2023).</w:t>
      </w:r>
    </w:p>
    <w:p>
      <w:pPr>
        <w:spacing w:line="360" w:lineRule="auto" w:after="120" w:before="0"/>
        <w:ind w:firstLine="432"/>
        <w:jc w:val="both"/>
      </w:pPr>
      <w:r>
        <w:rPr/>
        <w:t>For exchanges, the large Malaysian wave carried no run-up (Figure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 xml:space="preserve">For listed firms in the five markets, the estimates give no support, under assumption (2), to the expectation that a first LSEG score will raise their valuation through investor recognition or preferences (Merton, 1987; Pástor </w:t>
      </w:r>
      <w:r>
        <w:rPr>
          <w:i/>
        </w:rPr>
        <w:t>et al.</w:t>
      </w:r>
      <w:r>
        <w:rPr/>
        <w:t>,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 xml:space="preserve">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w:t>
      </w:r>
      <w:r>
        <w:rPr>
          <w:i/>
        </w:rPr>
        <w:t>et al.</w:t>
      </w:r>
      <w:r>
        <w:rPr/>
        <w:t>,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Bursa Malaysia (2015), Sustainability Reporting Guide, Bursa Malaysia Berhad, Kuala Lumpur.</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Drempetic, S., Klein, C. and Zwergel, B. (2020), "The influence of firm size on the ESG score: corporate sustainability ratings under review", </w:t>
      </w:r>
      <w:r>
        <w:rPr>
          <w:i/>
        </w:rPr>
        <w:t>Journal of Business Ethics</w:t>
      </w:r>
      <w:r>
        <w:rPr/>
        <w:t>, Vol. 167 No. 2, pp. 333-360, doi: 10.1007/s10551-019-04164-1.</w:t>
      </w:r>
    </w:p>
    <w:p>
      <w:pPr>
        <w:spacing w:line="360" w:lineRule="auto" w:after="80" w:before="0"/>
        <w:ind w:left="432" w:hanging="432"/>
      </w:pPr>
      <w:r>
        <w:rPr/>
        <w:t xml:space="preserve">Durand, R., Paugam, L. and Stolowy, H. (2019), "Do investors actually value sustainability indices? Replication, development, and new evidence on CSR visibility", </w:t>
      </w:r>
      <w:r>
        <w:rPr>
          <w:i/>
        </w:rPr>
        <w:t>Strategic Management Journal</w:t>
      </w:r>
      <w:r>
        <w:rPr/>
        <w:t>, Vol. 40 No. 9, pp. 1471-1490, doi: 10.1002/smj.3035.</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Hawn, O., Chatterji, A.K. and Mitchell, W. (2018), "Do investors actually value sustainability? New evidence from investor reactions to the Dow Jones Sustainability Index (DJSI)", </w:t>
      </w:r>
      <w:r>
        <w:rPr>
          <w:i/>
        </w:rPr>
        <w:t>Strategic Management Journal</w:t>
      </w:r>
      <w:r>
        <w:rPr/>
        <w:t>, Vol. 39 No. 4, pp. 949-976, doi: 10.1002/smj.2752.</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 Otoritas Jasa Keuangan, Jakarta.</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Pástor, Ľ., Stambaugh, R.F. and Taylor, L.A. (2022), "Dissecting green returns", </w:t>
      </w:r>
      <w:r>
        <w:rPr>
          <w:i/>
        </w:rPr>
        <w:t>Journal of Financial Economics</w:t>
      </w:r>
      <w:r>
        <w:rPr/>
        <w:t>, Vol. 146 No. 2, pp. 403-424, doi: 10.1016/j.jfineco.2022.07.007.</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Securities and Exchange Commission Philippines (2019), "Memorandum Circular No. 4, series of 2019: sustainability reporting guidelines for publicly-listed companies", available at: https://www.sec.gov.ph/wp-content/uploads/2020/09/2019MCNo4.pdf.</w:t>
      </w:r>
    </w:p>
    <w:p>
      <w:pPr>
        <w:spacing w:line="360" w:lineRule="auto" w:after="80" w:before="0"/>
        <w:ind w:left="432" w:hanging="432"/>
      </w:pPr>
      <w:r>
        <w:rPr/>
        <w:t xml:space="preserve">Serafeim, G. and Yoon, A. (2023), "Stock price reactions to ESG news: the role of ESG ratings and disagreement", </w:t>
      </w:r>
      <w:r>
        <w:rPr>
          <w:i/>
        </w:rPr>
        <w:t>Review of Accounting Studies</w:t>
      </w:r>
      <w:r>
        <w:rPr/>
        <w:t>, Vol. 28 No. 3, pp. 1500-1530, doi: 10.1007/s11142-022-09675-3.</w:t>
      </w:r>
    </w:p>
    <w:p>
      <w:pPr>
        <w:spacing w:line="360" w:lineRule="auto" w:after="80" w:before="0"/>
        <w:ind w:left="432" w:hanging="432"/>
      </w:pPr>
      <w:r>
        <w:rPr/>
        <w:t xml:space="preserve">Shanaev, S. and Ghimire, B. (2022), "When ESG meets AAA: the effect of ESG rating changes on stock returns", </w:t>
      </w:r>
      <w:r>
        <w:rPr>
          <w:i/>
        </w:rPr>
        <w:t>Finance Research Letters</w:t>
      </w:r>
      <w:r>
        <w:rPr/>
        <w:t>, Vol. 46 Part A, 102302, doi: 10.1016/j.frl.2021.102302.</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Tilleke &amp; Gibbins (2020), "Thailand's SEC unifies annual report for listed companies", September, available at: https://www.tilleke.com/insights/thailands-sec-unifies-annual-report-listed-companies/.</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No. 4,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