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together with relative growth before coverage.</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Figure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w:t>
      </w:r>
    </w:p>
    <w:p>
      <w:pPr>
        <w:keepNext/>
        <w:spacing w:line="360" w:lineRule="auto" w:after="120" w:before="120"/>
      </w:pPr>
      <w:r>
        <w:rPr>
          <w:b/>
          <w:i/>
          <w:sz w:val="24"/>
        </w:rPr>
        <w:t>3.2. Sample and coverage timing</w:t>
      </w:r>
    </w:p>
    <w:p>
      <w:pPr>
        <w:spacing w:line="360" w:lineRule="auto" w:after="120" w:before="0"/>
        <w:ind w:firstLine="432"/>
        <w:jc w:val="both"/>
      </w:pPr>
      <w:r>
        <w:rPr/>
        <w:t>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Empirical Design</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which we test.</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We aggregate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that resamples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w:t>
      </w:r>
    </w:p>
    <w:p>
      <w:pPr>
        <w:tabs>
          <w:tab w:pos="4680" w:val="center"/>
          <w:tab w:pos="9360" w:val="right"/>
        </w:tabs>
        <w:spacing w:line="360" w:lineRule="auto" w:after="120" w:before="120"/>
      </w:pPr>
      <w:r>
        <w:tab/>
      </w:r>
      <m:oMath>
        <m:r>
          <m:t>W</m:t>
        </m:r>
        <m:r>
          <m:rPr>
            <m:sty m:val="p"/>
          </m:rPr>
          <m:t>=</m:t>
        </m:r>
        <m:sSub>
          <m:e>
            <m:acc>
              <m:accPr>
                <m:chr m:val="̂"/>
              </m:accPr>
              <m:e>
                <m:r>
                  <m:t>θ</m:t>
                </m:r>
              </m:e>
            </m:acc>
          </m:e>
          <m:sub>
            <m:r>
              <m:t>p</m:t>
            </m:r>
            <m:r>
              <m:t>r</m:t>
            </m:r>
            <m:r>
              <m:t>e</m:t>
            </m:r>
          </m:sub>
        </m:sSub>
        <m:r>
          <m:rPr>
            <m:sty m:val="p"/>
          </m:rPr>
          <m:t>′</m:t>
        </m:r>
        <m:r>
          <m:t> </m:t>
        </m:r>
        <m:sSubSup>
          <m:e>
            <m:acc>
              <m:accPr>
                <m:chr m:val="̂"/>
              </m:accPr>
              <m:e>
                <m:r>
                  <m:t>V</m:t>
                </m:r>
              </m:e>
            </m:acc>
          </m:e>
          <m:sub>
            <m:r>
              <m:t>p</m:t>
            </m:r>
            <m:r>
              <m:t>r</m:t>
            </m:r>
            <m:r>
              <m:t>e</m:t>
            </m:r>
          </m:sub>
          <m:sup>
            <m:r>
              <m:rPr>
                <m:sty m:val="p"/>
              </m:rPr>
              <m:t>−</m:t>
            </m:r>
            <m:r>
              <m:t>1</m:t>
            </m:r>
          </m:sup>
        </m:sSubSup>
        <m:r>
          <m:t> </m:t>
        </m:r>
        <m:sSub>
          <m:e>
            <m:acc>
              <m:accPr>
                <m:chr m:val="̂"/>
              </m:accPr>
              <m:e>
                <m:r>
                  <m:t>θ</m:t>
                </m:r>
              </m:e>
            </m:acc>
          </m:e>
          <m:sub>
            <m:r>
              <m:t>p</m:t>
            </m:r>
            <m:r>
              <m:t>r</m:t>
            </m:r>
            <m: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a static two-way fixed effects regression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(Goodman-Bacon, 2021).</w:t>
      </w:r>
    </w:p>
    <w:p>
      <w:pPr>
        <w:spacing w:line="360" w:lineRule="auto" w:after="120" w:before="0"/>
        <w:ind w:firstLine="432"/>
        <w:jc w:val="both"/>
      </w:pPr>
      <w:r>
        <w:rPr/>
        <w:t xml:space="preserve">The pre-analysis plan fixed five robustness checks: adding not-yet-scored firms to the controls,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w:t>
      </w:r>
    </w:p>
    <w:p>
      <w:pPr>
        <w:spacing w:line="360" w:lineRule="auto" w:after="120" w:before="0"/>
        <w:ind w:firstLine="432"/>
        <w:jc w:val="both"/>
      </w:pPr>
      <w:r>
        <w:rPr/>
        <w:t>Table IA5 of the Internet Appendix reports the bounds of Eq. (10).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Figure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R10 Treatment dated one year later</w:t>
            </w:r>
          </w:p>
        </w:tc>
        <w:tc>
          <w:tcPr>
            <w:tcW w:type="dxa" w:w="1512"/>
          </w:tcPr>
          <w:p>
            <w:pPr>
              <w:spacing w:after="0" w:line="240" w:lineRule="auto"/>
              <w:jc w:val="center"/>
            </w:pPr>
            <w:r/>
            <w:r>
              <w:rPr>
                <w:sz w:val="18"/>
              </w:rPr>
              <w:t>−0.068*** (0.024)</w:t>
            </w:r>
          </w:p>
        </w:tc>
        <w:tc>
          <w:tcPr>
            <w:tcW w:type="dxa" w:w="1512"/>
          </w:tcPr>
          <w:p>
            <w:pPr>
              <w:spacing w:after="0" w:line="240" w:lineRule="auto"/>
              <w:jc w:val="center"/>
            </w:pPr>
            <w:r/>
            <w:r>
              <w:rPr>
                <w:sz w:val="18"/>
              </w:rPr>
              <w:t>−0.073** (0.030)</w:t>
            </w:r>
          </w:p>
        </w:tc>
        <w:tc>
          <w:tcPr>
            <w:tcW w:type="dxa" w:w="1512"/>
          </w:tcPr>
          <w:p>
            <w:pPr>
              <w:spacing w:after="0" w:line="240" w:lineRule="auto"/>
              <w:jc w:val="center"/>
            </w:pPr>
            <w:r/>
            <w:r>
              <w:rPr>
                <w:sz w:val="18"/>
              </w:rPr>
              <w:t>0.007 (0.005)</w:t>
            </w:r>
          </w:p>
        </w:tc>
        <w:tc>
          <w:tcPr>
            <w:tcW w:type="dxa" w:w="1512"/>
          </w:tcPr>
          <w:p>
            <w:pPr>
              <w:spacing w:after="0" w:line="240" w:lineRule="auto"/>
              <w:jc w:val="center"/>
            </w:pPr>
            <w:r/>
            <w:r>
              <w:rPr>
                <w:sz w:val="18"/>
              </w:rPr>
              <w:t>−0.006 (0.017)</w:t>
            </w:r>
          </w:p>
        </w:tc>
      </w:tr>
      <w:tr>
        <w:tc>
          <w:tcPr>
            <w:tcW w:type="dxa" w:w="3312"/>
          </w:tcPr>
          <w:p>
            <w:pPr>
              <w:spacing w:after="0" w:line="240" w:lineRule="auto"/>
            </w:pPr>
            <w:r/>
            <w:r>
              <w:rPr>
                <w:sz w:val="18"/>
              </w:rPr>
              <w:t>R11 Cohorts observed through event year 3</w:t>
            </w:r>
          </w:p>
        </w:tc>
        <w:tc>
          <w:tcPr>
            <w:tcW w:type="dxa" w:w="1512"/>
          </w:tcPr>
          <w:p>
            <w:pPr>
              <w:spacing w:after="0" w:line="240" w:lineRule="auto"/>
              <w:jc w:val="center"/>
            </w:pPr>
            <w:r/>
            <w:r>
              <w:rPr>
                <w:sz w:val="18"/>
              </w:rPr>
              <w:t>−0.008 (0.033)</w:t>
            </w:r>
          </w:p>
        </w:tc>
        <w:tc>
          <w:tcPr>
            <w:tcW w:type="dxa" w:w="1512"/>
          </w:tcPr>
          <w:p>
            <w:pPr>
              <w:spacing w:after="0" w:line="240" w:lineRule="auto"/>
              <w:jc w:val="center"/>
            </w:pPr>
            <w:r/>
            <w:r>
              <w:rPr>
                <w:sz w:val="18"/>
              </w:rPr>
              <w:t>−0.030 (0.037)</w:t>
            </w:r>
          </w:p>
        </w:tc>
        <w:tc>
          <w:tcPr>
            <w:tcW w:type="dxa" w:w="1512"/>
          </w:tcPr>
          <w:p>
            <w:pPr>
              <w:spacing w:after="0" w:line="240" w:lineRule="auto"/>
              <w:jc w:val="center"/>
            </w:pPr>
            <w:r/>
            <w:r>
              <w:rPr>
                <w:sz w:val="18"/>
              </w:rPr>
              <w:t>0.013* (0.007)</w:t>
            </w:r>
          </w:p>
        </w:tc>
        <w:tc>
          <w:tcPr>
            <w:tcW w:type="dxa" w:w="1512"/>
          </w:tcPr>
          <w:p>
            <w:pPr>
              <w:spacing w:after="0" w:line="240" w:lineRule="auto"/>
              <w:jc w:val="center"/>
            </w:pPr>
            <w:r/>
            <w:r>
              <w:rPr>
                <w:sz w:val="18"/>
              </w:rPr>
              <w:t>0.082*** (0.027)</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