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</w:pPr>
      <w:r>
        <w:rPr>
          <w:b/>
          <w:sz w:val="20"/>
        </w:rPr>
        <w:t>Figure 1.</w:t>
      </w:r>
      <w:r>
        <w:t xml:space="preserve">  </w:t>
      </w:r>
      <w:r>
        <w:rPr>
          <w:sz w:val="20"/>
        </w:rPr>
        <w:t>Event-time effects of the first LSEG ESG score on valuation, size, and leverage</w:t>
      </w:r>
    </w:p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Markers show the estimates of Eq. (5) relative to event year −1 (set to zero), with bootstrap 95% intervals; open markers and dotted bars are years before the first score. Controls are never-scored firms with the covariates of Eq. (3), and event year 4 is not part of Eq. (6).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