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0" w:before="0"/>
      </w:pPr>
      <w:r>
        <w:rPr/>
        <w:t>Nguyen Van Trung (corresponding author)</w:t>
      </w:r>
    </w:p>
    <w:p>
      <w:pPr>
        <w:spacing w:line="240" w:lineRule="auto" w:after="0" w:before="0"/>
      </w:pPr>
      <w:r>
        <w:rPr/>
        <w:t>Academy of Policy and Development, Hanoi, Vietnam</w:t>
      </w:r>
    </w:p>
    <w:p>
      <w:pPr>
        <w:spacing w:line="240" w:lineRule="auto" w:after="0" w:before="0"/>
      </w:pPr>
      <w:r>
        <w:rPr/>
        <w:t>kontrungcany@gmail.com</w:t>
      </w:r>
    </w:p>
    <w:p>
      <w:pPr>
        <w:spacing w:line="240" w:lineRule="auto" w:after="0" w:before="0"/>
      </w:pPr>
    </w:p>
    <w:p>
      <w:pPr>
        <w:spacing w:line="240" w:lineRule="auto" w:after="0" w:before="0"/>
      </w:pPr>
      <w:r>
        <w:rPr/>
        <w:t>The Editor</w:t>
      </w:r>
    </w:p>
    <w:p>
      <w:pPr>
        <w:spacing w:line="240" w:lineRule="auto" w:after="0" w:before="0"/>
      </w:pPr>
      <w:r>
        <w:rPr/>
        <w:t>Sustainable Finance Review</w:t>
      </w:r>
    </w:p>
    <w:p>
      <w:pPr>
        <w:spacing w:line="240" w:lineRule="auto" w:after="0" w:before="0"/>
      </w:pPr>
    </w:p>
    <w:p>
      <w:pPr>
        <w:spacing w:line="360" w:lineRule="auto" w:after="120" w:before="0"/>
        <w:jc w:val="both"/>
      </w:pPr>
      <w:r>
        <w:rPr/>
        <w:t>Dear Editor,</w:t>
      </w:r>
    </w:p>
    <w:p>
      <w:pPr>
        <w:spacing w:line="360" w:lineRule="auto" w:after="120" w:before="0"/>
        <w:jc w:val="both"/>
      </w:pPr>
      <w:r>
        <w:rPr/>
        <w:t>We submit the manuscript "Rated at the Peak? Firm Valuation around the First LSEG ESG Score in Five Southeast Asian Markets" for consideration as a research paper in Sustainable Finance Review.</w:t>
      </w:r>
    </w:p>
    <w:p>
      <w:pPr>
        <w:spacing w:line="360" w:lineRule="auto" w:after="120" w:before="0"/>
        <w:jc w:val="both"/>
      </w:pPr>
      <w:r>
        <w:rPr/>
        <w:t>The paper asks whether the first ESG score that a rating provider assigns to a listed firm changes how the equity market values that firm. Using the staggered first appearance of LSEG ESG scores for 675 non-financial firms in Indonesia, Malaysia, the Philippines, Singapore, and Thailand, and heterogeneity-robust difference-in-differences estimators, we find that scored firms gained value faster than comparable firms before their first scored year and, under parallel trends, did not gain in market-to-book ratio afterwards. A static two-way fixed effects regression on the same data would instead attribute a valuation gain of 6.6 percent to coverage. The paper fits the journal's interest in ESG ratings and sustainable finance in emerging markets. We registered the hypotheses, sample rules, estimator, and robustness checks in a pre-analysis plan before estimation and report all pre-specified results, including a placebo test that fails.</w:t>
      </w:r>
    </w:p>
    <w:p>
      <w:pPr>
        <w:spacing w:line="360" w:lineRule="auto" w:after="120" w:before="0"/>
        <w:jc w:val="both"/>
      </w:pPr>
      <w:r>
        <w:rPr/>
        <w:t>The manuscript is original, has not been published elsewhere, and is not under consideration by another journal. All authors have approved the submission and declare no competing interests. The manuscript file is anonymized for double-anonymous review; author details, acknowledgements, and the declaration of generative AI use are in the separate title page. Tables are supplied in a separate file, and the supplementary material contains six tables and one figure referred to in the text. The underlying LSEG and Compustat data are licensed and cannot be redistributed; the R code, the pre-analysis plan, and all aggregate output files are available on request and will be deposited in a public repository upon acceptance.</w:t>
      </w:r>
    </w:p>
    <w:p>
      <w:pPr>
        <w:spacing w:line="360" w:lineRule="auto" w:after="120" w:before="0"/>
        <w:jc w:val="both"/>
      </w:pPr>
      <w:r>
        <w:rPr/>
        <w:t>Sincerely,</w:t>
      </w:r>
    </w:p>
    <w:p>
      <w:pPr>
        <w:spacing w:line="360" w:lineRule="auto" w:after="120" w:before="0"/>
        <w:jc w:val="both"/>
      </w:pPr>
      <w:r>
        <w:rPr/>
        <w:t>Nguyen Van Trung, on behalf of Nguyen Thanh Binh, Ha Hong Hanh, and Nguyen Bach Diep</w:t>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