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b/>
          <w:sz w:val="28"/>
        </w:rPr>
        <w:t>Who Gets an ESG Score? Coverage Selection and Firm Value in Five Southeast Asian Markets</w:t>
      </w:r>
    </w:p>
    <w:p>
      <w:pPr>
        <w:keepNext/>
        <w:spacing w:line="360" w:lineRule="auto" w:after="120" w:before="240"/>
      </w:pPr>
      <w:r>
        <w:rPr>
          <w:b/>
        </w:rPr>
        <w:t>Abstract</w:t>
      </w:r>
    </w:p>
    <w:p>
      <w:pPr>
        <w:spacing w:line="360" w:lineRule="auto" w:after="80" w:before="0"/>
        <w:jc w:val="both"/>
      </w:pPr>
      <w:r>
        <w:rPr>
          <w:b/>
        </w:rPr>
        <w:t>Purpose</w:t>
      </w:r>
      <w:r>
        <w:t xml:space="preserve"> – </w:t>
      </w:r>
      <w:r>
        <w:rPr/>
        <w:t>Environmental, social, and governance (ESG) scores decide which firms ESG-screened investors can hold, yet most listed emerging-market firms have none. This study asks which firms enter the scored universe and whether entry changes their market valuation.</w:t>
      </w:r>
    </w:p>
    <w:p>
      <w:pPr>
        <w:spacing w:line="360" w:lineRule="auto" w:after="80" w:before="0"/>
        <w:jc w:val="both"/>
      </w:pPr>
      <w:r>
        <w:rPr>
          <w:b/>
        </w:rPr>
        <w:t>Design/methodology/approach</w:t>
      </w:r>
      <w:r>
        <w:t xml:space="preserve"> – </w:t>
      </w:r>
      <w:r>
        <w:rPr/>
        <w:t>The study compares 675 non-financial firms in Indonesia, Malaysia, the Philippines, Singapore, and Thailand that received a first London Stock Exchange Group (LSEG) ESG score in 2015 to 2024 with 2,613 never-scored firms, before and after the first score, following a pre-analysis plan.</w:t>
      </w:r>
    </w:p>
    <w:p>
      <w:pPr>
        <w:spacing w:line="360" w:lineRule="auto" w:after="80" w:before="0"/>
        <w:jc w:val="both"/>
      </w:pPr>
      <w:r>
        <w:rPr>
          <w:b/>
        </w:rPr>
        <w:t>Findings</w:t>
      </w:r>
      <w:r>
        <w:t xml:space="preserve"> – </w:t>
      </w:r>
      <w:r>
        <w:rPr/>
        <w:t>From five years before the first score to the year before it, scored firms' market-to-book (MTB) ratio grew 10.0 percent more than that of never-scored firms (95% interval 1.9 to 18.2 percent); a large Malaysian wave shows no such run-up. Under parallel trends, MTB did not rise after the first score (estimate 0.002; interval −0.046 to 0.048), and we detect no difference between high- and low-score firms (p = 0.307). Dated one year later, MTB fell −6.6 percent, a decline that small departures from parallel trends erase.</w:t>
      </w:r>
    </w:p>
    <w:p>
      <w:pPr>
        <w:spacing w:line="360" w:lineRule="auto" w:after="80" w:before="0"/>
        <w:jc w:val="both"/>
      </w:pPr>
      <w:r>
        <w:rPr>
          <w:b/>
        </w:rPr>
        <w:t>Research limitations/implications</w:t>
      </w:r>
      <w:r>
        <w:t xml:space="preserve"> – </w:t>
      </w:r>
      <w:r>
        <w:rPr/>
        <w:t>The provider chooses whom to cover, the data are annual, and departures from parallel trends like those before coverage admit effects of several percent.</w:t>
      </w:r>
    </w:p>
    <w:p>
      <w:pPr>
        <w:spacing w:line="360" w:lineRule="auto" w:after="80" w:before="0"/>
        <w:jc w:val="both"/>
      </w:pPr>
      <w:r>
        <w:rPr>
          <w:b/>
        </w:rPr>
        <w:t>Practical implications</w:t>
      </w:r>
      <w:r>
        <w:t xml:space="preserve"> – </w:t>
      </w:r>
      <w:r>
        <w:rPr/>
        <w:t>Rating providers, ESG screens, index builders, and ESG-premium studies that use this provider's scores draw on firms that have often just outgrown their peers.</w:t>
      </w:r>
    </w:p>
    <w:p>
      <w:pPr>
        <w:spacing w:line="360" w:lineRule="auto" w:after="80" w:before="0"/>
        <w:jc w:val="both"/>
      </w:pPr>
      <w:r>
        <w:rPr>
          <w:b/>
        </w:rPr>
        <w:t>Originality/value</w:t>
      </w:r>
      <w:r>
        <w:t xml:space="preserve"> – </w:t>
      </w:r>
      <w:r>
        <w:rPr/>
        <w:t>The study documents selection into ESG rating coverage, and its valuation consequences, in emerging markets.</w:t>
      </w:r>
    </w:p>
    <w:p>
      <w:pPr>
        <w:spacing w:line="360" w:lineRule="auto" w:after="80" w:before="0"/>
      </w:pPr>
      <w:r>
        <w:rPr>
          <w:b/>
        </w:rPr>
        <w:t>Keywords</w:t>
      </w:r>
      <w:r>
        <w:t xml:space="preserve"> Emerging markets, ESG investing, ESG ratings, Firm valuation, Rating coverage, Sustainable finance</w:t>
      </w:r>
    </w:p>
    <w:p>
      <w:pPr>
        <w:spacing w:line="360" w:lineRule="auto" w:after="80" w:before="0"/>
      </w:pPr>
      <w:r>
        <w:rPr>
          <w:b/>
        </w:rPr>
        <w:t>Paper type</w:t>
      </w:r>
      <w:r>
        <w:t xml:space="preserve"> Research paper</w:t>
      </w:r>
    </w:p>
    <w:p>
      <w:pPr>
        <w:spacing w:line="360" w:lineRule="auto" w:after="80" w:before="0"/>
      </w:pPr>
      <w:r>
        <w:rPr>
          <w:b/>
        </w:rPr>
        <w:t>JEL classification</w:t>
      </w:r>
      <w:r>
        <w:t xml:space="preserve"> G14, G15, G32, M14, Q56</w:t>
      </w:r>
    </w:p>
    <w:p>
      <w:r>
        <w:br w:type="page"/>
      </w:r>
    </w:p>
    <w:p>
      <w:pPr>
        <w:keepNext/>
        <w:spacing w:line="360" w:lineRule="auto" w:after="120" w:before="240"/>
      </w:pPr>
      <w:r>
        <w:rPr>
          <w:b/>
        </w:rPr>
        <w:t>1. Introduction</w:t>
      </w:r>
    </w:p>
    <w:p>
      <w:pPr>
        <w:spacing w:line="360" w:lineRule="auto" w:after="120" w:before="0"/>
        <w:ind w:firstLine="432"/>
        <w:jc w:val="both"/>
      </w:pPr>
      <w:r>
        <w:rPr/>
        <w:t xml:space="preserve">Environmental, social, and governance (ESG) scores decide which firms ESG-screened investors can hold. A fund restricted to scored stocks, an index built from scored constituents, or a mandate with a minimum score cannot buy a firm that no provider covers. In five Southeast Asian equity markets, most listed firms had no score from London Stock Exchange Group (LSEG) at any point between 2014 and 2024. Much of the academic literature on ESG ratings uses LSEG scores (Berg, Kölbel </w:t>
      </w:r>
      <w:r>
        <w:rPr>
          <w:i/>
        </w:rPr>
        <w:t>et al.</w:t>
      </w:r>
      <w:r>
        <w:rPr/>
        <w:t xml:space="preserve">, 2022; Dobrick </w:t>
      </w:r>
      <w:r>
        <w:rPr>
          <w:i/>
        </w:rPr>
        <w:t>et al.</w:t>
      </w:r>
      <w:r>
        <w:rPr/>
        <w:t>, 2023). Entry into the scored universe therefore raises two questions for sustainable finance: which firms get scored, and does entry change how the market values them?</w:t>
      </w:r>
    </w:p>
    <w:p>
      <w:pPr>
        <w:spacing w:line="360" w:lineRule="auto" w:after="120" w:before="0"/>
        <w:ind w:firstLine="432"/>
        <w:jc w:val="both"/>
      </w:pPr>
      <w:r>
        <w:rPr/>
        <w:t xml:space="preserve">Theory gives no single answer to the second question. Under investor recognition, a first score makes a firm visible to ESG-screening investors, and a broader investor base raises its price (Merton, 1987). Under ESG preferences, investors pay more for green assets and less for brown ones (Pástor </w:t>
      </w:r>
      <w:r>
        <w:rPr>
          <w:i/>
        </w:rPr>
        <w:t>et al.</w:t>
      </w:r>
      <w:r>
        <w:rPr/>
        <w:t xml:space="preserve">, 2021; Pedersen </w:t>
      </w:r>
      <w:r>
        <w:rPr>
          <w:i/>
        </w:rPr>
        <w:t>et al.</w:t>
      </w:r>
      <w:r>
        <w:rPr/>
        <w:t xml:space="preserve">, 2021). A first score should then raise the value of firms it reveals as green and lower the value of those it reveals as brown. Evidence on ESG certification events is mixed. Additions to the Dow Jones Sustainability Index have little price effect once comparable firms serve as benchmarks (Durand </w:t>
      </w:r>
      <w:r>
        <w:rPr>
          <w:i/>
        </w:rPr>
        <w:t>et al.</w:t>
      </w:r>
      <w:r>
        <w:rPr/>
        <w:t xml:space="preserve">, 2019; Hawn </w:t>
      </w:r>
      <w:r>
        <w:rPr>
          <w:i/>
        </w:rPr>
        <w:t>et al.</w:t>
      </w:r>
      <w:r>
        <w:rPr/>
        <w:t xml:space="preserve">, 2018). Downgrades of existing ratings, by contrast, are followed by negative abnormal returns, and upgrades by weaker positive ones (Berg, Heeb </w:t>
      </w:r>
      <w:r>
        <w:rPr>
          <w:i/>
        </w:rPr>
        <w:t>et al.</w:t>
      </w:r>
      <w:r>
        <w:rPr/>
        <w:t>, 2022; Shanaev and Ghimire, 2022). Fund investors respond to sustainability ratings when these are new and salient (Hartzmark and Sussman, 2019).</w:t>
      </w:r>
    </w:p>
    <w:p>
      <w:pPr>
        <w:spacing w:line="360" w:lineRule="auto" w:after="120" w:before="0"/>
        <w:ind w:firstLine="432"/>
        <w:jc w:val="both"/>
      </w:pPr>
      <w:r>
        <w:rPr/>
        <w:t xml:space="preserve">The first question matters because providers choose whom to score. They are likely to add a firm once it is large, liquid, or disclosing enough to be scored, and their scores rise with firm size (Dobrick </w:t>
      </w:r>
      <w:r>
        <w:rPr>
          <w:i/>
        </w:rPr>
        <w:t>et al.</w:t>
      </w:r>
      <w:r>
        <w:rPr/>
        <w:t xml:space="preserve">, 2023; Drempetic </w:t>
      </w:r>
      <w:r>
        <w:rPr>
          <w:i/>
        </w:rPr>
        <w:t>et al.</w:t>
      </w:r>
      <w:r>
        <w:rPr/>
        <w:t xml:space="preserve">, 2020). If coverage follows growth in market value, a comparison of scored and unscored firms, or a regression that pools all years around coverage, attributes past growth to the score. U.S. studies of rating coverage link coverage by more raters to fewer ESG violations (Tsang </w:t>
      </w:r>
      <w:r>
        <w:rPr>
          <w:i/>
        </w:rPr>
        <w:t>et al.</w:t>
      </w:r>
      <w:r>
        <w:rPr/>
        <w:t xml:space="preserve">, 2024), lower emissions and more ownership by high-ESG institutions (Bikmetova and Pirinsky, 2026), and dividend increases (Tsang </w:t>
      </w:r>
      <w:r>
        <w:rPr>
          <w:i/>
        </w:rPr>
        <w:t>et al.</w:t>
      </w:r>
      <w:r>
        <w:rPr/>
        <w:t>, 2025). None of these studies examines valuation in emerging markets, where most firms are unscored and coverage has expanded in waves.</w:t>
      </w:r>
    </w:p>
    <w:p>
      <w:pPr>
        <w:spacing w:line="360" w:lineRule="auto" w:after="120" w:before="0"/>
        <w:ind w:firstLine="432"/>
        <w:jc w:val="both"/>
      </w:pPr>
      <w:r>
        <w:rPr/>
        <w:t xml:space="preserve">We study Indonesia, Malaysia, the Philippines, Singapore, and Thailand. LSEG, whose scores were earlier distributed as Refinitiv ESG and ASSET4, extended coverage in market-specific waves. Of the 675 non-financial firms that entered coverage between 2015 and 2024, 577 did so in 2020 to 2023, and 289 were Malaysian firms first scored in 2021 or 2022. We compare these firms with 2,613 never-scored firms, before and after each firm's first scored year. The estimator of Callaway and Sant'Anna (2021) makes this comparison cohort by cohort and avoids the biases of two-way fixed effects regressions under staggered timing (Baker </w:t>
      </w:r>
      <w:r>
        <w:rPr>
          <w:i/>
        </w:rPr>
        <w:t>et al.</w:t>
      </w:r>
      <w:r>
        <w:rPr/>
        <w:t>, 2022; Goodman-Bacon, 2021). A pre-analysis plan, committed to version control before the estimation code, records the hypotheses, sample rules, estimator, and robustness checks. We label every later analysis exploratory.</w:t>
      </w:r>
    </w:p>
    <w:p>
      <w:pPr>
        <w:spacing w:line="360" w:lineRule="auto" w:after="120" w:before="0"/>
        <w:ind w:firstLine="432"/>
        <w:jc w:val="both"/>
      </w:pPr>
      <w:r>
        <w:rPr/>
        <w:t>The evidence has four parts. First, scored firms had outgrown never-scored firms of similar size, country, and industry before their first scored year (Figure 1). We call the year before the first score the base year. From five years before the first score to the base year, their market capitalization grew 14.1 percent more (95% interval 3.1 to 25.3 percent) and their market-to-book (MTB) ratio 10.0 percent more (1.9 to 18.2 percent). The joint test of parallel pre-coverage trends rejects for market capitalization but not, at the 5% level, for MTB (p = 0.074). The market capitalization run-up may partly reflect new shares. Second, the run-up differs across coverage waves (Figure 2). It is large in the 108 Thai and Singaporean firms first scored in 2019 and 2020 and absent in the 289 Malaysian firms first scored in 2021 and 2022, the largest wave in the data. Third, under parallel trends from the base year, the average effect on log MTB over the first four years is 0.002 (95% interval −0.046 to 0.048). The difference between firms with high and low initial scores, which tests the preference channel, is −0.041 (p = 0.307). With a minimum detectable difference of 0.113, we detect no difference but cannot exclude a moderate one. Fourth, a static two-way fixed effects regression on the same data attributes a 6.6 percent MTB increase to coverage.</w:t>
      </w:r>
    </w:p>
    <w:p>
      <w:pPr>
        <w:spacing w:line="360" w:lineRule="auto" w:after="120" w:before="120"/>
        <w:jc w:val="center"/>
      </w:pPr>
      <w:r>
        <w:rPr>
          <w:b/>
        </w:rPr>
        <w:t>[Insert Figure 1 here]</w:t>
      </w:r>
    </w:p>
    <w:p>
      <w:pPr>
        <w:spacing w:line="360" w:lineRule="auto" w:after="120" w:before="120"/>
        <w:jc w:val="center"/>
      </w:pPr>
      <w:r>
        <w:rPr>
          <w:b/>
        </w:rPr>
        <w:t>[Insert Figure 2 here]</w:t>
      </w:r>
    </w:p>
    <w:p>
      <w:pPr>
        <w:spacing w:line="360" w:lineRule="auto" w:after="120" w:before="0"/>
        <w:ind w:firstLine="432"/>
        <w:jc w:val="both"/>
      </w:pPr>
      <w:r>
        <w:rPr/>
        <w:t>We do not claim that coverage has no effect on valuation. With coverage dated one year later, to the first year investors could have seen a score, the MTB ratio changes by −6.6 percent relative to never-scored firms (95% interval −10.9 to −2.0 percent). We measure this decline from the end of the run-up, so it cannot separate a reversal of earlier growth from an effect of coverage. The decline loses significance if post-coverage departures from parallel trends may reach about a quarter of the largest pre-coverage year-to-year change (Rambachan and Roth, 2023). At a quarter, the interval for the headline estimate widens to −0.071 to 0.073.</w:t>
      </w:r>
    </w:p>
    <w:p>
      <w:pPr>
        <w:spacing w:line="360" w:lineRule="auto" w:after="120" w:before="0"/>
        <w:ind w:firstLine="432"/>
        <w:jc w:val="both"/>
      </w:pPr>
      <w:r>
        <w:rPr/>
        <w:t xml:space="preserve">The paper makes three contributions to sustainable finance. First, it adds valuation and an emerging-market setting to the rating-coverage literature (Bikmetova and Pirinsky, 2026; Tsang </w:t>
      </w:r>
      <w:r>
        <w:rPr>
          <w:i/>
        </w:rPr>
        <w:t>et al.</w:t>
      </w:r>
      <w:r>
        <w:rPr/>
        <w:t xml:space="preserve">, 2024, 2025). It also documents which firms one provider brought into its scored universe: outside its largest wave, firms that had just outgrown their peers. Second, it adds the initiation of coverage to the evidence on ratings and certification as price-relevant information. Unlike a downgrade of an MSCI rating (Berg, Heeb </w:t>
      </w:r>
      <w:r>
        <w:rPr>
          <w:i/>
        </w:rPr>
        <w:t>et al.</w:t>
      </w:r>
      <w:r>
        <w:rPr/>
        <w:t>, 2022), entry into LSEG coverage was not followed by a detectable revaluation for firms with high or low initial scores. Third, for empirical work on ESG premiums, it shows how selection into the scored universe can make scored firms look more valuable than the score itself made them.</w:t>
      </w:r>
    </w:p>
    <w:p>
      <w:pPr>
        <w:spacing w:line="360" w:lineRule="auto" w:after="120" w:before="0"/>
        <w:ind w:firstLine="432"/>
        <w:jc w:val="both"/>
      </w:pPr>
      <w:r>
        <w:rPr/>
        <w:t>Section 2 reviews the literature and states the hypotheses. Section 3 describes the setting and data, Section 4 the methods, and Section 5 the results. Section 6 discusses mechanisms and implications, Section 7 states the limitations, and Section 8 concludes.</w:t>
      </w:r>
    </w:p>
    <w:p>
      <w:pPr>
        <w:keepNext/>
        <w:spacing w:line="360" w:lineRule="auto" w:after="120" w:before="240"/>
      </w:pPr>
      <w:r>
        <w:rPr>
          <w:b/>
        </w:rPr>
        <w:t>2. Related Literature and Hypotheses</w:t>
      </w:r>
    </w:p>
    <w:p>
      <w:pPr>
        <w:keepNext/>
        <w:spacing w:line="360" w:lineRule="auto" w:after="120" w:before="120"/>
      </w:pPr>
      <w:r>
        <w:rPr>
          <w:i/>
        </w:rPr>
        <w:t>2.1 ESG ratings as information and certification</w:t>
      </w:r>
    </w:p>
    <w:p>
      <w:pPr>
        <w:spacing w:line="360" w:lineRule="auto" w:after="120" w:before="0"/>
        <w:ind w:firstLine="432"/>
        <w:jc w:val="both"/>
      </w:pPr>
      <w:r>
        <w:rPr/>
        <w:t xml:space="preserve">ESG ratings can move prices when they change what investors know or which investors may hold a stock. Evidence on rating changes points to both channels. U.S. funds with ESG mandates hold firms according to their MSCI rating. MSCI downgrades are followed by lower ownership by such funds and a one-year abnormal return of about −2.37 percent, with weaker effects for upgrades (Berg, Heeb </w:t>
      </w:r>
      <w:r>
        <w:rPr>
          <w:i/>
        </w:rPr>
        <w:t>et al.</w:t>
      </w:r>
      <w:r>
        <w:rPr/>
        <w:t>, 2022). Calendar-time portfolios of firms with rating changes show a similar asymmetry (Shanaev and Ghimire, 2022). Consensus ratings predict future ESG news, but disagreement among providers weakens both this predictive power and the price reaction to the news (Serafeim and Yoon, 2023). Hartzmark and Sussman (2019) show that publishing Morningstar sustainability ratings for mutual funds redirected fund flows. These ratings concern funds, so any effect on the stocks those funds hold is indirect.</w:t>
      </w:r>
    </w:p>
    <w:p>
      <w:pPr>
        <w:spacing w:line="360" w:lineRule="auto" w:after="120" w:before="0"/>
        <w:ind w:firstLine="432"/>
        <w:jc w:val="both"/>
      </w:pPr>
      <w:r>
        <w:rPr/>
        <w:t xml:space="preserve">Certification by inclusion in a sustainability index is the closest analog to a first score. Additions to the Dow Jones Sustainability Index have limited price effects relative to similar firms outside the index (Hawn </w:t>
      </w:r>
      <w:r>
        <w:rPr>
          <w:i/>
        </w:rPr>
        <w:t>et al.</w:t>
      </w:r>
      <w:r>
        <w:rPr/>
        <w:t xml:space="preserve">, 2018). A replication finds no price effect but more analyst following after addition and more long-term ownership after continued membership (Durand </w:t>
      </w:r>
      <w:r>
        <w:rPr>
          <w:i/>
        </w:rPr>
        <w:t>et al.</w:t>
      </w:r>
      <w:r>
        <w:rPr/>
        <w:t>, 2019). Sell-side coverage offers a second analog: losing analyst coverage lowers prices (Kelly and Ljungqvist, 2012), and the first report on a neglected stock raises its price when the report is favorable (Demiroglu and Ryngaert, 2010).</w:t>
      </w:r>
    </w:p>
    <w:p>
      <w:pPr>
        <w:keepNext/>
        <w:spacing w:line="360" w:lineRule="auto" w:after="120" w:before="120"/>
      </w:pPr>
      <w:r>
        <w:rPr>
          <w:i/>
        </w:rPr>
        <w:t>2.2 ESG demand, recognition, and price pressure</w:t>
      </w:r>
    </w:p>
    <w:p>
      <w:pPr>
        <w:spacing w:line="360" w:lineRule="auto" w:after="120" w:before="0"/>
        <w:ind w:firstLine="432"/>
        <w:jc w:val="both"/>
      </w:pPr>
      <w:r>
        <w:rPr/>
        <w:t xml:space="preserve">Two channels predict a valuation response to a first score, and they differ in sign. Under investor recognition, a stock known to few investors trades at a discount because a small group bears its idiosyncratic risk (Merton, 1987). A first score makes the firm visible to ESG-screening investors, so recognition predicts a gain for every newly scored firm. The awareness evidence on index additions supports a lasting gain: S&amp;P 500 additions raise prices permanently, while deletions do not lower them permanently (Chen </w:t>
      </w:r>
      <w:r>
        <w:rPr>
          <w:i/>
        </w:rPr>
        <w:t>et al.</w:t>
      </w:r>
      <w:r>
        <w:rPr/>
        <w:t xml:space="preserve">, 2004). Under ESG preferences, investors accept lower expected returns on assets they classify as sustainable (Pástor </w:t>
      </w:r>
      <w:r>
        <w:rPr>
          <w:i/>
        </w:rPr>
        <w:t>et al.</w:t>
      </w:r>
      <w:r>
        <w:rPr/>
        <w:t xml:space="preserve">, 2021; Pedersen </w:t>
      </w:r>
      <w:r>
        <w:rPr>
          <w:i/>
        </w:rPr>
        <w:t>et al.</w:t>
      </w:r>
      <w:r>
        <w:rPr/>
        <w:t>, 2021). A first score reveals where a firm stands, so the preference channel predicts gains for firms revealed as green and losses for those revealed as brown. A pooled average can therefore be close to zero when the two signs offset.</w:t>
      </w:r>
    </w:p>
    <w:p>
      <w:pPr>
        <w:spacing w:line="360" w:lineRule="auto" w:after="120" w:before="0"/>
        <w:ind w:firstLine="432"/>
        <w:jc w:val="both"/>
      </w:pPr>
      <w:r>
        <w:rPr/>
        <w:t xml:space="preserve">Demand shocks also shape realized prices before any rating event. Pástor </w:t>
      </w:r>
      <w:r>
        <w:rPr>
          <w:i/>
        </w:rPr>
        <w:t>et al.</w:t>
      </w:r>
      <w:r>
        <w:rPr/>
        <w:t xml:space="preserve"> (2022) show that the high realized returns of green assets reflect unexpected increases in ESG concern rather than high expected returns. Likewise, inclusion in the S&amp;P 500 raises prices (Harris and Gurel, 1986; Shleifer, 1986), and part of the increase reverses within weeks (Harris and Gurel, 1986). A run-up in value before coverage, followed by a flat path, is consistent with a demand shift that ended, with selection on growth, or with both.</w:t>
      </w:r>
    </w:p>
    <w:p>
      <w:pPr>
        <w:keepNext/>
        <w:spacing w:line="360" w:lineRule="auto" w:after="120" w:before="120"/>
      </w:pPr>
      <w:r>
        <w:rPr>
          <w:i/>
        </w:rPr>
        <w:t>2.3 Which firms providers score</w:t>
      </w:r>
    </w:p>
    <w:p>
      <w:pPr>
        <w:spacing w:line="360" w:lineRule="auto" w:after="120" w:before="0"/>
        <w:ind w:firstLine="432"/>
        <w:jc w:val="both"/>
      </w:pPr>
      <w:r>
        <w:rPr/>
        <w:t xml:space="preserve">Rating coverage is not assigned at random. We expect providers to cover firms in the indices their clients track and firms that disclose enough to be scored, although our data do not include the provider's coverage rules. Mandatory sustainability reporting increases the information available about listed firms (Krueger </w:t>
      </w:r>
      <w:r>
        <w:rPr>
          <w:i/>
        </w:rPr>
        <w:t>et al.</w:t>
      </w:r>
      <w:r>
        <w:rPr/>
        <w:t xml:space="preserve">, 2024). The provider we study gives higher scores to larger firms, a bias first documented for its ASSET4 scores (Drempetic </w:t>
      </w:r>
      <w:r>
        <w:rPr>
          <w:i/>
        </w:rPr>
        <w:t>et al.</w:t>
      </w:r>
      <w:r>
        <w:rPr/>
        <w:t xml:space="preserve">, 2020) and still present in its Refinitiv scores (Dobrick </w:t>
      </w:r>
      <w:r>
        <w:rPr>
          <w:i/>
        </w:rPr>
        <w:t>et al.</w:t>
      </w:r>
      <w:r>
        <w:rPr/>
        <w:t xml:space="preserve">, 2023). Providers disagree about the same firm (Berg, Kölbel </w:t>
      </w:r>
      <w:r>
        <w:rPr>
          <w:i/>
        </w:rPr>
        <w:t>et al.</w:t>
      </w:r>
      <w:r>
        <w:rPr/>
        <w:t xml:space="preserve">, 2022; Christensen </w:t>
      </w:r>
      <w:r>
        <w:rPr>
          <w:i/>
        </w:rPr>
        <w:t>et al.</w:t>
      </w:r>
      <w:r>
        <w:rPr/>
        <w:t xml:space="preserve">, 2022), and the disagreement is priced (Avramov </w:t>
      </w:r>
      <w:r>
        <w:rPr>
          <w:i/>
        </w:rPr>
        <w:t>et al.</w:t>
      </w:r>
      <w:r>
        <w:rPr/>
        <w:t xml:space="preserve">, 2022; Gibson Brandon </w:t>
      </w:r>
      <w:r>
        <w:rPr>
          <w:i/>
        </w:rPr>
        <w:t>et al.</w:t>
      </w:r>
      <w:r>
        <w:rPr/>
        <w:t xml:space="preserve">, 2021). The provider has also rewritten historical scores on a large scale (Berg </w:t>
      </w:r>
      <w:r>
        <w:rPr>
          <w:i/>
        </w:rPr>
        <w:t>et al.</w:t>
      </w:r>
      <w:r>
        <w:rPr/>
        <w:t>, 2020). If providers select firms that have grown, a comparison of scored and unscored firms mixes the effect of coverage with the growth that led to it.</w:t>
      </w:r>
    </w:p>
    <w:p>
      <w:pPr>
        <w:keepNext/>
        <w:spacing w:line="360" w:lineRule="auto" w:after="120" w:before="120"/>
      </w:pPr>
      <w:r>
        <w:rPr>
          <w:i/>
        </w:rPr>
        <w:t>2.4 Hypotheses</w:t>
      </w:r>
    </w:p>
    <w:p>
      <w:pPr>
        <w:spacing w:line="360" w:lineRule="auto" w:after="120" w:before="0"/>
        <w:ind w:firstLine="432"/>
        <w:jc w:val="both"/>
      </w:pPr>
      <w:r>
        <w:rPr/>
        <w:t>The pre-analysis plan states three hypotheses, each tested two-sided.</w:t>
      </w:r>
    </w:p>
    <w:p>
      <w:pPr>
        <w:spacing w:line="360" w:lineRule="auto" w:after="120" w:before="0"/>
        <w:ind w:firstLine="432"/>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transitory.</w:t>
      </w:r>
    </w:p>
    <w:p>
      <w:pPr>
        <w:spacing w:line="360" w:lineRule="auto" w:after="120" w:before="0"/>
        <w:ind w:firstLine="432"/>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432"/>
        <w:jc w:val="both"/>
      </w:pPr>
      <w:r>
        <w:rPr/>
        <w:t>H</w:t>
      </w:r>
      <w:r>
        <w:rPr>
          <w:vertAlign w:val="subscript"/>
        </w:rPr>
        <w:t>3</w:t>
      </w:r>
      <w:r>
        <w:rPr/>
        <w:t xml:space="preserve"> (heterogeneity): The effect on log MTB differs between firms with initial scores above and below their cohort median. This test separates the preference channel from recognition, because only the preference channel depends on what the score says.</w:t>
      </w:r>
    </w:p>
    <w:p>
      <w:pPr>
        <w:keepNext/>
        <w:spacing w:line="360" w:lineRule="auto" w:after="120" w:before="240"/>
      </w:pPr>
      <w:r>
        <w:rPr>
          <w:b/>
        </w:rPr>
        <w:t>3. Institutional Setting and Data</w:t>
      </w:r>
    </w:p>
    <w:p>
      <w:pPr>
        <w:keepNext/>
        <w:spacing w:line="360" w:lineRule="auto" w:after="120" w:before="120"/>
      </w:pPr>
      <w:r>
        <w:rPr>
          <w:i/>
        </w:rPr>
        <w:t>3.1 ESG disclosure and rating coverage in the five markets</w:t>
      </w:r>
    </w:p>
    <w:p>
      <w:pPr>
        <w:spacing w:line="360" w:lineRule="auto" w:after="120" w:before="0"/>
        <w:ind w:firstLine="432"/>
        <w:jc w:val="both"/>
      </w:pPr>
      <w:r>
        <w:rPr/>
        <w:t>The five markets introduced sustainability reporting rules for listed firms at different times during the sample period. Singapore requires every listed issuer to publish a comply-or-explain sustainability report for financial years ending on or after 31 December 2017 (Singapore Exchange, 2016). Bursa Malaysia required a sustainability statement in annual reports for financial years ending on or after 31 December 2016, phased in from the largest companies over the following two years (Bursa Malaysia, 2015). Philippine listed companies have attached a comply-or-explain sustainability report to their annual reports since the 2019 reports, filed in 2020 (Securities and Exchange Commission Philippines, 2019). Indonesian listed companies must publish sustainability reports under a 2017 regulation that applied to them from 2020 (Otoritas Jasa Keuangan, 2017). Thai listed companies have had to report sustainability information in the unified annual filing, the 56-1 One Report, since the fiscal year ending in 2021 (Tilleke and Gibbins, 2020). We could not confirm the dates of earlier Thai guidance.</w:t>
      </w:r>
    </w:p>
    <w:p>
      <w:pPr>
        <w:spacing w:line="360" w:lineRule="auto" w:after="120" w:before="0"/>
        <w:ind w:firstLine="432"/>
        <w:jc w:val="both"/>
      </w:pPr>
      <w:r>
        <w:rPr/>
        <w:t>Several providers score firms in these markets. In Malaysia, FTSE Russell, another part of LSEG, scored only the constituents of the FTSE Bursa Malaysia EMAS index, about 30 percent of listed companies. In November 2022, Bursa Malaysia and LSEG agreed to extend these scores to all Main and ACE Market companies (Bernama, 2022). The LSEG ESG score we study, formerly Refinitiv ESG, is a separate product built from company-reported data. Some newly covered firms may thus already have had FTSE Russell or other scores that our data do not record. We therefore describe our event as the initiation of LSEG ESG coverage, not as a firm's first ESG rating of any kind. Throughout, a score is the LSEG ESG score, a data-vendor assessment built from company disclosures. A rating is the broader class of assessments, including MSCI-type ratings produced by analysts. Coverage means that the provider, LSEG, publishes a score for the firm.</w:t>
      </w:r>
    </w:p>
    <w:p>
      <w:pPr>
        <w:spacing w:line="360" w:lineRule="auto" w:after="120" w:before="0"/>
        <w:ind w:firstLine="432"/>
        <w:jc w:val="both"/>
      </w:pPr>
      <w:r>
        <w:rPr/>
        <w:t>Table S2 and Figure S1 of the supplementary material show that coverage arrived in waves: 108 first scores in Thailand and Singapore in 2019 and 2020, and 289 in Malaysia in 2021 and 2022. Of the 675 scored firms, 404, or 59.9 percent, are Malaysian; Malaysian and Thai firms together make up 84.3 percent. Because first scored years can precede publication (Section 3.2), we cannot tell whether the Malaysian wave was linked to the November 2022 agreement, which concerned FTSE Russell scores. The waves do not follow a single reporting rule: the Thai wave preceded the One Report requirement, and the Malaysian wave came several years after Bursa Malaysia had phased in its rule. Singapore, Indonesia, and the Philippines have too few first scores per year (Table S2) to relate them to their rules. The data do not record why the provider expanded coverage when it did. The pooled estimates are weighted toward Malaysia and Thailand, so we also report estimates by market and by wave.</w:t>
      </w:r>
    </w:p>
    <w:p>
      <w:pPr>
        <w:keepNext/>
        <w:spacing w:line="360" w:lineRule="auto" w:after="120" w:before="120"/>
      </w:pPr>
      <w:r>
        <w:rPr>
          <w:i/>
        </w:rPr>
        <w:t>3.2 Sample and coverage timing</w:t>
      </w:r>
    </w:p>
    <w:p>
      <w:pPr>
        <w:spacing w:line="360" w:lineRule="auto" w:after="120" w:before="0"/>
        <w:ind w:firstLine="432"/>
        <w:jc w:val="both"/>
      </w:pPr>
      <w:r>
        <w:rPr/>
        <w:t>The data cover all 3,709 firms listed in the five markets from 2014 to 2024, or 40,799 firm-years. They combine the annual LSEG ESG score (LSEG, 2025) with accounting and market data from Compustat Global (S&amp;P Global Market Intelligence, 2025). We use the ESG score, not the controversy-adjusted combined score. The files do not record the download date, so the vintage of recent, revisable scores is unknown.</w:t>
      </w:r>
    </w:p>
    <w:p>
      <w:pPr>
        <w:spacing w:line="360" w:lineRule="auto" w:after="120" w:before="0"/>
        <w:ind w:firstLine="432"/>
        <w:jc w:val="both"/>
      </w:pPr>
      <w:r>
        <w:rPr/>
        <w:t>We call firms without an LSEG score unscored and firms that never receive one in our sample never-scored; these firms form the comparison group. Dropping financial firms leaves 3,423 firms. A firm's first scored year, g, is its first fiscal year with an LSEG ESG score, and its base year is g − 1. Only 17 of the 675 scored firms have a later year without a score, so we treat coverage as permanent, the staggered-adoption setting of Callaway and Sant'Anna (2021). Excluding the 135 firms scored in 2014, which have no pre-coverage year, leaves 3,288 firms and 36,168 firm-years. Of these, 675 firms were first scored between 2015 and 2024, and 2,613 are never-scored. A firm-year enters an estimate only if its outcome is observed in both the base year and the comparison year. Table S4 of the supplementary material reports firm-years by outcome, and Table S6 reports scored firms by event year; counts differ slightly across tables because of this requirement. We set MTB ratios at or below zero, which reflect negative book equity, to missing; 28.0 percent of never-scored firm-years and 12.7 percent of scored firm-years lack a log MTB ratio. Never-scored firms are smaller on average; a check in Section 4.5 restricts scored firms to the size range of the controls.</w:t>
      </w:r>
    </w:p>
    <w:p>
      <w:pPr>
        <w:spacing w:line="360" w:lineRule="auto" w:after="120" w:before="0"/>
        <w:ind w:firstLine="432"/>
        <w:jc w:val="both"/>
      </w:pPr>
      <w:r>
        <w:rPr/>
        <w:t xml:space="preserve">The first scored year may precede the year in which investors first see a score. First, the score for fiscal year g draws on reports published after the year ends, so it reaches investors in year g + 1 at the earliest. Second, the provider has rewritten historical scores on a large scale (Berg </w:t>
      </w:r>
      <w:r>
        <w:rPr>
          <w:i/>
        </w:rPr>
        <w:t>et al.</w:t>
      </w:r>
      <w:r>
        <w:rPr/>
        <w:t xml:space="preserve">, 2020), and scores for the five most recent fiscal years can change after publication (Sahin </w:t>
      </w:r>
      <w:r>
        <w:rPr>
          <w:i/>
        </w:rPr>
        <w:t>et al.</w:t>
      </w:r>
      <w:r>
        <w:rPr/>
        <w:t>, 2023). If the provider filled in historical years when a firm entered coverage, the gap exceeds one year. Both features move the true publication date later, never earlier, so they cannot create the pre-coverage growth we report but can place pre-publication years in our post-coverage window. Section 5.4 therefore also dates coverage one and two years later.</w:t>
      </w:r>
    </w:p>
    <w:p>
      <w:pPr>
        <w:keepNext/>
        <w:spacing w:line="360" w:lineRule="auto" w:after="120" w:before="120"/>
      </w:pPr>
      <w:r>
        <w:rPr>
          <w:i/>
        </w:rPr>
        <w:t>3.3 Outcomes</w:t>
      </w:r>
    </w:p>
    <w:p>
      <w:pPr>
        <w:spacing w:line="360" w:lineRule="auto" w:after="120" w:before="0"/>
        <w:ind w:firstLine="432"/>
        <w:jc w:val="both"/>
      </w:pPr>
      <w:r>
        <w:rPr/>
        <w:t>The primary outcome is the natural logarithm of the MTB ratio, the market value of equity divided by its book value. The secondary outcomes are log market capitalization, log total assets, and book leverage, total debt divided by total assets. Market capitalization moves with prices and with the number of shares, which we cannot separate because the data contain neither stock returns nor shares outstanding. We therefore use MTB for valuation and report market capitalization and total assets as measures of firm scale. Amounts are in U.S. dollars as recorded in the data set. We winsorize MTB, market capitalization, leverage, and total assets at the 1st and 99th percentiles of the pooled sample before taking logarithms.</w:t>
      </w:r>
    </w:p>
    <w:p>
      <w:pPr>
        <w:keepNext/>
        <w:spacing w:line="360" w:lineRule="auto" w:after="120" w:before="240"/>
      </w:pPr>
      <w:r>
        <w:rPr>
          <w:b/>
        </w:rPr>
        <w:t>4. Methods</w:t>
      </w:r>
    </w:p>
    <w:p>
      <w:pPr>
        <w:keepNext/>
        <w:spacing w:line="360" w:lineRule="auto" w:after="120" w:before="120"/>
      </w:pPr>
      <w:r>
        <w:rPr>
          <w:i/>
        </w:rPr>
        <w:t>4.1 Target parameter and identification</w:t>
      </w:r>
    </w:p>
    <w:p>
      <w:pPr>
        <w:spacing w:line="360" w:lineRule="auto" w:after="120" w:before="0"/>
        <w:ind w:firstLine="432"/>
        <w:jc w:val="both"/>
      </w:pPr>
      <w:r>
        <w:rPr/>
        <w:t>In the notation of Callaway and Sant'Anna (2021), let G</w:t>
      </w:r>
      <w:r>
        <w:rPr>
          <w:vertAlign w:val="subscript"/>
        </w:rPr>
        <w:t>i</w:t>
      </w:r>
      <w:r>
        <w:rPr/>
        <w:t xml:space="preserve"> be the first year in which firm i has an LSEG ESG score, with G</w:t>
      </w:r>
      <w:r>
        <w:rPr>
          <w:vertAlign w:val="subscript"/>
        </w:rPr>
        <w:t>i</w:t>
      </w:r>
      <w:r>
        <w:rPr/>
        <w:t xml:space="preserve"> = ∞ if it is never scored.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432"/>
        <w:jc w:val="both"/>
      </w:pPr>
      <w:r>
        <w:rPr/>
        <w:t>the average effect in year t for firms first scored in year g. 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432"/>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 We examine this implication with the pre-coverage estimates but do not rely on the test alone.</w:t>
      </w:r>
    </w:p>
    <w:p>
      <w:pPr>
        <w:spacing w:line="360" w:lineRule="auto" w:after="120" w:before="120"/>
        <w:jc w:val="center"/>
      </w:pPr>
      <w:r>
        <w:rPr>
          <w:b/>
        </w:rPr>
        <w:t>[Insert Table 1 here]</w:t>
      </w:r>
    </w:p>
    <w:p>
      <w:pPr>
        <w:keepNext/>
        <w:spacing w:line="360" w:lineRule="auto" w:after="120" w:before="120"/>
      </w:pPr>
      <w:r>
        <w:rPr>
          <w:i/>
        </w:rPr>
        <w:t>4.2 Estimation</w:t>
      </w:r>
    </w:p>
    <w:p>
      <w:pPr>
        <w:spacing w:line="360" w:lineRule="auto" w:after="120" w:before="0"/>
        <w:ind w:firstLine="432"/>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and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432"/>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overlap in total assets is poor: 24.6 percent of scored firms have larger base-year total assets than the 95th percentile of never-scored firms.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432"/>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their number of scored firms (Callaway and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432"/>
        <w:jc w:val="both"/>
      </w:pPr>
      <w:r>
        <w:rPr/>
        <w:t>where h indexes cohorts. The headline estimate averages, with the same weights, all cells from the first scored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432"/>
        <w:jc w:val="both"/>
      </w:pPr>
      <w:r>
        <w:rPr/>
        <w:t>We do not observe cohorts first scored after 2021 for all four post-coverage years, so cohort composition changes across event years. We therefore also report estimates for the cohorts observed through event year 3.</w:t>
      </w:r>
    </w:p>
    <w:p>
      <w:pPr>
        <w:spacing w:line="360" w:lineRule="auto" w:after="120" w:before="0"/>
        <w:ind w:firstLine="432"/>
        <w:jc w:val="both"/>
      </w:pPr>
      <w:r>
        <w:rPr/>
        <w:t xml:space="preserve">The design involves three choices. First, the baseline controls are never-scored firms; later-scored firms, which may also be growing toward the provider's universe, join them only in check R1 (Section 4.5). Second, all comparisons, including pre-coverage ones, are relative to the base year. A negative estimate θ̂(e) for e ≤ −2 thus means that scored firms grew faster than never-scored firms with the same covariates from year g + e to the base year. Third, we measure the covariates in the base year, at the end of any run-up. Because the provider's scores rise with firm size (Dobrick </w:t>
      </w:r>
      <w:r>
        <w:rPr>
          <w:i/>
        </w:rPr>
        <w:t>et al.</w:t>
      </w:r>
      <w:r>
        <w:rPr/>
        <w:t>, 2023), conditioning on base-year total assets matches scored firms to never-scored firms of similar size and can absorb part of the run-up. We therefore also report estimates without covariates, with total assets measured two years before the base year, and with indicators for quintiles of total assets instead of the quadratic.</w:t>
      </w:r>
    </w:p>
    <w:p>
      <w:pPr>
        <w:keepNext/>
        <w:spacing w:line="360" w:lineRule="auto" w:after="120" w:before="120"/>
      </w:pPr>
      <w:r>
        <w:rPr>
          <w:i/>
        </w:rPr>
        <w:t>4.3 Inference</w:t>
      </w:r>
    </w:p>
    <w:p>
      <w:pPr>
        <w:spacing w:line="360" w:lineRule="auto" w:after="120" w:before="0"/>
        <w:ind w:firstLine="432"/>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432"/>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of the three secondary outcomes. We do not adjust the confidence intervals, so an interval that excludes zero can accompany an adjusted p-value above 5%, as for log total assets in Table 2. The joint test of parallel pre-coverage trends is</w:t>
      </w:r>
    </w:p>
    <w:p>
      <w:pPr>
        <w:spacing w:line="360" w:lineRule="auto" w:after="120" w:before="120"/>
        <w:jc w:val="center"/>
      </w:pPr>
      <w:r>
        <w:rPr>
          <w:b/>
        </w:rPr>
        <w:t>[Insert Table 2 here]</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432"/>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as a diagnostic and do not condition the analysis on it.</w:t>
      </w:r>
    </w:p>
    <w:p>
      <w:pPr>
        <w:spacing w:line="360" w:lineRule="auto" w:after="120" w:before="0"/>
        <w:ind w:firstLine="432"/>
        <w:jc w:val="both"/>
      </w:pPr>
      <w:r>
        <w:rPr/>
        <w:t>Coverage arrived in market-level waves, so a shock common to a market or an industry can affect many scored firms at once. The country indicators in Eq. (3) absorb market-wide changes within each cell, but five markets are too few clusters for a market-level bootstrap. As an exploratory check, we also resample the 50 market-by-industry clusters instead of firms.</w:t>
      </w:r>
    </w:p>
    <w:p>
      <w:pPr>
        <w:keepNext/>
        <w:spacing w:line="360" w:lineRule="auto" w:after="120" w:before="120"/>
      </w:pPr>
      <w:r>
        <w:rPr>
          <w:i/>
        </w:rPr>
        <w:t>4.4 Sensitivity to departures from parallel trends</w:t>
      </w:r>
    </w:p>
    <w:p>
      <w:pPr>
        <w:spacing w:line="360" w:lineRule="auto" w:after="120" w:before="0"/>
        <w:ind w:firstLine="432"/>
        <w:jc w:val="both"/>
      </w:pPr>
      <w:r>
        <w:rPr/>
        <w:t>Because the pre-coverage estimates cast doubt on assumption (2), we add two exploratory checks not in the pre-analysis plan.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432"/>
        <w:jc w:val="both"/>
      </w:pPr>
      <w:r>
        <w:rPr/>
        <w:t>where b̂ is the fitted slope and θ̃(e) is the trend-adjusted estimate, which we average over e = 0 to 3 with the weights of Eq. (6). The second bounds the bias, in the spirit of the relative-magnitudes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432"/>
        <w:jc w:val="both"/>
      </w:pPr>
      <w:r>
        <w:rPr/>
        <w:t>where s indexes pre-coverage event years. The bias for event year e is then at most M̄Δ(e + 1), and we widen the headline confidence interval by the weighted average of this bound. Setting M̄ = 0.25 allows the post-coverage gap between scored and never-scored firms to drift each year by a quarter of the largest yearly change seen before coverage. This construction is conservative and simpler than the confidence sets of Rambachan and Roth (2023), which we do not compute. We also add to X</w:t>
      </w:r>
      <w:r>
        <w:rPr>
          <w:vertAlign w:val="subscript"/>
        </w:rPr>
        <w:t>i</w:t>
      </w:r>
      <w:r>
        <w:rPr/>
        <w:t xml:space="preserve"> the growth of log market capitalization from year g − 3 to the base year; this specification compares scored firms with never-scored firms of similar pre-coverage growth.</w:t>
      </w:r>
    </w:p>
    <w:p>
      <w:pPr>
        <w:keepNext/>
        <w:spacing w:line="360" w:lineRule="auto" w:after="120" w:before="120"/>
      </w:pPr>
      <w:r>
        <w:rPr>
          <w:i/>
        </w:rPr>
        <w:t>4.5 Benchmark regression and robustness checks</w:t>
      </w:r>
    </w:p>
    <w:p>
      <w:pPr>
        <w:spacing w:line="360" w:lineRule="auto" w:after="120" w:before="0"/>
        <w:ind w:firstLine="432"/>
        <w:jc w:val="both"/>
      </w:pPr>
      <w:r>
        <w:rPr/>
        <w:t xml:space="preserve">As a benchmark, we use scored and never-scored firms to estimate the static two-way fixed effects (TWFE) regression that Goodman-Bacon (2021) and Baker </w:t>
      </w:r>
      <w:r>
        <w:rPr>
          <w:i/>
        </w:rPr>
        <w:t>et al.</w:t>
      </w:r>
      <w:r>
        <w:rPr/>
        <w:t xml:space="preserve"> (2022) analyze:</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432"/>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score onward, and ε</w:t>
      </w:r>
      <w:r>
        <w:rPr>
          <w:vertAlign w:val="subscript"/>
        </w:rPr>
        <w:t>i,t</w:t>
      </w:r>
      <w:r>
        <w:rPr/>
        <w:t xml:space="preserve"> is the error. We include no covariates, use all event years, and cluster standard errors by firm. The coefficient β compares all post-coverage with all pre-coverage years, so it averages over any run-up. With staggered timing, it also uses already-scored firms as controls for later cohorts.</w:t>
      </w:r>
    </w:p>
    <w:p>
      <w:pPr>
        <w:spacing w:line="360" w:lineRule="auto" w:after="120" w:before="0"/>
        <w:ind w:firstLine="432"/>
        <w:jc w:val="both"/>
      </w:pPr>
      <w:r>
        <w:rPr/>
        <w:t>The pre-analysis plan fixed rows R1 to R6 of Table 3: four robustness checks, a placebo, and the benchmark of Eq. (11). The first three checks add not-yet-scored firms to the controls, drop the covariates, and exclude the 2020 and 2021 cohorts. The fourth keeps only control firms whose base-year log total assets reach the 10th percentile among scored firms of the same cohort. The placebo dates coverage three years early and uses only years before the actual score. Rows R7 to R11 and all of Tables S7 and S8 of the supplementary material are exploratory. They include the checks of Section 4.4, coverage dated one or two years later, and the sample restricted to cohorts observed through event year 3. Others exclude or isolate one market at a time, estimate separately by coverage wave and by period of first score, or change the timing and functional form of the size covariate. The rest restrict scored firms to the size range of the controls, apply the cluster bootstrap, decompose the gap between Eq. (11) and Eq. (6), and split by initial score, with the score purged of size, country, and cohort.</w:t>
      </w:r>
    </w:p>
    <w:p>
      <w:pPr>
        <w:spacing w:line="360" w:lineRule="auto" w:after="120" w:before="120"/>
        <w:jc w:val="center"/>
      </w:pPr>
      <w:r>
        <w:rPr>
          <w:b/>
        </w:rPr>
        <w:t>[Insert Table 3 here]</w:t>
      </w:r>
    </w:p>
    <w:p>
      <w:pPr>
        <w:keepNext/>
        <w:spacing w:line="360" w:lineRule="auto" w:after="120" w:before="240"/>
      </w:pPr>
      <w:r>
        <w:rPr>
          <w:b/>
        </w:rPr>
        <w:t>5. Results</w:t>
      </w:r>
    </w:p>
    <w:p>
      <w:pPr>
        <w:keepNext/>
        <w:spacing w:line="360" w:lineRule="auto" w:after="120" w:before="120"/>
      </w:pPr>
      <w:r>
        <w:rPr>
          <w:i/>
        </w:rPr>
        <w:t>5.1 Which firms get scored</w:t>
      </w:r>
    </w:p>
    <w:p>
      <w:pPr>
        <w:spacing w:line="360" w:lineRule="auto" w:after="120" w:before="0"/>
        <w:ind w:firstLine="432"/>
        <w:jc w:val="both"/>
      </w:pPr>
      <w:r>
        <w:rPr/>
        <w:t xml:space="preserve">Table 1 compares scored firms in the base year with never-scored firm-years. Scored firms are larger: their median market capitalization is 203.2 million U.S. dollars against 42.2 million, and their median total assets are 4.3 times as large, with normalized differences of 0.69 and 0.61. Their MTB ratio is also higher, with a mean of 2.37 against 1.84 and a median of 1.26 against 0.95, while leverage differs little (normalized difference −0.04). Because scored firms are concentrated in base years 2019 to 2022 while never-scored firm-years span 2014 to 2024, these level differences mix calendar effects with selection. Return on assets covers fewer than half of the firm-years, so we use it only descriptively. The gaps fit a provider that covers large and visible firms (Section 2.3). In Malaysia, where the expansion was broadest, the 565 never-scored firms remained smaller than the scored ones: the median total assets of scored firms were 3.3 times those of never-scored firms. Because scores rise with total assets in this provider's data (Dobrick </w:t>
      </w:r>
      <w:r>
        <w:rPr>
          <w:i/>
        </w:rPr>
        <w:t>et al.</w:t>
      </w:r>
      <w:r>
        <w:rPr/>
        <w:t>, 2023), we compare changes and adjust for size, country, and industry in Eq. (3).</w:t>
      </w:r>
    </w:p>
    <w:p>
      <w:pPr>
        <w:keepNext/>
        <w:spacing w:line="360" w:lineRule="auto" w:after="120" w:before="120"/>
      </w:pPr>
      <w:r>
        <w:rPr>
          <w:i/>
        </w:rPr>
        <w:t>5.2 Average effects of the first score</w:t>
      </w:r>
    </w:p>
    <w:p>
      <w:pPr>
        <w:spacing w:line="360" w:lineRule="auto" w:after="120" w:before="0"/>
        <w:ind w:firstLine="432"/>
        <w:jc w:val="both"/>
      </w:pPr>
      <w:r>
        <w:rPr/>
        <w:t>Table 2 reports the headline estimates of Eq. (6). The effect on log MTB is 0.002, with standard error 0.024 and 95% confidence interval −0.046 to 0.048. Under assumption (2), the data are compatible with changes in the MTB ratio from −4.5 to 4.9 percent, so increases of a few percent remain possible. The MDE from Eq. (7) is 0.067, about 7.0 percent. With the cluster bootstrap, the interval is −0.050 to 0.053.</w:t>
      </w:r>
    </w:p>
    <w:p>
      <w:pPr>
        <w:spacing w:line="360" w:lineRule="auto" w:after="120" w:before="0"/>
        <w:ind w:firstLine="432"/>
        <w:jc w:val="both"/>
      </w:pPr>
      <w:r>
        <w:rPr/>
        <w:t>After Holm adjustment, no secondary outcome changes significantly at the 5% level. Log market capitalization changes by −0.055 (p = 0.134), leverage by 0.8 percentage points (p = 0.134), and log total assets by 0.044 (p = 0.053, against an unadjusted p = 0.018). Under assumption (2), the MTB estimate shows no sign of the gain that the recognition channel predicts (Merton, 1987). Nor does it show the demand response to newly published sustainability ratings that Hartzmark and Sussman (2019) document for funds, although the interval admits gains of up to 4.9 percent.</w:t>
      </w:r>
    </w:p>
    <w:p>
      <w:pPr>
        <w:keepNext/>
        <w:spacing w:line="360" w:lineRule="auto" w:after="120" w:before="120"/>
      </w:pPr>
      <w:r>
        <w:rPr>
          <w:i/>
        </w:rPr>
        <w:t>5.3 Dynamics before and after the first score</w:t>
      </w:r>
    </w:p>
    <w:p>
      <w:pPr>
        <w:spacing w:line="360" w:lineRule="auto" w:after="120" w:before="0"/>
        <w:ind w:firstLine="432"/>
        <w:jc w:val="both"/>
      </w:pPr>
      <w:r>
        <w:rPr/>
        <w:t>Figure 1 plots the event-time estimates of Eq. (5) for all four outcomes. Before the first score, the estimates for market capitalization and MTB are negative and rise toward zero. In event years −5 and −4, the MTB estimates are −0.095 and −0.082 (p = 0.015 and p = 0.015). From event year −5 to the base year, scored firms' market capitalization grew 14.1 percent more than that of never-scored firms, and their MTB ratio 10.0 percent more. We call this relative growth the run-up; with the cluster bootstrap, the 95% interval for the MTB run-up is 2.3 to 20.5 percent. The joint test of Eq. (8) rejects parallel pre-coverage trends for market capitalization (p = 0.022) but not at the 5% level for MTB (p = 0.074). With the cluster bootstrap, the two tests give p = 0.001 and p = 0.225. As Roth (2022) cautions, a non-rejection is not evidence that pre-coverage trends are parallel. Log total assets follow a weaker version of the pattern, and leverage falls toward the base year (pre-trend p = 0.002).</w:t>
      </w:r>
    </w:p>
    <w:p>
      <w:pPr>
        <w:spacing w:line="360" w:lineRule="auto" w:after="120" w:before="0"/>
        <w:ind w:firstLine="432"/>
        <w:jc w:val="both"/>
      </w:pPr>
      <w:r>
        <w:rPr/>
        <w:t>After the first score, the MTB estimates for event years 0 to 3 lie between −0.044 and 0.017, and none differs from zero at the 5% level. The market capitalization estimate is −0.072 in event year 1 (p = 0.029) and not significant later. Only 141 scored firms from 6 cohorts reach event year 4, so we plot that year but exclude it from Eq. (6). Its estimates are −0.077 for MTB (p = 0.209) and 0.088 for market capitalization (p = 0.153). Log total assets rise to 0.090 by event year 3, and leverage returns toward its earlier level. The MTB gap between scored and never-scored firms thus widens before coverage and stops widening afterward. Without data on share issuance, we cannot tell whether the pre-coverage growth in market capitalization reflects rising prices, new shares, or both, so we base statements about valuation on the MTB ratio.</w:t>
      </w:r>
    </w:p>
    <w:p>
      <w:pPr>
        <w:spacing w:line="360" w:lineRule="auto" w:after="120" w:before="0"/>
        <w:ind w:firstLine="432"/>
        <w:jc w:val="both"/>
      </w:pPr>
      <w:r>
        <w:rPr/>
        <w:t>Figure 2 separates the two largest coverage waves from the remaining cohorts. We drew the wave boundaries from Table S2 after seeing the coverage counts, so this split is exploratory. The 108 Thai and Singaporean firms first scored in 2019 and 2020 show the largest run-up. From event year −5 to the base year, their MTB ratio grew 33.1 percent and their market capitalization 57.3 percent more than those of never-scored firms (pre-trend p = 0.006 and p &lt; 0.001). The 289 Malaysian firms first scored in 2021 and 2022 show no run-up: their pre-coverage MTB estimates range from −0.027 in event year −5 to 0.041 in event year −2 (pre-trend p = 0.549). The 278 firms in the remaining cohorts, including 109 firms first scored in 2023, fall in between. Their MTB ratio lies below that of never-scored firms by a similar amount in event years −5 and −2 (−0.103 and −0.108) and catches up in the base year (pre-trend p = 0.006). Their market capitalization shows no run-up (pre-trend p = 0.652). The Malaysian wave added 289 firms in two years, yet 565 Malaysian firms remained never-scored, so it was broad but not market-wide. After the first score, no group shows an MTB gain: the estimates of Eq. (6) are 0.021 for the Malaysian wave, −0.009 for the Thai and Singaporean wave, and −0.016 for the remaining cohorts. Market capitalization fell after coverage in the Malaysian wave (−0.146, p = 0.005), which accounts for the negative pooled estimate.</w:t>
      </w:r>
    </w:p>
    <w:p>
      <w:pPr>
        <w:keepNext/>
        <w:spacing w:line="360" w:lineRule="auto" w:after="120" w:before="120"/>
      </w:pPr>
      <w:r>
        <w:rPr>
          <w:i/>
        </w:rPr>
        <w:t>5.4 Timing of coverage and sensitivity to pre-trends</w:t>
      </w:r>
    </w:p>
    <w:p>
      <w:pPr>
        <w:spacing w:line="360" w:lineRule="auto" w:after="120" w:before="0"/>
        <w:ind w:firstLine="432"/>
        <w:jc w:val="both"/>
      </w:pPr>
      <w:r>
        <w:rPr/>
        <w:t xml:space="preserve">Table 3 reports the robustness checks. Rows R1 to R6 were pre-specified, and rows R7 to R11 are exploratory. Row R10 dates coverage one year after the first scored year, when a score could first have been published. Because scores were backfilled or revised (Berg </w:t>
      </w:r>
      <w:r>
        <w:rPr>
          <w:i/>
        </w:rPr>
        <w:t>et al.</w:t>
      </w:r>
      <w:r>
        <w:rPr/>
        <w:t xml:space="preserve">, 2020; Sahin </w:t>
      </w:r>
      <w:r>
        <w:rPr>
          <w:i/>
        </w:rPr>
        <w:t>et al.</w:t>
      </w:r>
      <w:r>
        <w:rPr/>
        <w:t>, 2023), this also moves the base year closer to the end of the run-up. The MTB effect is then −0.068, a change of about −6.6 percent (95% interval −0.116 to −0.020; p = 0.004), estimated from 646 scored and 2,412 control firms. With the cluster bootstrap, its interval is −0.125 to −0.018. Its joint pre-trend test gives p = 0.072. With M̄ = 0.25 in Eq. (10), its interval runs from −0.138 to 0.002 and includes zero; the decline loses significance once M̄ reaches 0.23. Holding total assets at the original base year gives −0.074 (p = 0.002), so the covariate timing does not drive R10. Dating coverage two years later gives −0.048 (95% interval −0.099 to 0.000), a smaller decline that is no longer significant at the 5% level.</w:t>
      </w:r>
    </w:p>
    <w:p>
      <w:pPr>
        <w:spacing w:line="360" w:lineRule="auto" w:after="120" w:before="0"/>
        <w:ind w:firstLine="432"/>
        <w:jc w:val="both"/>
      </w:pPr>
      <w:r>
        <w:rPr/>
        <w:t>Figure S2 plots the event-time path under R10. The decline grows with time since coverage, from −0.039 in the re-dated event year 0 to −0.200 in event year 3. The baseline path in Figure 1 does not show this because its later event years come from early cohorts while its first post-coverage years pool all cohorts. Re-based within each cohort to the first scored year, the baseline point estimates for event years 3 and 4 are −0.083 and −0.167. These lie closer to the corresponding R10 estimates of −0.138 and −0.200 than the pooled baseline path suggests. We report the re-based values without standard errors, as a reconciliation of the two paths rather than a test. The long-horizon reading therefore rests on the R10 path and its interval, which come from the early cohorts only. If firms are selected at an unusually high valuation that later partly reverses, the decline measures the reversal and can hide an offsetting positive effect of coverage. If valuations would otherwise have stayed at their pre-coverage peak, coverage lowered them. The data cannot separate the two readings.</w:t>
      </w:r>
    </w:p>
    <w:p>
      <w:pPr>
        <w:spacing w:line="360" w:lineRule="auto" w:after="120" w:before="0"/>
        <w:ind w:firstLine="432"/>
        <w:jc w:val="both"/>
      </w:pPr>
      <w:r>
        <w:rPr/>
        <w:t>Row R11 keeps the 7 cohorts first scored by 2021 and observed through event year 3, with 273 scored and 2,032 control firms. Its MTB effect of −0.008 (p = 0.806) shows that changing cohort composition does not explain the headline estimate. Row R7 removes a linear pre-trend with Eq. (9). The MTB effect becomes −0.052 (95% interval −0.118 to 0.014), negative because a continued run-up would have raised valuations further. Row R8 compares scored firms with never-scored firms that grew at a similar rate before coverage and so share any tendency to revert. Its MTB effect is 0.028 (p = 0.265), with an interval from −0.021 to 0.077 that admits gains of several percent. R8 conditions only on market capitalization growth from year g − 3 to the base year. Because control firms matched on past growth can themselves revert, it does not settle the reversal question.</w:t>
      </w:r>
    </w:p>
    <w:p>
      <w:pPr>
        <w:spacing w:line="360" w:lineRule="auto" w:after="120" w:before="0"/>
        <w:ind w:firstLine="432"/>
        <w:jc w:val="both"/>
      </w:pPr>
      <w:r>
        <w:rPr/>
        <w:t>Table S5 reports the bounds of Eq. (10). The largest change between consecutive pre-coverage MTB estimates is 0.046. With M̄ = 0.25, the interval for the MTB effect is −0.071 to 0.073; with M̄ = 1, it widens to −0.147 to 0.148. Every interval includes zero and admits moderate effects in either direction. The upper limit of the unadjusted interval lies just below a 5 percent increase in the MTB ratio. Any departure with M̄ above about 0.01 therefore admits an increase of 5 percent, and any departure at all admits a positive effect. The absence of a detected positive effect is therefore conditional on assumption (2).</w:t>
      </w:r>
    </w:p>
    <w:p>
      <w:pPr>
        <w:keepNext/>
        <w:spacing w:line="360" w:lineRule="auto" w:after="120" w:before="120"/>
      </w:pPr>
      <w:r>
        <w:rPr>
          <w:i/>
        </w:rPr>
        <w:t>5.5 Robustness</w:t>
      </w:r>
    </w:p>
    <w:p>
      <w:pPr>
        <w:spacing w:line="360" w:lineRule="auto" w:after="120" w:before="0"/>
        <w:ind w:firstLine="432"/>
        <w:jc w:val="both"/>
      </w:pPr>
      <w:r>
        <w:rPr/>
        <w:t>None of the pre-specified rows R1 to R4 gives an effect on log MTB that differs from zero at the 10% level. The effect is −0.001 when not-yet-scored firms join the controls, as Callaway and Sant'Anna (2021) propose, and 0.025 without the covariates of Eq. (3). It is 0.031 without the 2020 and 2021 cohorts and 0.016 when we drop control firms below the size range of scored firms. The market capitalization and total assets results are less stable than the MTB result. Under the size restriction, the market capitalization effect shrinks to −0.007 and the total assets effect is 0.101, against 0.011 without covariates. We therefore do not read the total assets estimate in Table 2 as evidence that coverage causes growth.</w:t>
      </w:r>
    </w:p>
    <w:p>
      <w:pPr>
        <w:spacing w:line="360" w:lineRule="auto" w:after="120" w:before="0"/>
        <w:ind w:firstLine="432"/>
        <w:jc w:val="both"/>
      </w:pPr>
      <w:r>
        <w:rPr/>
        <w:t>Table S7 and Figure S2 vary the size covariate and the support. The run-up does not depend on conditioning on base-year total assets. Without covariates, the MTB run-up from event year −5 to the base year is 6.6 percent, weaker than the baseline (event year −5 p = 0.068; pre-trend p = 0.028), and the market capitalization run-up is 24.0 percent. With total assets measured two years before the base year, it is 8.0 percent for MTB (pre-trend p = 0.176) and 20.3 percent for market capitalization. The post-coverage MTB effect is −0.008 with total assets measured two years earlier and −0.010 with quintile indicators. Restricting scored firms to those no larger than the 95th percentile of never-scored firms in their cell changes the estimand to the effect on scored firms within the controls' size range. This restriction keeps 492 scored firms and gives −0.021 for MTB (p = 0.426; pre-trend p = 0.212) and −0.096 for market capitalization (p = 0.006). The post-coverage MTB estimate therefore does not depend on extrapolating the size adjustment to the largest firms, whereas the negative market capitalization effect is larger within the controls' size range.</w:t>
      </w:r>
    </w:p>
    <w:p>
      <w:pPr>
        <w:spacing w:line="360" w:lineRule="auto" w:after="120" w:before="0"/>
        <w:ind w:firstLine="432"/>
        <w:jc w:val="both"/>
      </w:pPr>
      <w:r>
        <w:rPr/>
        <w:t>The placebo in row R5, which dates coverage three years before the first score within pre-score years, yields 0.059 on log MTB (p = 0.010) and 0.134 on log market capitalization (p &lt; 0.001). This failure restates the pre-coverage growth of Figure 1 and adds no independent evidence. The static TWFE regression of Eq. (11) in row R6 attributes increases of 0.064 in log MTB (p = 0.014) and 0.185 in log market capitalization to coverage. Table S8 decomposes the MTB gap. Restricting the regression to never-scored controls and event years −5 to 3 changes the estimate only to 0.058, while the heterogeneity-robust estimator gives 0.025 without covariates and 0.002 with them. Comparing each cohort with its own base year, rather than pooling all years, accounts for about half of the gap. Conditioning on base-year total assets accounts for most of the rest, and the choice of controls and window for little.</w:t>
      </w:r>
    </w:p>
    <w:p>
      <w:pPr>
        <w:spacing w:line="360" w:lineRule="auto" w:after="120" w:before="0"/>
        <w:ind w:firstLine="432"/>
        <w:jc w:val="both"/>
      </w:pPr>
      <w:r>
        <w:rPr/>
        <w:t>Row R9 and Table S1 exclude one market at a time. The MTB effect then ranges from −0.007 to 0.017 and is −0.003 without Malaysia (p = 0.940), whereas the market capitalization effect turns to 0.037. Estimated market by market in Table S3, the MTB effect is 0.009 in Malaysia, with 372 scored firms, and 0.027 in Thailand, with 157. Indonesia, the Philippines, and Singapore have few scored firms and imprecise estimates. The 58 firms first scored by 2019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keepNext/>
        <w:spacing w:line="360" w:lineRule="auto" w:after="120" w:before="120"/>
      </w:pPr>
      <w:r>
        <w:rPr>
          <w:i/>
        </w:rPr>
        <w:t>5.6 Does the score itself matter?</w:t>
      </w:r>
    </w:p>
    <w:p>
      <w:pPr>
        <w:spacing w:line="360" w:lineRule="auto" w:after="120" w:before="0"/>
        <w:ind w:firstLine="432"/>
        <w:jc w:val="both"/>
      </w:pPr>
      <w:r>
        <w:rPr/>
        <w:t xml:space="preserve">The last three rows of Table 3 split scored firms at the cohort median of their first ESG score. The MTB effect is −0.019 for high-score and 0.022 for low-score entrants, and the difference of −0.041 (standard error 0.040, p = 0.307) is not significant. Because the score rises with firm size (correlation 0.35 with base-year log total assets), a split on the raw score partly separates large from small firms. Table S7 therefore repeats the split after purging the score of base-year total assets, country, and cohort, which together explain 0.23 of its variance. The difference is then −0.027 (standard error 0.040, p = 0.491). Neither split supports the sign pattern that the preference channel predicts, but with minimum detectable differences of 0.113 and 0.111, neither test excludes moderate differences. Disagreement among providers (Berg, Kölbel </w:t>
      </w:r>
      <w:r>
        <w:rPr>
          <w:i/>
        </w:rPr>
        <w:t>et al.</w:t>
      </w:r>
      <w:r>
        <w:rPr/>
        <w:t xml:space="preserve">, 2022; Christensen </w:t>
      </w:r>
      <w:r>
        <w:rPr>
          <w:i/>
        </w:rPr>
        <w:t>et al.</w:t>
      </w:r>
      <w:r>
        <w:rPr/>
        <w:t xml:space="preserve">, 2022) and revisions of initial scores (Sahin </w:t>
      </w:r>
      <w:r>
        <w:rPr>
          <w:i/>
        </w:rPr>
        <w:t>et al.</w:t>
      </w:r>
      <w:r>
        <w:rPr/>
        <w:t>, 2023) weaken the signal in any single score.</w:t>
      </w:r>
    </w:p>
    <w:p>
      <w:pPr>
        <w:keepNext/>
        <w:spacing w:line="360" w:lineRule="auto" w:after="120" w:before="120"/>
      </w:pPr>
      <w:r>
        <w:rPr>
          <w:i/>
        </w:rPr>
        <w:t>5.7 Economic magnitude</w:t>
      </w:r>
    </w:p>
    <w:p>
      <w:pPr>
        <w:spacing w:line="360" w:lineRule="auto" w:after="120" w:before="0"/>
        <w:ind w:firstLine="432"/>
        <w:jc w:val="both"/>
      </w:pPr>
      <w:r>
        <w:rPr/>
        <w:t xml:space="preserve">Under assumption (2), the largest increase compatible with the headline interval is of the same order as the announcement return of 4.86 percent that Demiroglu and Ryngaert (2010) report for the first analyst coverage of neglected stocks. It is also twice the one-year abnormal return that follows an MSCI downgrade (Berg, Heeb </w:t>
      </w:r>
      <w:r>
        <w:rPr>
          <w:i/>
        </w:rPr>
        <w:t>et al.</w:t>
      </w:r>
      <w:r>
        <w:rPr/>
        <w:t xml:space="preserve">, 2022). Annual year-end ratios would miss short-lived price pressure, so our estimates concern lasting revaluation of the kind a permanent rise in investor recognition would produce (Chen </w:t>
      </w:r>
      <w:r>
        <w:rPr>
          <w:i/>
        </w:rPr>
        <w:t>et al.</w:t>
      </w:r>
      <w:r>
        <w:rPr/>
        <w:t>, 2004; Merton, 1987). A lasting effect half as large as the MTB run-up would lie at the upper end of the headline interval, so any such effect is small relative to the growth that preceded coverage.</w:t>
      </w:r>
    </w:p>
    <w:p>
      <w:pPr>
        <w:keepNext/>
        <w:spacing w:line="360" w:lineRule="auto" w:after="120" w:before="240"/>
      </w:pPr>
      <w:r>
        <w:rPr>
          <w:b/>
        </w:rPr>
        <w:t>6. Discussion</w:t>
      </w:r>
    </w:p>
    <w:p>
      <w:pPr>
        <w:keepNext/>
        <w:spacing w:line="360" w:lineRule="auto" w:after="120" w:before="120"/>
      </w:pPr>
      <w:r>
        <w:rPr>
          <w:i/>
        </w:rPr>
        <w:t>6.1 What the ordering of events shows</w:t>
      </w:r>
    </w:p>
    <w:p>
      <w:pPr>
        <w:spacing w:line="360" w:lineRule="auto" w:after="120" w:before="0"/>
        <w:ind w:firstLine="432"/>
        <w:jc w:val="both"/>
      </w:pPr>
      <w:r>
        <w:rPr/>
        <w:t>The clearest result is an ordering of events. On average, firms entered the scored universe after their MTB ratio and market capitalization had grown faster than those of never-scored firms, and their MTB ratio stopped gaining afterward. The run-up was strongest in the Thai and Singaporean wave of 2019 and 2020 and absent in the large Malaysian wave of 2021 and 2022, which added many firms of one market within two years. In neither wave do we detect a later gain. Several mechanisms fit this ordering. The provider may have added firms once they had grown large and visible enough to matter to its clients (Section 2.3). Firms may have become scoreable by publishing a first sustainability report, joining an index, or issuing equity, any of which can coincide with rising value. The fall in leverage toward the base year is consistent with equity issuance. Firms may also have started or expanded sustainability reporting when they were doing well or planned to raise capital, a strategic-disclosure reading that our data cannot test. Each mechanism implies the same lesson for empirical work: entry into a provider's coverage marks the end of a period of relative growth, not a random draw.</w:t>
      </w:r>
    </w:p>
    <w:p>
      <w:pPr>
        <w:spacing w:line="360" w:lineRule="auto" w:after="120" w:before="0"/>
        <w:ind w:firstLine="432"/>
        <w:jc w:val="both"/>
      </w:pPr>
      <w:r>
        <w:rPr/>
        <w:t xml:space="preserve">The flat post-coverage MTB path in the baseline admits three readings, depending on the counterfactual trend (Rambachan and Roth, 2023; Roth, 2022). With parallel paths from the base year, the data show no detected effect of coverage, and the interval of Section 5.2 bounds its size. With a continued run-up, coverage lowered valuations relative to trend. With a partly transitory run-up, the flat path is consistent with a positive coverage effect that offset a reversal. The awareness evidence on index additions predicts a permanent gain from recognition (Chen </w:t>
      </w:r>
      <w:r>
        <w:rPr>
          <w:i/>
        </w:rPr>
        <w:t>et al.</w:t>
      </w:r>
      <w:r>
        <w:rPr/>
        <w:t>, 2004), so a recognition effect of that kind should have appeared as a lasting rise after coverage. Under assumption (2), we detect none. The publication-dated estimates in Section 5.4 show a decline in the third and fourth years of coverage for early cohorts. A reversal would produce this decline, and a positive coverage effect could partly offset it, but it could also reflect a negative effect of coverage. The evidence therefore does not show that coverage has no effect: no heterogeneity-robust specification detects a valuation gain, and the bounds do not exclude one.</w:t>
      </w:r>
    </w:p>
    <w:p>
      <w:pPr>
        <w:keepNext/>
        <w:spacing w:line="360" w:lineRule="auto" w:after="120" w:before="120"/>
      </w:pPr>
      <w:r>
        <w:rPr>
          <w:i/>
        </w:rPr>
        <w:t>6.2 Relation to evidence on ESG ratings and certification</w:t>
      </w:r>
    </w:p>
    <w:p>
      <w:pPr>
        <w:spacing w:line="360" w:lineRule="auto" w:after="120" w:before="0"/>
        <w:ind w:firstLine="432"/>
        <w:jc w:val="both"/>
      </w:pPr>
      <w:r>
        <w:rPr/>
        <w:t xml:space="preserve">The absence of a detected gain fits the evidence on certification by sustainability indices, where additions have little price effect relative to comparable firms (Durand </w:t>
      </w:r>
      <w:r>
        <w:rPr>
          <w:i/>
        </w:rPr>
        <w:t>et al.</w:t>
      </w:r>
      <w:r>
        <w:rPr/>
        <w:t xml:space="preserve">, 2019; Hawn </w:t>
      </w:r>
      <w:r>
        <w:rPr>
          <w:i/>
        </w:rPr>
        <w:t>et al.</w:t>
      </w:r>
      <w:r>
        <w:rPr/>
        <w:t xml:space="preserve">, 2018). It contrasts with the price effects of MSCI downgrades (Berg, Heeb </w:t>
      </w:r>
      <w:r>
        <w:rPr>
          <w:i/>
        </w:rPr>
        <w:t>et al.</w:t>
      </w:r>
      <w:r>
        <w:rPr/>
        <w:t xml:space="preserve">, 2022; Shanaev and Ghimire, 2022). Two features of our setting may explain the difference. First, the evidence that ESG funds trade on ratings concerns MSCI, the one rating that explains their holdings (Berg, Heeb </w:t>
      </w:r>
      <w:r>
        <w:rPr>
          <w:i/>
        </w:rPr>
        <w:t>et al.</w:t>
      </w:r>
      <w:r>
        <w:rPr/>
        <w:t xml:space="preserve">, 2022). Entering the coverage of another provider may change little for these funds. Second, scored firms were large and visible before coverage (Table 1), and some may have had FTSE Russell scores, which leaves less room for recognition (Merton, 1987). Disagreement among providers (Berg, Kölbel </w:t>
      </w:r>
      <w:r>
        <w:rPr>
          <w:i/>
        </w:rPr>
        <w:t>et al.</w:t>
      </w:r>
      <w:r>
        <w:rPr/>
        <w:t xml:space="preserve">, 2022; Serafeim and Yoon, 2023) further weakens the information in any single score. U.S. studies find that coverage changes firm conduct (Bikmetova and Pirinsky, 2026; Tsang </w:t>
      </w:r>
      <w:r>
        <w:rPr>
          <w:i/>
        </w:rPr>
        <w:t>et al.</w:t>
      </w:r>
      <w:r>
        <w:rPr/>
        <w:t xml:space="preserve">, 2024) and payout (Tsang </w:t>
      </w:r>
      <w:r>
        <w:rPr>
          <w:i/>
        </w:rPr>
        <w:t>et al.</w:t>
      </w:r>
      <w:r>
        <w:rPr/>
        <w:t>, 2025). We find no stable change in leverage or total assets and observe no measures of conduct.</w:t>
      </w:r>
    </w:p>
    <w:p>
      <w:pPr>
        <w:spacing w:line="360" w:lineRule="auto" w:after="120" w:before="0"/>
        <w:ind w:firstLine="432"/>
        <w:jc w:val="both"/>
      </w:pPr>
      <w:r>
        <w:rPr/>
        <w:t xml:space="preserve">The pre-coverage run-up also relates to the evidence on ESG demand. Pástor </w:t>
      </w:r>
      <w:r>
        <w:rPr>
          <w:i/>
        </w:rPr>
        <w:t>et al.</w:t>
      </w:r>
      <w:r>
        <w:rPr/>
        <w:t xml:space="preserve"> (2022) show that realized green returns can reflect unexpected shifts in demand. A one-time demand shift, or selection after one, would produce a run-up followed by a flat path. Without ownership data, we cannot tell whether ESG investors bought these firms before or after coverage. In the Section 4.4 bound with M̄ = 0.25, the data admit MTB changes from −6.9 to 7.5 percent, so we cannot exclude a demand shift of a few percent after coverage.</w:t>
      </w:r>
    </w:p>
    <w:p>
      <w:pPr>
        <w:keepNext/>
        <w:spacing w:line="360" w:lineRule="auto" w:after="120" w:before="120"/>
      </w:pPr>
      <w:r>
        <w:rPr>
          <w:i/>
        </w:rPr>
        <w:t>6.3 Implications</w:t>
      </w:r>
    </w:p>
    <w:p>
      <w:pPr>
        <w:spacing w:line="360" w:lineRule="auto" w:after="120" w:before="0"/>
        <w:ind w:firstLine="432"/>
        <w:jc w:val="both"/>
      </w:pPr>
      <w:r>
        <w:rPr/>
        <w:t>The results have implications for five groups, each bounded by the design: one provider whose score is not the rating shown to drive ESG fund holdings, annual data, five markets, and no data on ownership, returns, or publication dates.</w:t>
      </w:r>
    </w:p>
    <w:p>
      <w:pPr>
        <w:spacing w:line="360" w:lineRule="auto" w:after="120" w:before="0"/>
        <w:ind w:firstLine="432"/>
        <w:jc w:val="both"/>
      </w:pPr>
      <w:r>
        <w:rPr/>
        <w:t xml:space="preserve">For rating providers and data users, the LSEG scored universe in these markets tilts toward large firms and, outside the Malaysian wave, toward firms that have just outgrown their peers (Table 1, Figs. 1 and 2). Investors and researchers who use the provider's history should know that the first scored year can precede publication and that the provider may have filled in history. Backtests around coverage initiation may therefore suffer from look-ahead bias (Berg </w:t>
      </w:r>
      <w:r>
        <w:rPr>
          <w:i/>
        </w:rPr>
        <w:t>et al.</w:t>
      </w:r>
      <w:r>
        <w:rPr/>
        <w:t xml:space="preserve">, 2020; Sahin </w:t>
      </w:r>
      <w:r>
        <w:rPr>
          <w:i/>
        </w:rPr>
        <w:t>et al.</w:t>
      </w:r>
      <w:r>
        <w:rPr/>
        <w:t>, 2023).</w:t>
      </w:r>
    </w:p>
    <w:p>
      <w:pPr>
        <w:spacing w:line="360" w:lineRule="auto" w:after="120" w:before="0"/>
        <w:ind w:firstLine="432"/>
        <w:jc w:val="both"/>
      </w:pPr>
      <w:r>
        <w:rPr/>
        <w:t>For exchanges, the large Malaysian wave carried no run-up (Figure 2), which suggests that broad expansions of coverage within a market select less on prior growth than additions of individual firms. We do not observe what caused that wave and cannot attribute it to the November 2022 arrangement between Bursa Malaysia and LSEG (Bernama, 2022). Our data do not show whether broader coverage raises the value of the firms it reaches. In the Malaysian wave, we detect no MTB gain.</w:t>
      </w:r>
    </w:p>
    <w:p>
      <w:pPr>
        <w:spacing w:line="360" w:lineRule="auto" w:after="120" w:before="0"/>
        <w:ind w:firstLine="432"/>
        <w:jc w:val="both"/>
      </w:pPr>
      <w:r>
        <w:rPr/>
        <w:t>For regulators, under assumption (2), our evidence gives no support for using rating coverage as a lever for issuer valuation. The composition of the scored universe, tilted toward firms that have already grown, is relevant to policies on coverage gaps for smaller issuers.</w:t>
      </w:r>
    </w:p>
    <w:p>
      <w:pPr>
        <w:spacing w:line="360" w:lineRule="auto" w:after="120" w:before="0"/>
        <w:ind w:firstLine="432"/>
        <w:jc w:val="both"/>
      </w:pPr>
      <w:r>
        <w:rPr/>
        <w:t>For ESG investors and index builders who rely on this provider, screens restricted to scored stocks admitted many firms after a valuation run-up. Our annual MTB data cannot speak to the returns of a strategy that buys newly scored firms.</w:t>
      </w:r>
    </w:p>
    <w:p>
      <w:pPr>
        <w:spacing w:line="360" w:lineRule="auto" w:after="120" w:before="0"/>
        <w:ind w:firstLine="432"/>
        <w:jc w:val="both"/>
      </w:pPr>
      <w:r>
        <w:rPr/>
        <w:t xml:space="preserve">For listed firms in the five markets, under assumption (2), the estimates give no support to the expectation that a first LSEG score will raise their valuation through investor recognition or preferences (Merton, 1987; Pástor </w:t>
      </w:r>
      <w:r>
        <w:rPr>
          <w:i/>
        </w:rPr>
        <w:t>et al.</w:t>
      </w:r>
      <w:r>
        <w:rPr/>
        <w:t>, 2021). The confidence interval excludes increases above 4.9 percent with the firm bootstrap and above 5.5 percent with the cluster bootstrap, but smaller effects remain possible. For empirical research, a cross-sectional valuation premium of scored firms, or a static TWFE estimate, can reflect selection into coverage rather than an effect of scores (Table S8). Studies comparing scored and unscored firms in these markets should model coverage timing and report pre-coverage dynamics. These data cannot show whether the ordering extends to other markets or providers.</w:t>
      </w:r>
    </w:p>
    <w:p>
      <w:pPr>
        <w:keepNext/>
        <w:spacing w:line="360" w:lineRule="auto" w:after="120" w:before="240"/>
      </w:pPr>
      <w:r>
        <w:rPr>
          <w:b/>
        </w:rPr>
        <w:t>7. Limitations</w:t>
      </w:r>
    </w:p>
    <w:p>
      <w:pPr>
        <w:spacing w:line="360" w:lineRule="auto" w:after="120" w:before="0"/>
        <w:ind w:firstLine="432"/>
        <w:jc w:val="both"/>
      </w:pPr>
      <w:r>
        <w:rPr/>
        <w:t xml:space="preserve">The study has eight limitations. First, the provider chooses when to cover a firm, and we have no coverage variation unrelated to firm performance. The post-coverage estimates rest on conditional parallel trends from the base year, which the pre-coverage estimates question. Our sensitivity analysis uses a linear trend and a simplified bound, not the confidence sets of Rambachan and Roth (2023). Second, the data are annual and may contain backfilled or revised scores, so we observe neither first-score publication dates nor announcement returns. Dating coverage later closes only part of this gap. Third, we observe only LSEG coverage. The LSEG ESG score is not the rating that the cited evidence links to ESG fund holdings (Berg, Heeb </w:t>
      </w:r>
      <w:r>
        <w:rPr>
          <w:i/>
        </w:rPr>
        <w:t>et al.</w:t>
      </w:r>
      <w:r>
        <w:rPr/>
        <w:t>, 2022). For firms with earlier scores from other providers, such as FTSE Russell scores for Malaysian index constituents (Bernama, 2022), the event is an additional score. We do not examine domestic ESG channels such as exchange sustainability indices or Shariah screens. Fourth, the data contain no stock returns, shares outstanding, ownership, foreign holdings, foreign-ownership limits, index membership, or firm-level sustainability report dates. We therefore cannot separate price changes from share issuance, test the recognition channel directly, or link first scores to index entry or first sustainability reports. We date the reporting rules in Section 3.1 by market, not by firm, from regulatory texts and, for Thailand and Malaysia, from secondary summaries. Fifth, a few market capitalization values are implausibly large; pooled winsorization limits but does not correct them, and return on assets covers a minority of firm-years. Sixth, Malaysian and Thai firms make up 84.3 percent of scored firms and dominate the pooled estimates. Resampling market-by-industry clusters addresses part of the dependence within coverage waves, but five markets are too few for market-level inference. Seventh, the MDE on log MTB is 0.067, about 7.0 percent, so our design would detect smaller effects with less than 80% probability. Eighth, the unrecorded download date leaves the vintage of revisable recent scores uncertain.</w:t>
      </w:r>
    </w:p>
    <w:p>
      <w:pPr>
        <w:keepNext/>
        <w:spacing w:line="360" w:lineRule="auto" w:after="120" w:before="240"/>
      </w:pPr>
      <w:r>
        <w:rPr>
          <w:b/>
        </w:rPr>
        <w:t>8. Conclusion</w:t>
      </w:r>
    </w:p>
    <w:p>
      <w:pPr>
        <w:spacing w:line="360" w:lineRule="auto" w:after="120" w:before="0"/>
        <w:ind w:firstLine="432"/>
        <w:jc w:val="both"/>
      </w:pPr>
      <w:r>
        <w:rPr/>
        <w:t>On average, entry into LSEG ESG coverage in five Southeast Asian markets followed relative growth and was not followed by a detected rise in MTB ratios. Before their first scored year, scored firms grew faster than never-scored firms of similar size, country, and industry, by 10.0 percent in MTB (1.9 to 18.2 percent). The Malaysian firms covered in the large 2021 and 2022 wave showed no such run-up. Under parallel trends, the headline effect is 0.002 (95% interval −0.046 to 0.048), and we detect no difference between firms with high and low initial scores. Dating coverage one year later gives an MTB change of −6.6 percent, which may reflect a reversal of the run-up or a negative effect of coverage. Departures from parallel trends like those before coverage would admit effects of several percent in either direction. Comparisons of scored and unscored firms that ignore coverage timing can attribute this selection to the score.</w:t>
      </w:r>
    </w:p>
    <w:p>
      <w:pPr>
        <w:keepNext/>
        <w:spacing w:line="360" w:lineRule="auto" w:after="120" w:before="240"/>
      </w:pPr>
      <w:r>
        <w:rPr>
          <w:b/>
        </w:rPr>
        <w:t>References</w:t>
      </w:r>
    </w:p>
    <w:p>
      <w:pPr>
        <w:spacing w:line="360" w:lineRule="auto" w:after="80" w:before="0"/>
        <w:ind w:left="432" w:hanging="432"/>
      </w:pPr>
      <w:r>
        <w:rPr/>
        <w:t xml:space="preserve">Avramov, D., Cheng, S., Lioui, A. and Tarelli, A. (2022), "Sustainable investing with ESG rating uncertainty", </w:t>
      </w:r>
      <w:r>
        <w:rPr>
          <w:i/>
        </w:rPr>
        <w:t>Journal of Financial Economics</w:t>
      </w:r>
      <w:r>
        <w:rPr/>
        <w:t>, Vol. 145 No. 2, pp. 642-664, doi: 10.1016/j.jfineco.2021.09.009.</w:t>
      </w:r>
    </w:p>
    <w:p>
      <w:pPr>
        <w:spacing w:line="360" w:lineRule="auto" w:after="80" w:before="0"/>
        <w:ind w:left="432" w:hanging="432"/>
      </w:pPr>
      <w:r>
        <w:rPr/>
        <w:t xml:space="preserve">Baker, A.C., Larcker, D.F. and Wang, C.C.Y. (2022), "How much should we trust staggered difference-in-differences estimates?", </w:t>
      </w:r>
      <w:r>
        <w:rPr>
          <w:i/>
        </w:rPr>
        <w:t>Journal of Financial Economics</w:t>
      </w:r>
      <w:r>
        <w:rPr/>
        <w:t>, Vol. 144 No. 2, pp. 370-395, doi: 10.1016/j.jfineco.2022.01.004.</w:t>
      </w:r>
    </w:p>
    <w:p>
      <w:pPr>
        <w:spacing w:line="360" w:lineRule="auto" w:after="80" w:before="0"/>
        <w:ind w:left="432" w:hanging="432"/>
      </w:pPr>
      <w:r>
        <w:rPr/>
        <w:t>Berg, F., Fabisik, K. and Sautner, Z. (2020), "Is history repeating itself? The (un)predictable past of ESG ratings", working paper No. 708/2020, European Corporate Governance Institute, Brussels, available at: https://ssrn.com/abstract=3722087.</w:t>
      </w:r>
    </w:p>
    <w:p>
      <w:pPr>
        <w:spacing w:line="360" w:lineRule="auto" w:after="80" w:before="0"/>
        <w:ind w:left="432" w:hanging="432"/>
      </w:pPr>
      <w:r>
        <w:rPr/>
        <w:t>Berg, F., Heeb, F. and Kölbel, J.F. (2022), "The economic impact of ESG ratings", SAFE working paper No. 439, Leibniz Institute for Financial Research SAFE, Frankfurt am Main, available at: https://ssrn.com/abstract=4088545.</w:t>
      </w:r>
    </w:p>
    <w:p>
      <w:pPr>
        <w:spacing w:line="360" w:lineRule="auto" w:after="80" w:before="0"/>
        <w:ind w:left="432" w:hanging="432"/>
      </w:pPr>
      <w:r>
        <w:rPr/>
        <w:t xml:space="preserve">Berg, F., Kölbel, J.F. and Rigobon, R. (2022), "Aggregate confusion: the divergence of ESG ratings", </w:t>
      </w:r>
      <w:r>
        <w:rPr>
          <w:i/>
        </w:rPr>
        <w:t>Review of Finance</w:t>
      </w:r>
      <w:r>
        <w:rPr/>
        <w:t>, Vol. 26 No. 6, pp. 1315-1344, doi: 10.1093/rof/rfac033.</w:t>
      </w:r>
    </w:p>
    <w:p>
      <w:pPr>
        <w:spacing w:line="360" w:lineRule="auto" w:after="80" w:before="0"/>
        <w:ind w:left="432" w:hanging="432"/>
      </w:pPr>
      <w:r>
        <w:rPr/>
        <w:t>Bernama (2022), "Bursa Malaysia signs sustainability MoU with London Stock Exchange Group", 2 November, available at: https://www.bernama.com/en/news.php?id=2134522.</w:t>
      </w:r>
    </w:p>
    <w:p>
      <w:pPr>
        <w:spacing w:line="360" w:lineRule="auto" w:after="80" w:before="0"/>
        <w:ind w:left="432" w:hanging="432"/>
      </w:pPr>
      <w:r>
        <w:rPr/>
        <w:t xml:space="preserve">Bikmetova, N. and Pirinsky, C.A. (2026), "Do ESG rating agencies improve ESG performance?", </w:t>
      </w:r>
      <w:r>
        <w:rPr>
          <w:i/>
        </w:rPr>
        <w:t>Journal of Business Ethics</w:t>
      </w:r>
      <w:r>
        <w:rPr/>
        <w:t>, Vol. 204 No. 2, pp. 335-365, doi: 10.1007/s10551-025-06063-0.</w:t>
      </w:r>
    </w:p>
    <w:p>
      <w:pPr>
        <w:spacing w:line="360" w:lineRule="auto" w:after="80" w:before="0"/>
        <w:ind w:left="432" w:hanging="432"/>
      </w:pPr>
      <w:r>
        <w:rPr/>
        <w:t>Bursa Malaysia (2015), Sustainability Reporting Guide, Bursa Malaysia Berhad, Kuala Lumpur.</w:t>
      </w:r>
    </w:p>
    <w:p>
      <w:pPr>
        <w:spacing w:line="360" w:lineRule="auto" w:after="80" w:before="0"/>
        <w:ind w:left="432" w:hanging="432"/>
      </w:pPr>
      <w:r>
        <w:rPr/>
        <w:t xml:space="preserve">Callaway, B. and Sant'Anna, P.H.C. (2021), "Difference-in-differences with multiple time periods", </w:t>
      </w:r>
      <w:r>
        <w:rPr>
          <w:i/>
        </w:rPr>
        <w:t>Journal of Econometrics</w:t>
      </w:r>
      <w:r>
        <w:rPr/>
        <w:t>, Vol. 225 No. 2, pp. 200-230, doi: 10.1016/j.jeconom.2020.12.001.</w:t>
      </w:r>
    </w:p>
    <w:p>
      <w:pPr>
        <w:spacing w:line="360" w:lineRule="auto" w:after="80" w:before="0"/>
        <w:ind w:left="432" w:hanging="432"/>
      </w:pPr>
      <w:r>
        <w:rPr/>
        <w:t xml:space="preserve">Chen, H., Noronha, G. and Singal, V. (2004), "The price response to S&amp;P 500 index additions and deletions: evidence of asymmetry and a new explanation", </w:t>
      </w:r>
      <w:r>
        <w:rPr>
          <w:i/>
        </w:rPr>
        <w:t>The Journal of Finance</w:t>
      </w:r>
      <w:r>
        <w:rPr/>
        <w:t>, Vol. 59 No. 4, pp. 1901-1929, doi: 10.1111/j.1540-6261.2004.00683.x.</w:t>
      </w:r>
    </w:p>
    <w:p>
      <w:pPr>
        <w:spacing w:line="360" w:lineRule="auto" w:after="80" w:before="0"/>
        <w:ind w:left="432" w:hanging="432"/>
      </w:pPr>
      <w:r>
        <w:rPr/>
        <w:t xml:space="preserve">Christensen, D.M., Serafeim, G. and Sikochi, A. (2022), "Why is corporate virtue in the eye of the beholder? The case of ESG ratings", </w:t>
      </w:r>
      <w:r>
        <w:rPr>
          <w:i/>
        </w:rPr>
        <w:t>The Accounting Review</w:t>
      </w:r>
      <w:r>
        <w:rPr/>
        <w:t>, Vol. 97 No. 1, pp. 147-175, doi: 10.2308/TAR-2019-0506.</w:t>
      </w:r>
    </w:p>
    <w:p>
      <w:pPr>
        <w:spacing w:line="360" w:lineRule="auto" w:after="80" w:before="0"/>
        <w:ind w:left="432" w:hanging="432"/>
      </w:pPr>
      <w:r>
        <w:rPr/>
        <w:t xml:space="preserve">Demiroglu, C. and Ryngaert, M.D. (2010), "The first analyst coverage of neglected stocks", </w:t>
      </w:r>
      <w:r>
        <w:rPr>
          <w:i/>
        </w:rPr>
        <w:t>Financial Management</w:t>
      </w:r>
      <w:r>
        <w:rPr/>
        <w:t>, Vol. 39 No. 2, pp. 555-584, doi: 10.1111/j.1755-053X.2010.01084.x.</w:t>
      </w:r>
    </w:p>
    <w:p>
      <w:pPr>
        <w:spacing w:line="360" w:lineRule="auto" w:after="80" w:before="0"/>
        <w:ind w:left="432" w:hanging="432"/>
      </w:pPr>
      <w:r>
        <w:rPr/>
        <w:t xml:space="preserve">Dobrick, J., Klein, C. and Zwergel, B. (2023), "Size bias in Refinitiv ESG data", </w:t>
      </w:r>
      <w:r>
        <w:rPr>
          <w:i/>
        </w:rPr>
        <w:t>Finance Research Letters</w:t>
      </w:r>
      <w:r>
        <w:rPr/>
        <w:t>, Vol. 55, 104014, doi: 10.1016/j.frl.2023.104014.</w:t>
      </w:r>
    </w:p>
    <w:p>
      <w:pPr>
        <w:spacing w:line="360" w:lineRule="auto" w:after="80" w:before="0"/>
        <w:ind w:left="432" w:hanging="432"/>
      </w:pPr>
      <w:r>
        <w:rPr/>
        <w:t xml:space="preserve">Drempetic, S., Klein, C. and Zwergel, B. (2020), "The influence of firm size on the ESG score: corporate sustainability ratings under review", </w:t>
      </w:r>
      <w:r>
        <w:rPr>
          <w:i/>
        </w:rPr>
        <w:t>Journal of Business Ethics</w:t>
      </w:r>
      <w:r>
        <w:rPr/>
        <w:t>, Vol. 167 No. 2, pp. 333-360, doi: 10.1007/s10551-019-04164-1.</w:t>
      </w:r>
    </w:p>
    <w:p>
      <w:pPr>
        <w:spacing w:line="360" w:lineRule="auto" w:after="80" w:before="0"/>
        <w:ind w:left="432" w:hanging="432"/>
      </w:pPr>
      <w:r>
        <w:rPr/>
        <w:t xml:space="preserve">Durand, R., Paugam, L. and Stolowy, H. (2019), "Do investors actually value sustainability indices? Replication, development, and new evidence on CSR visibility", </w:t>
      </w:r>
      <w:r>
        <w:rPr>
          <w:i/>
        </w:rPr>
        <w:t>Strategic Management Journal</w:t>
      </w:r>
      <w:r>
        <w:rPr/>
        <w:t>, Vol. 40 No. 9, pp. 1471-1490, doi: 10.1002/smj.3035.</w:t>
      </w:r>
    </w:p>
    <w:p>
      <w:pPr>
        <w:spacing w:line="360" w:lineRule="auto" w:after="80" w:before="0"/>
        <w:ind w:left="432" w:hanging="432"/>
      </w:pPr>
      <w:r>
        <w:rPr/>
        <w:t xml:space="preserve">Gibson Brandon, R., Krueger, P. and Schmidt, P.S. (2021), "ESG rating disagreement and stock returns", </w:t>
      </w:r>
      <w:r>
        <w:rPr>
          <w:i/>
        </w:rPr>
        <w:t>Financial Analysts Journal</w:t>
      </w:r>
      <w:r>
        <w:rPr/>
        <w:t>, Vol. 77 No. 4, pp. 104-127, doi: 10.1080/0015198X.2021.1963186.</w:t>
      </w:r>
    </w:p>
    <w:p>
      <w:pPr>
        <w:spacing w:line="360" w:lineRule="auto" w:after="80" w:before="0"/>
        <w:ind w:left="432" w:hanging="432"/>
      </w:pPr>
      <w:r>
        <w:rPr/>
        <w:t xml:space="preserve">Goodman-Bacon, A. (2021), "Difference-in-differences with variation in treatment timing", </w:t>
      </w:r>
      <w:r>
        <w:rPr>
          <w:i/>
        </w:rPr>
        <w:t>Journal of Econometrics</w:t>
      </w:r>
      <w:r>
        <w:rPr/>
        <w:t>, Vol. 225 No. 2, pp. 254-277, doi: 10.1016/j.jeconom.2021.03.014.</w:t>
      </w:r>
    </w:p>
    <w:p>
      <w:pPr>
        <w:spacing w:line="360" w:lineRule="auto" w:after="80" w:before="0"/>
        <w:ind w:left="432" w:hanging="432"/>
      </w:pPr>
      <w:r>
        <w:rPr/>
        <w:t xml:space="preserve">Harris, L. and Gurel, E. (1986), "Price and volume effects associated with changes in the S&amp;P 500 list: new evidence for the existence of price pressures", </w:t>
      </w:r>
      <w:r>
        <w:rPr>
          <w:i/>
        </w:rPr>
        <w:t>The Journal of Finance</w:t>
      </w:r>
      <w:r>
        <w:rPr/>
        <w:t>, Vol. 41 No. 4, pp. 815-829, doi: 10.1111/j.1540-6261.1986.tb04550.x.</w:t>
      </w:r>
    </w:p>
    <w:p>
      <w:pPr>
        <w:spacing w:line="360" w:lineRule="auto" w:after="80" w:before="0"/>
        <w:ind w:left="432" w:hanging="432"/>
      </w:pPr>
      <w:r>
        <w:rPr/>
        <w:t xml:space="preserve">Hartzmark, S.M. and Sussman, A.B. (2019), "Do investors value sustainability? A natural experiment examining ranking and fund flows", </w:t>
      </w:r>
      <w:r>
        <w:rPr>
          <w:i/>
        </w:rPr>
        <w:t>The Journal of Finance</w:t>
      </w:r>
      <w:r>
        <w:rPr/>
        <w:t>, Vol. 74 No. 6, pp. 2789-2837, doi: 10.1111/jofi.12841.</w:t>
      </w:r>
    </w:p>
    <w:p>
      <w:pPr>
        <w:spacing w:line="360" w:lineRule="auto" w:after="80" w:before="0"/>
        <w:ind w:left="432" w:hanging="432"/>
      </w:pPr>
      <w:r>
        <w:rPr/>
        <w:t xml:space="preserve">Hawn, O., Chatterji, A.K. and Mitchell, W. (2018), "Do investors actually value sustainability? New evidence from investor reactions to the Dow Jones Sustainability Index (DJSI)", </w:t>
      </w:r>
      <w:r>
        <w:rPr>
          <w:i/>
        </w:rPr>
        <w:t>Strategic Management Journal</w:t>
      </w:r>
      <w:r>
        <w:rPr/>
        <w:t>, Vol. 39 No. 4, pp. 949-976, doi: 10.1002/smj.2752.</w:t>
      </w:r>
    </w:p>
    <w:p>
      <w:pPr>
        <w:spacing w:line="360" w:lineRule="auto" w:after="80" w:before="0"/>
        <w:ind w:left="432" w:hanging="432"/>
      </w:pPr>
      <w:r>
        <w:rPr/>
        <w:t xml:space="preserve">Kelly, B. and Ljungqvist, A. (2012), "Testing asymmetric-information asset pricing models", </w:t>
      </w:r>
      <w:r>
        <w:rPr>
          <w:i/>
        </w:rPr>
        <w:t>The Review of Financial Studies</w:t>
      </w:r>
      <w:r>
        <w:rPr/>
        <w:t>, Vol. 25 No. 5, pp. 1366-1413, doi: 10.1093/rfs/hhr134.</w:t>
      </w:r>
    </w:p>
    <w:p>
      <w:pPr>
        <w:spacing w:line="360" w:lineRule="auto" w:after="80" w:before="0"/>
        <w:ind w:left="432" w:hanging="432"/>
      </w:pPr>
      <w:r>
        <w:rPr/>
        <w:t xml:space="preserve">Krueger, P., Sautner, Z., Tang, D.Y. and Zhong, R. (2024), "The effects of mandatory ESG disclosure around the world", </w:t>
      </w:r>
      <w:r>
        <w:rPr>
          <w:i/>
        </w:rPr>
        <w:t>Journal of Accounting Research</w:t>
      </w:r>
      <w:r>
        <w:rPr/>
        <w:t>, Vol. 62 No. 5, pp. 1795-1847, doi: 10.1111/1475-679X.12548.</w:t>
      </w:r>
    </w:p>
    <w:p>
      <w:pPr>
        <w:spacing w:line="360" w:lineRule="auto" w:after="80" w:before="0"/>
        <w:ind w:left="432" w:hanging="432"/>
      </w:pPr>
      <w:r>
        <w:rPr/>
        <w:t>LSEG (2025), LSEG ESG Scores (ESG Score Field), Annual, 2014-2024, dataset, LSEG Workspace.</w:t>
      </w:r>
    </w:p>
    <w:p>
      <w:pPr>
        <w:spacing w:line="360" w:lineRule="auto" w:after="80" w:before="0"/>
        <w:ind w:left="432" w:hanging="432"/>
      </w:pPr>
      <w:r>
        <w:rPr/>
        <w:t xml:space="preserve">Merton, R.C. (1987), "A simple model of capital market equilibrium with incomplete information", </w:t>
      </w:r>
      <w:r>
        <w:rPr>
          <w:i/>
        </w:rPr>
        <w:t>The Journal of Finance</w:t>
      </w:r>
      <w:r>
        <w:rPr/>
        <w:t>, Vol. 42 No. 3, pp. 483-510, doi: 10.1111/j.1540-6261.1987.tb04565.x.</w:t>
      </w:r>
    </w:p>
    <w:p>
      <w:pPr>
        <w:spacing w:line="360" w:lineRule="auto" w:after="80" w:before="0"/>
        <w:ind w:left="432" w:hanging="432"/>
      </w:pPr>
      <w:r>
        <w:rPr/>
        <w:t>Otoritas Jasa Keuangan (2017), Peraturan Otoritas Jasa Keuangan Nomor 51/POJK.03/2017 tentang Penerapan Keuangan Berkelanjutan bagi Lembaga Jasa Keuangan, Emiten, dan Perusahaan Publik [Regulation on the application of sustainable finance to financial services institutions, issuers, and public companies], Otoritas Jasa Keuangan, Jakarta.</w:t>
      </w:r>
    </w:p>
    <w:p>
      <w:pPr>
        <w:spacing w:line="360" w:lineRule="auto" w:after="80" w:before="0"/>
        <w:ind w:left="432" w:hanging="432"/>
      </w:pPr>
      <w:r>
        <w:rPr/>
        <w:t xml:space="preserve">Pástor, Ľ., Stambaugh, R.F. and Taylor, L.A. (2021), "Sustainable investing in equilibrium", </w:t>
      </w:r>
      <w:r>
        <w:rPr>
          <w:i/>
        </w:rPr>
        <w:t>Journal of Financial Economics</w:t>
      </w:r>
      <w:r>
        <w:rPr/>
        <w:t>, Vol. 142 No. 2, pp. 550-571, doi: 10.1016/j.jfineco.2020.12.011.</w:t>
      </w:r>
    </w:p>
    <w:p>
      <w:pPr>
        <w:spacing w:line="360" w:lineRule="auto" w:after="80" w:before="0"/>
        <w:ind w:left="432" w:hanging="432"/>
      </w:pPr>
      <w:r>
        <w:rPr/>
        <w:t xml:space="preserve">Pástor, Ľ., Stambaugh, R.F. and Taylor, L.A. (2022), "Dissecting green returns", </w:t>
      </w:r>
      <w:r>
        <w:rPr>
          <w:i/>
        </w:rPr>
        <w:t>Journal of Financial Economics</w:t>
      </w:r>
      <w:r>
        <w:rPr/>
        <w:t>, Vol. 146 No. 2, pp. 403-424, doi: 10.1016/j.jfineco.2022.07.007.</w:t>
      </w:r>
    </w:p>
    <w:p>
      <w:pPr>
        <w:spacing w:line="360" w:lineRule="auto" w:after="80" w:before="0"/>
        <w:ind w:left="432" w:hanging="432"/>
      </w:pPr>
      <w:r>
        <w:rPr/>
        <w:t xml:space="preserve">Pedersen, L.H., Fitzgibbons, S. and Pomorski, L. (2021), "Responsible investing: the ESG-efficient frontier", </w:t>
      </w:r>
      <w:r>
        <w:rPr>
          <w:i/>
        </w:rPr>
        <w:t>Journal of Financial Economics</w:t>
      </w:r>
      <w:r>
        <w:rPr/>
        <w:t>, Vol. 142 No. 2, pp. 572-597, doi: 10.1016/j.jfineco.2020.11.001.</w:t>
      </w:r>
    </w:p>
    <w:p>
      <w:pPr>
        <w:spacing w:line="360" w:lineRule="auto" w:after="80" w:before="0"/>
        <w:ind w:left="432" w:hanging="432"/>
      </w:pPr>
      <w:r>
        <w:rPr/>
        <w:t xml:space="preserve">Rambachan, A. and Roth, J. (2023), "A more credible approach to parallel trends", </w:t>
      </w:r>
      <w:r>
        <w:rPr>
          <w:i/>
        </w:rPr>
        <w:t>The Review of Economic Studies</w:t>
      </w:r>
      <w:r>
        <w:rPr/>
        <w:t>, Vol. 90 No. 5, pp. 2555-2591, doi: 10.1093/restud/rdad018.</w:t>
      </w:r>
    </w:p>
    <w:p>
      <w:pPr>
        <w:spacing w:line="360" w:lineRule="auto" w:after="80" w:before="0"/>
        <w:ind w:left="432" w:hanging="432"/>
      </w:pPr>
      <w:r>
        <w:rPr/>
        <w:t xml:space="preserve">Roth, J. (2022), "Pretest with caution: event-study estimates after testing for parallel trends", </w:t>
      </w:r>
      <w:r>
        <w:rPr>
          <w:i/>
        </w:rPr>
        <w:t>American Economic Review: Insights</w:t>
      </w:r>
      <w:r>
        <w:rPr/>
        <w:t>, Vol. 4 No. 3, pp. 305-322, doi: 10.1257/aeri.20210236.</w:t>
      </w:r>
    </w:p>
    <w:p>
      <w:pPr>
        <w:spacing w:line="360" w:lineRule="auto" w:after="80" w:before="0"/>
        <w:ind w:left="432" w:hanging="432"/>
      </w:pPr>
      <w:r>
        <w:rPr/>
        <w:t>S&amp;P Global Market Intelligence (2025), Compustat Global, Annual Fundamentals, 2014-2024, dataset, S&amp;P Global Market Intelligence.</w:t>
      </w:r>
    </w:p>
    <w:p>
      <w:pPr>
        <w:spacing w:line="360" w:lineRule="auto" w:after="80" w:before="0"/>
        <w:ind w:left="432" w:hanging="432"/>
      </w:pPr>
      <w:r>
        <w:rPr/>
        <w:t xml:space="preserve">Sahin, Ö., Bax, K., Paterlini, S. and Czado, C. (2023), "The pitfalls of (non-definitive) environmental, social, and governance scoring methodology", </w:t>
      </w:r>
      <w:r>
        <w:rPr>
          <w:i/>
        </w:rPr>
        <w:t>Global Finance Journal</w:t>
      </w:r>
      <w:r>
        <w:rPr/>
        <w:t>, Vol. 56, 100780, doi: 10.1016/j.gfj.2022.100780.</w:t>
      </w:r>
    </w:p>
    <w:p>
      <w:pPr>
        <w:spacing w:line="360" w:lineRule="auto" w:after="80" w:before="0"/>
        <w:ind w:left="432" w:hanging="432"/>
      </w:pPr>
      <w:r>
        <w:rPr/>
        <w:t xml:space="preserve">Sant'Anna, P.H.C. and Zhao, J. (2020), "Doubly robust difference-in-differences estimators", </w:t>
      </w:r>
      <w:r>
        <w:rPr>
          <w:i/>
        </w:rPr>
        <w:t>Journal of Econometrics</w:t>
      </w:r>
      <w:r>
        <w:rPr/>
        <w:t>, Vol. 219 No. 1, pp. 101-122, doi: 10.1016/j.jeconom.2020.06.003.</w:t>
      </w:r>
    </w:p>
    <w:p>
      <w:pPr>
        <w:spacing w:line="360" w:lineRule="auto" w:after="80" w:before="0"/>
        <w:ind w:left="432" w:hanging="432"/>
      </w:pPr>
      <w:r>
        <w:rPr/>
        <w:t>Securities and Exchange Commission Philippines (2019), "Memorandum Circular No. 4, series of 2019: sustainability reporting guidelines for publicly-listed companies", available at: https://www.sec.gov.ph/wp-content/uploads/2020/09/2019MCNo4.pdf.</w:t>
      </w:r>
    </w:p>
    <w:p>
      <w:pPr>
        <w:spacing w:line="360" w:lineRule="auto" w:after="80" w:before="0"/>
        <w:ind w:left="432" w:hanging="432"/>
      </w:pPr>
      <w:r>
        <w:rPr/>
        <w:t xml:space="preserve">Serafeim, G. and Yoon, A. (2023), "Stock price reactions to ESG news: the role of ESG ratings and disagreement", </w:t>
      </w:r>
      <w:r>
        <w:rPr>
          <w:i/>
        </w:rPr>
        <w:t>Review of Accounting Studies</w:t>
      </w:r>
      <w:r>
        <w:rPr/>
        <w:t>, Vol. 28 No. 3, pp. 1500-1530, doi: 10.1007/s11142-022-09675-3.</w:t>
      </w:r>
    </w:p>
    <w:p>
      <w:pPr>
        <w:spacing w:line="360" w:lineRule="auto" w:after="80" w:before="0"/>
        <w:ind w:left="432" w:hanging="432"/>
      </w:pPr>
      <w:r>
        <w:rPr/>
        <w:t xml:space="preserve">Shanaev, S. and Ghimire, B. (2022), "When ESG meets AAA: the effect of ESG rating changes on stock returns", </w:t>
      </w:r>
      <w:r>
        <w:rPr>
          <w:i/>
        </w:rPr>
        <w:t>Finance Research Letters</w:t>
      </w:r>
      <w:r>
        <w:rPr/>
        <w:t>, Vol. 46 Part A, 102302, doi: 10.1016/j.frl.2021.102302.</w:t>
      </w:r>
    </w:p>
    <w:p>
      <w:pPr>
        <w:spacing w:line="360" w:lineRule="auto" w:after="80" w:before="0"/>
        <w:ind w:left="432" w:hanging="432"/>
      </w:pPr>
      <w:r>
        <w:rPr/>
        <w:t xml:space="preserve">Shleifer, A. (1986), "Do demand curves for stocks slope down?", </w:t>
      </w:r>
      <w:r>
        <w:rPr>
          <w:i/>
        </w:rPr>
        <w:t>The Journal of Finance</w:t>
      </w:r>
      <w:r>
        <w:rPr/>
        <w:t>, Vol. 41 No. 3, pp. 579-590, doi: 10.1111/j.1540-6261.1986.tb04518.x.</w:t>
      </w:r>
    </w:p>
    <w:p>
      <w:pPr>
        <w:spacing w:line="360" w:lineRule="auto" w:after="80" w:before="0"/>
        <w:ind w:left="432" w:hanging="432"/>
      </w:pPr>
      <w:r>
        <w:rPr/>
        <w:t>Singapore Exchange (2016), "SGX Mainboard Rules 711A and 711B: sustainability report", SGX Rulebook, available at: https://rulebook.sgx.com/rulebook/711a.</w:t>
      </w:r>
    </w:p>
    <w:p>
      <w:pPr>
        <w:spacing w:line="360" w:lineRule="auto" w:after="80" w:before="0"/>
        <w:ind w:left="432" w:hanging="432"/>
      </w:pPr>
      <w:r>
        <w:rPr/>
        <w:t>Tilleke &amp; Gibbins (2020), "Thailand's SEC unifies annual report for listed companies", September, available at: https://www.tilleke.com/insights/thailands-sec-unifies-annual-report-listed-companies/.</w:t>
      </w:r>
    </w:p>
    <w:p>
      <w:pPr>
        <w:spacing w:line="360" w:lineRule="auto" w:after="80" w:before="0"/>
        <w:ind w:left="432" w:hanging="432"/>
      </w:pPr>
      <w:r>
        <w:rPr/>
        <w:t xml:space="preserve">Tsang, A., Wang, Y., Xiang, Y. and Yu, L. (2024), "The rise of ESG rating agencies and management of corporate ESG violations", </w:t>
      </w:r>
      <w:r>
        <w:rPr>
          <w:i/>
        </w:rPr>
        <w:t>Journal of Banking &amp; Finance</w:t>
      </w:r>
      <w:r>
        <w:rPr/>
        <w:t>, Vol. 169, 107312, doi: 10.1016/j.jbankfin.2024.107312.</w:t>
      </w:r>
    </w:p>
    <w:p>
      <w:pPr>
        <w:spacing w:line="360" w:lineRule="auto" w:after="80" w:before="0"/>
        <w:ind w:left="432" w:hanging="432"/>
      </w:pPr>
      <w:r>
        <w:rPr/>
        <w:t xml:space="preserve">Tsang, A., Wang, Y., Xiang, Y. and Yu, L. (2025), "ESG ratings and dividend changes: evidence from the initiation of nonfinancial agency coverage", </w:t>
      </w:r>
      <w:r>
        <w:rPr>
          <w:i/>
        </w:rPr>
        <w:t>Corporate Governance: An International Review</w:t>
      </w:r>
      <w:r>
        <w:rPr/>
        <w:t>, Vol. 33 No. 4, pp. 554-577, doi: 10.1111/corg.12615.</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