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 w:before="0"/>
      </w:pPr>
      <w:r>
        <w:rPr>
          <w:b/>
          <w:sz w:val="20"/>
        </w:rPr>
        <w:t>Table 1.</w:t>
      </w:r>
      <w:r>
        <w:t xml:space="preserve">  </w:t>
      </w:r>
      <w:r>
        <w:rPr>
          <w:sz w:val="20"/>
        </w:rPr>
        <w:t>Characteristics of scored firms in the base year and of never-scored firm-years</w:t>
      </w:r>
    </w:p>
    <w:tbl>
      <w:tblPr>
        <w:tblW w:type="auto" w:w="0"/>
        <w:jc w:val="center"/>
        <w:tblLayout w:type="fixed"/>
        <w:tblCellMar>
          <w:top w:w="30" w:type="dxa"/>
          <w:left w:w="85" w:type="dxa"/>
          <w:bottom w:w="30" w:type="dxa"/>
          <w:right w:w="85" w:type="dxa"/>
        </w:tblCellMar>
        <w:tblLook w:firstColumn="1" w:firstRow="1" w:lastColumn="0" w:lastRow="0" w:noHBand="0" w:noVBand="1" w:val="04A0"/>
      </w:tblPr>
      <w:tblGrid>
        <w:gridCol w:w="2448"/>
        <w:gridCol w:w="936"/>
        <w:gridCol w:w="936"/>
        <w:gridCol w:w="792"/>
        <w:gridCol w:w="1007"/>
        <w:gridCol w:w="1007"/>
        <w:gridCol w:w="936"/>
        <w:gridCol w:w="1152"/>
      </w:tblGrid>
      <w:tr>
        <w:tc>
          <w:tcPr>
            <w:tcW w:type="dxa" w:w="244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Variable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Scored mean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Scored median</w:t>
            </w:r>
          </w:p>
        </w:tc>
        <w:tc>
          <w:tcPr>
            <w:tcW w:type="dxa" w:w="79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Scored 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Never-scored mean</w:t>
            </w:r>
          </w:p>
        </w:tc>
        <w:tc>
          <w:tcPr>
            <w:tcW w:type="dxa" w:w="1008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Never-scored median</w:t>
            </w:r>
          </w:p>
        </w:tc>
        <w:tc>
          <w:tcPr>
            <w:tcW w:type="dxa" w:w="93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Never-scored N</w:t>
            </w:r>
          </w:p>
        </w:tc>
        <w:tc>
          <w:tcPr>
            <w:tcW w:type="dxa" w:w="115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Norm. diff.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Market-to-book ratio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2.37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1.26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629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1.84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0.95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20,706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Market capitalization (USD million)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762.5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203.2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655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157.3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42.2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22,417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0.69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Book leverage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0.235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0.217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632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0.241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0.205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22,333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−0.04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Total assets (USD million)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882.1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294.3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655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238.0</w:t>
            </w:r>
          </w:p>
        </w:tc>
        <w:tc>
          <w:tcPr>
            <w:tcW w:type="dxa" w:w="1008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68.7</w:t>
            </w:r>
          </w:p>
        </w:tc>
        <w:tc>
          <w:tcPr>
            <w:tcW w:type="dxa" w:w="9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24,814</w:t>
            </w:r>
          </w:p>
        </w:tc>
        <w:tc>
          <w:tcPr>
            <w:tcW w:type="dxa" w:w="115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2448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Return on assets</w:t>
            </w:r>
          </w:p>
        </w:tc>
        <w:tc>
          <w:tcPr>
            <w:tcW w:type="dxa" w:w="93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0.064</w:t>
            </w:r>
          </w:p>
        </w:tc>
        <w:tc>
          <w:tcPr>
            <w:tcW w:type="dxa" w:w="93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0.057</w:t>
            </w:r>
          </w:p>
        </w:tc>
        <w:tc>
          <w:tcPr>
            <w:tcW w:type="dxa" w:w="79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385</w:t>
            </w:r>
          </w:p>
        </w:tc>
        <w:tc>
          <w:tcPr>
            <w:tcW w:type="dxa" w:w="100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0.045</w:t>
            </w:r>
          </w:p>
        </w:tc>
        <w:tc>
          <w:tcPr>
            <w:tcW w:type="dxa" w:w="1008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</w:t>
            </w:r>
          </w:p>
        </w:tc>
        <w:tc>
          <w:tcPr>
            <w:tcW w:type="dxa" w:w="93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5,614</w:t>
            </w:r>
          </w:p>
        </w:tc>
        <w:tc>
          <w:tcPr>
            <w:tcW w:type="dxa" w:w="115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0.21</w:t>
            </w:r>
          </w:p>
        </w:tc>
      </w:tr>
    </w:tbl>
    <w:p>
      <w:pPr>
        <w:spacing w:line="240" w:lineRule="auto" w:after="40" w:before="0"/>
      </w:pPr>
      <w:r>
        <w:rPr>
          <w:b/>
          <w:sz w:val="18"/>
        </w:rPr>
        <w:t>Note(s):</w:t>
      </w:r>
      <w:r>
        <w:t xml:space="preserve"> </w:t>
      </w:r>
      <w:r>
        <w:rPr>
          <w:sz w:val="18"/>
        </w:rPr>
        <w:t>Scored firms are measured in the year before their first LSEG ESG score; never-scored firms contribute all firm-years from 2014 to 2024. Norm. diff. is the difference in means divided by the square root of the average of the two variances.</w:t>
      </w:r>
    </w:p>
    <w:p>
      <w:pPr>
        <w:spacing w:line="240" w:lineRule="auto" w:after="40" w:before="0"/>
      </w:pPr>
      <w:r>
        <w:rPr>
          <w:b/>
          <w:sz w:val="18"/>
        </w:rPr>
        <w:t>Source(s):</w:t>
      </w:r>
      <w:r>
        <w:t xml:space="preserve"> </w:t>
      </w:r>
      <w:r>
        <w:rPr>
          <w:sz w:val="18"/>
        </w:rPr>
        <w:t>Authors' own work based on LSEG ESG scores and Compustat Global data</w:t>
      </w:r>
    </w:p>
    <w:p>
      <w:r>
        <w:br w:type="page"/>
      </w:r>
    </w:p>
    <w:p>
      <w:pPr>
        <w:spacing w:line="240" w:lineRule="auto" w:after="120" w:before="0"/>
      </w:pPr>
      <w:r>
        <w:rPr>
          <w:b/>
          <w:sz w:val="20"/>
        </w:rPr>
        <w:t>Table 2.</w:t>
      </w:r>
      <w:r>
        <w:t xml:space="preserve">  </w:t>
      </w:r>
      <w:r>
        <w:rPr>
          <w:sz w:val="20"/>
        </w:rPr>
        <w:t>Average effect of the first LSEG ESG score over event years 0 to 3</w:t>
      </w:r>
    </w:p>
    <w:tbl>
      <w:tblPr>
        <w:tblW w:type="auto" w:w="0"/>
        <w:jc w:val="center"/>
        <w:tblLayout w:type="fixed"/>
        <w:tblCellMar>
          <w:top w:w="30" w:type="dxa"/>
          <w:left w:w="85" w:type="dxa"/>
          <w:bottom w:w="30" w:type="dxa"/>
          <w:right w:w="85" w:type="dxa"/>
        </w:tblCellMar>
        <w:tblLook w:firstColumn="1" w:firstRow="1" w:lastColumn="0" w:lastRow="0" w:noHBand="0" w:noVBand="1" w:val="04A0"/>
      </w:tblPr>
      <w:tblGrid>
        <w:gridCol w:w="2232"/>
        <w:gridCol w:w="864"/>
        <w:gridCol w:w="720"/>
        <w:gridCol w:w="1655"/>
        <w:gridCol w:w="864"/>
        <w:gridCol w:w="720"/>
        <w:gridCol w:w="864"/>
        <w:gridCol w:w="792"/>
        <w:gridCol w:w="864"/>
      </w:tblGrid>
      <w:tr>
        <w:tc>
          <w:tcPr>
            <w:tcW w:type="dxa" w:w="223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Outcome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ATT</w:t>
            </w:r>
          </w:p>
        </w:tc>
        <w:tc>
          <w:tcPr>
            <w:tcW w:type="dxa" w:w="72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SE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95% CI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p-value</w:t>
            </w:r>
          </w:p>
        </w:tc>
        <w:tc>
          <w:tcPr>
            <w:tcW w:type="dxa" w:w="720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MDE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Pre-trend p</w:t>
            </w:r>
          </w:p>
        </w:tc>
        <w:tc>
          <w:tcPr>
            <w:tcW w:type="dxa" w:w="792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Scored firms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Control firms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0.024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[−0.046, 0.048]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0.936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0.067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0.074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628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2,412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−0.055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0.030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[−0.109, 0.003]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0.134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0.084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0.022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635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2,447</w:t>
            </w:r>
          </w:p>
        </w:tc>
      </w:tr>
      <w:tr>
        <w:tc>
          <w:tcPr>
            <w:tcW w:type="dxa" w:w="223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0.008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0.005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[−0.001, 0.018]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0.134</w:t>
            </w:r>
          </w:p>
        </w:tc>
        <w:tc>
          <w:tcPr>
            <w:tcW w:type="dxa" w:w="720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0.014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792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631</w:t>
            </w:r>
          </w:p>
        </w:tc>
        <w:tc>
          <w:tcPr>
            <w:tcW w:type="dxa" w:w="864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2,520</w:t>
            </w:r>
          </w:p>
        </w:tc>
      </w:tr>
      <w:tr>
        <w:tc>
          <w:tcPr>
            <w:tcW w:type="dxa" w:w="2232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ln(assets)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0.044</w:t>
            </w:r>
          </w:p>
        </w:tc>
        <w:tc>
          <w:tcPr>
            <w:tcW w:type="dxa" w:w="72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0.018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[0.007, 0.081]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0.053</w:t>
            </w:r>
          </w:p>
        </w:tc>
        <w:tc>
          <w:tcPr>
            <w:tcW w:type="dxa" w:w="720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0.051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0.083</w:t>
            </w:r>
          </w:p>
        </w:tc>
        <w:tc>
          <w:tcPr>
            <w:tcW w:type="dxa" w:w="792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655</w:t>
            </w:r>
          </w:p>
        </w:tc>
        <w:tc>
          <w:tcPr>
            <w:tcW w:type="dxa" w:w="864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2,603</w:t>
            </w:r>
          </w:p>
        </w:tc>
      </w:tr>
    </w:tbl>
    <w:p>
      <w:pPr>
        <w:spacing w:line="240" w:lineRule="auto" w:after="40" w:before="0"/>
      </w:pPr>
      <w:r>
        <w:rPr>
          <w:b/>
          <w:sz w:val="18"/>
        </w:rPr>
        <w:t>Note(s):</w:t>
      </w:r>
      <w:r>
        <w:t xml:space="preserve"> </w:t>
      </w:r>
      <w:r>
        <w:rPr>
          <w:sz w:val="18"/>
        </w:rPr>
        <w:t>ATT is the average effect over event years 0 to 3 (Eq. 6), with bootstrap standard errors and unadjusted 95% confidence intervals (CI); p-values of the three secondary outcomes are Holm-adjusted. MDE is the minimum detectable effect at 80% power, and pre-trend p is the joint test of Eq. (8).</w:t>
      </w:r>
    </w:p>
    <w:p>
      <w:pPr>
        <w:spacing w:line="240" w:lineRule="auto" w:after="40" w:before="0"/>
      </w:pPr>
      <w:r>
        <w:rPr>
          <w:b/>
          <w:sz w:val="18"/>
        </w:rPr>
        <w:t>Source(s):</w:t>
      </w:r>
      <w:r>
        <w:t xml:space="preserve"> </w:t>
      </w:r>
      <w:r>
        <w:rPr>
          <w:sz w:val="18"/>
        </w:rPr>
        <w:t>Authors' own work based on LSEG ESG scores and Compustat Global data</w:t>
      </w:r>
    </w:p>
    <w:p>
      <w:r>
        <w:br w:type="page"/>
      </w:r>
    </w:p>
    <w:p>
      <w:pPr>
        <w:spacing w:line="240" w:lineRule="auto" w:after="120" w:before="0"/>
      </w:pPr>
      <w:r>
        <w:rPr>
          <w:b/>
          <w:sz w:val="20"/>
        </w:rPr>
        <w:t>Table 3.</w:t>
      </w:r>
      <w:r>
        <w:t xml:space="preserve">  </w:t>
      </w:r>
      <w:r>
        <w:rPr>
          <w:sz w:val="20"/>
        </w:rPr>
        <w:t>Robustness checks, timing of coverage, and heterogeneity by initial ESG score</w:t>
      </w:r>
    </w:p>
    <w:tbl>
      <w:tblPr>
        <w:tblW w:type="auto" w:w="0"/>
        <w:jc w:val="center"/>
        <w:tblLayout w:type="fixed"/>
        <w:tblCellMar>
          <w:top w:w="30" w:type="dxa"/>
          <w:left w:w="85" w:type="dxa"/>
          <w:bottom w:w="30" w:type="dxa"/>
          <w:right w:w="85" w:type="dxa"/>
        </w:tblCellMar>
        <w:tblLook w:firstColumn="1" w:firstRow="1" w:lastColumn="0" w:lastRow="0" w:noHBand="0" w:noVBand="1" w:val="04A0"/>
      </w:tblPr>
      <w:tblGrid>
        <w:gridCol w:w="2736"/>
        <w:gridCol w:w="1655"/>
        <w:gridCol w:w="1655"/>
        <w:gridCol w:w="1655"/>
        <w:gridCol w:w="1655"/>
      </w:tblGrid>
      <w:tr>
        <w:tc>
          <w:tcPr>
            <w:tcW w:type="dxa" w:w="273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Specification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ln(MTB)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ln(market cap)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Leverage (ratio)</w:t>
            </w:r>
          </w:p>
        </w:tc>
        <w:tc>
          <w:tcPr>
            <w:tcW w:type="dxa" w:w="1656"/>
            <w:tcBorders>
              <w:top w:val="single" w:sz="6" w:color="000000"/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ln(assets)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Baseline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 (0.024)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−0.055* (0.030)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0.008*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0.044** (0.018)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R1 Not-yet-scored in controls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−0.001 (0.024)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−0.053* (0.029)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0.009*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0.040** (0.017)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R2 No covariates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0.025 (0.022)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0.016 (0.025)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0.012*** (0.004)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0.011 (0.015)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R3 No 2020–2021 cohorts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0.031 (0.027)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−0.029 (0.036)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0.004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0.020 (0.019)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R4 Size-trimmed controls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0.016 (0.025)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−0.007 (0.031)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0.009*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0.101*** (0.017)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R5 Placebo, 3 years early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0.059*** (0.023)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0.134*** (0.028)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−0.002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0.115*** (0.015)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R6 Two-way fixed effects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0.064** (0.026)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0.185*** (0.032)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0.005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0.117*** (0.022)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R7 Pre-trend removed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−0.052 (0.034)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−0.134*** (0.042)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0.023*** (0.006)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0.011 (0.023)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R8 Pre-coverage growth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0.028 (0.025)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−0.034 (0.032)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0.008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0.043** (0.018)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R9 No Malaysia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−0.003 (0.035)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0.037 (0.038)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0.022*** (0.008)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0.046 (0.029)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R10 Dated 1 year later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−0.068*** (0.024)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−0.073** (0.030)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0.007 (0.005)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−0.006 (0.017)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R11 Cohorts to 2021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−0.008 (0.033)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−0.030 (0.037)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0.013* (0.007)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0.082*** (0.027)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 initial score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−0.019 (0.030)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−0.029 (0.034)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0.009 (0.006)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0.038* (0.022)</w:t>
            </w:r>
          </w:p>
        </w:tc>
      </w:tr>
      <w:tr>
        <w:tc>
          <w:tcPr>
            <w:tcW w:type="dxa" w:w="2736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Low initial score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0.022 (0.033)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−0.081* (0.042)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0.007 (0.006)</w:t>
            </w:r>
          </w:p>
        </w:tc>
        <w:tc>
          <w:tcPr>
            <w:tcW w:type="dxa" w:w="165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0.049** (0.022)</w:t>
            </w:r>
          </w:p>
        </w:tc>
      </w:tr>
      <w:tr>
        <w:tc>
          <w:tcPr>
            <w:tcW w:type="dxa" w:w="2736"/>
            <w:tcBorders>
              <w:bottom w:val="single" w:sz="6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 minus low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−0.041 (0.040)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0.052 (0.047)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0.002 (0.008)</w:t>
            </w:r>
          </w:p>
        </w:tc>
        <w:tc>
          <w:tcPr>
            <w:tcW w:type="dxa" w:w="1656"/>
            <w:tcBorders>
              <w:bottom w:val="single" w:sz="6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−0.011 (0.025)</w:t>
            </w:r>
          </w:p>
        </w:tc>
      </w:tr>
    </w:tbl>
    <w:p>
      <w:pPr>
        <w:spacing w:line="240" w:lineRule="auto" w:after="40" w:before="0"/>
      </w:pPr>
      <w:r>
        <w:rPr>
          <w:b/>
          <w:sz w:val="18"/>
        </w:rPr>
        <w:t>Note(s):</w:t>
      </w:r>
      <w:r>
        <w:t xml:space="preserve"> </w:t>
      </w:r>
      <w:r>
        <w:rPr>
          <w:sz w:val="18"/>
        </w:rPr>
        <w:t>Cells show the average effect over event years 0 to 3 (0 to 2 in R5; the Eq. (11) coefficient in R6), with bootstrap standard errors in parentheses (firm-clustered in R6); R1 to R6 are pre-specified and R7 to R11 exploratory. *, **, and *** denote significance at 10%, 5%, and 1% (unadjusted p-values).</w:t>
      </w:r>
    </w:p>
    <w:p>
      <w:pPr>
        <w:spacing w:line="240" w:lineRule="auto" w:after="40" w:before="0"/>
      </w:pPr>
      <w:r>
        <w:rPr>
          <w:b/>
          <w:sz w:val="18"/>
        </w:rPr>
        <w:t>Source(s):</w:t>
      </w:r>
      <w:r>
        <w:t xml:space="preserve"> </w:t>
      </w:r>
      <w:r>
        <w:rPr>
          <w:sz w:val="18"/>
        </w:rPr>
        <w:t>Authors' own work based on LSEG ESG scores and Compustat Global data</w:t>
      </w:r>
    </w:p>
    <w:sectPr w:rsidR="00FC693F" w:rsidRPr="0006063C" w:rsidSect="00034616">
      <w:footerReference w:type="default" r:id="rId9"/>
      <w:pgSz w:w="12240" w:h="15840"/>
      <w:pgMar w:top="216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