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 This data set also underlies a companion study with a different research question (Nguyen, Nguyen, &amp; Nguyen, GRI adoption and corporate brownwashing: Board governance evidence from ASEAN-5, manuscript under review at the International Journal of Management and Sustainability).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pageBreakBefore/>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pageBreakBefore/>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pageBreakBefore/>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pageBreakBefore/>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(introduced in 2016 and applicable to financial years ending on or after 31 December 2017; the linked page shows the current, amended text).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