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keepNext/>
        <w:spacing w:line="360" w:lineRule="auto" w:after="120" w:before="240"/>
      </w:pPr>
      <w:r>
        <w:rPr>
          <w:b/>
        </w:rPr>
        <w:t>Abstract</w:t>
      </w:r>
    </w:p>
    <w:p>
      <w:pPr>
        <w:spacing w:line="360" w:lineRule="auto" w:after="80" w:before="0"/>
        <w:jc w:val="both"/>
      </w:pPr>
      <w:r>
        <w:rPr>
          <w:b/>
        </w:rPr>
        <w:t>Purpose</w:t>
      </w:r>
      <w:r>
        <w:t xml:space="preserve"> – </w:t>
      </w:r>
      <w:r>
        <w:rPr/>
        <w:t>This study asks which listed firms enter the environmental, social, and governance (ESG) rated universe in emerging markets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using cohort-specific difference-in-differences estimators and a pre-analysis plan.</w:t>
      </w:r>
    </w:p>
    <w:p>
      <w:pPr>
        <w:spacing w:line="360" w:lineRule="auto" w:after="80" w:before="0"/>
        <w:jc w:val="both"/>
      </w:pPr>
      <w:r>
        <w:rPr>
          <w:b/>
        </w:rPr>
        <w:t>Findings</w:t>
      </w:r>
      <w:r>
        <w:t xml:space="preserve"> – </w:t>
      </w:r>
      <w:r>
        <w:rPr/>
        <w:t>Firms that entered through selective coverage waves had outgrown comparable unscored firms beforehand: from five years before the first score to the year before it, their market-to-book (MTB) ratio grew 10.0 percent more. Malaysian firms covered in a wholesale expansion in 2021 and 2022 show no such run-up. Under parallel trends, MTB ratios did not rise after the first score (estimate 0.002; 95% interval −0.046 to 0.048), whatever the level of the score.</w:t>
      </w:r>
    </w:p>
    <w:p>
      <w:pPr>
        <w:spacing w:line="360" w:lineRule="auto" w:after="80" w:before="0"/>
        <w:jc w:val="both"/>
      </w:pPr>
      <w:r>
        <w:rPr>
          <w:b/>
        </w:rPr>
        <w:t>Research limitations/implications</w:t>
      </w:r>
      <w:r>
        <w:t xml:space="preserve"> – </w:t>
      </w:r>
      <w:r>
        <w:rPr/>
        <w:t>The provider chooses when to cover a firm, the data are annual, and departures from parallel trends like those before coverage admit effects of several percent in either direction.</w:t>
      </w:r>
    </w:p>
    <w:p>
      <w:pPr>
        <w:spacing w:line="360" w:lineRule="auto" w:after="80" w:before="0"/>
        <w:jc w:val="both"/>
      </w:pPr>
      <w:r>
        <w:rPr>
          <w:b/>
        </w:rPr>
        <w:t>Practical implications</w:t>
      </w:r>
      <w:r>
        <w:t xml:space="preserve"> – </w:t>
      </w:r>
      <w:r>
        <w:rPr/>
        <w:t>ESG screens, indices, and ESG-premium studies in these markets draw on a scored universe tilted toward firms that have just grown; exchange-wide coverage avoids that tilt.</w:t>
      </w:r>
    </w:p>
    <w:p>
      <w:pPr>
        <w:spacing w:line="360" w:lineRule="auto" w:after="80" w:before="0"/>
        <w:jc w:val="both"/>
      </w:pPr>
      <w:r>
        <w:rPr>
          <w:b/>
        </w:rPr>
        <w:t>Originality/value</w:t>
      </w:r>
      <w:r>
        <w:t xml:space="preserve"> – </w:t>
      </w:r>
      <w:r>
        <w:rPr/>
        <w:t>The study documents selection into ESG rating coverage and its valuation consequences in emerging markets, an event that evidence on rating changes does not cover.</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the five largest Southeast Asian equity markets, most listed firms had no score from London Stock Exchange Group (LSEG), one of the most widely used providers in research and practice,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investors who screen on ESG data, and a broader investor base raises its price (Merton, 1987). Under ESG preferences, investors pay more for assets they can classify as sustainable and less for those they cannot (Pástor </w:t>
      </w:r>
      <w:r>
        <w:rPr>
          <w:i/>
        </w:rPr>
        <w:t>et al.</w:t>
      </w:r>
      <w:r>
        <w:rPr/>
        <w:t xml:space="preserve">, 2021; Pedersen </w:t>
      </w:r>
      <w:r>
        <w:rPr>
          <w:i/>
        </w:rPr>
        <w:t>et al.</w:t>
      </w:r>
      <w:r>
        <w:rPr/>
        <w:t xml:space="preserve">, 2021), so a first score should raise the value of firms revealed as green and lower the value of firms revealed as brown. Evidence on ESG certification events is mixed: additions to the Dow Jones Sustainability Index have little price effect once comparable firms are used as benchmarks (Durand </w:t>
      </w:r>
      <w:r>
        <w:rPr>
          <w:i/>
        </w:rPr>
        <w:t>et al.</w:t>
      </w:r>
      <w:r>
        <w:rPr/>
        <w:t xml:space="preserve">, 2019; Hawn </w:t>
      </w:r>
      <w:r>
        <w:rPr>
          <w:i/>
        </w:rPr>
        <w:t>et al.</w:t>
      </w:r>
      <w:r>
        <w:rPr/>
        <w:t xml:space="preserve">, 2018), whereas downgrades of existing ratings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 scores themselves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comparable never-scored firms before their first scored year (Figure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Second, the run-up depends on how firms entered coverage (Figure 2). It is large in the Thai and Singaporean cohorts of 2019 and 2020 and in the remaining smaller cohorts, but absent in the 289 Malaysian firms first scored in 2021 and 2022, a wave that extended coverage across a whole market. Third, under parallel trends from the base year, the average effect on log MTB over the first four years is 0.002 (95% interval −0.046 to 0.048), and it does not differ between firms with high and low initial scores, before or after the scores are purged of firm size.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When we date coverage one year later, to the first year in which investors could have seen a score, MTB declines by about −6.6 percent relative to never-scored firms. This decline is measured from the end of the run-up, so it cannot separate a reversal of earlier growth from an effect of coverage. When post-coverage departures from parallel trends may reach a quarter of the largest pre-coverage year-to-year change (Rambachan and Roth, 2023),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and documents which firms a major provider brought into the scored universe: in selective waves, firms that had just outgrown their peers. Second, it adds an extensive-margin event to the evidence on ratings and certification as price-relevant information: entering LSEG coverage, unlike a downgrade of an MSCI rating (Berg, Heeb </w:t>
      </w:r>
      <w:r>
        <w:rPr>
          <w:i/>
        </w:rPr>
        <w:t>et al.</w:t>
      </w:r>
      <w:r>
        <w:rPr/>
        <w:t>, 2022), was not followed by a detectable revaluation, whatever the score. Third, for empirical work on ESG premiums, it shows how selection into the scored universe can make scored firms look more valuable than they became because of the score.</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w:t>
      </w:r>
      <w:r>
        <w:rPr>
          <w:i/>
        </w:rPr>
        <w:t>et al.</w:t>
      </w:r>
      <w:r>
        <w:rPr/>
        <w:t>, 2022). Calendar-time portfolios of firms with rating changes give a similar asymmetry (Shanaev and Ghimire, 2022). Consensus ratings predict future ESG news, but disagreement among providers weakens both this predictive power and the price reaction to the news (Serafeim and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once firms are compared with similar firms outside the index (Hawn </w:t>
      </w:r>
      <w:r>
        <w:rPr>
          <w:i/>
        </w:rPr>
        <w:t>et al.</w:t>
      </w:r>
      <w:r>
        <w:rPr/>
        <w:t xml:space="preserve">, 2018), and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In the same way,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the disagreement is priced (Avramov </w:t>
      </w:r>
      <w:r>
        <w:rPr>
          <w:i/>
        </w:rPr>
        <w:t>et al.</w:t>
      </w:r>
      <w:r>
        <w:rPr/>
        <w:t xml:space="preserve">, 2022; Gibson Brandon </w:t>
      </w:r>
      <w:r>
        <w:rPr>
          <w:i/>
        </w:rPr>
        <w:t>et al.</w:t>
      </w:r>
      <w:r>
        <w:rPr/>
        <w:t xml:space="preserve">, 2021), and the provider has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reported sustainability information in the unified annual filing, the 56-1 One Report, since the fiscal year ending in 2021 (Tilleke and Gibbins, 2020).</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The Malaysian wave began in fiscal 2021, before the November 2022 agreement, which concerned FTSE Russell scores. The waves do not line up with a single reporting rule: the Thai wave preceded the One Report, and the Malaysian wave began several years after Bursa Malaysia's rule was phased in. The data do not record why the provider expanded coverage when it did. The pooled estimates are weighted toward Malaysia and Thailand, and we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supplementary material reports firm-years by outcome, and Table S6 reports scored firms by event year. Never-scored firms are smaller on average, and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comparable never-scored firms from year g + e to the base year. Third, the covariates are measured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supplementary material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comparable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three coverage waves. The 108 Thai and Singaporean firms first scored in 2019 and 2020 show the largest run-up: from event year −5 to the base year, their MTB ratio grew 33.1 percent and their market capitalization 57.3 percent more than those of never-scored firms (pre-trend p = 0.006 and p &lt; 0.001). The 278 firms in all other cohorts, which entered coverage a few at a time, show the same pattern, with MTB growth of 10.8 percent (pre-trend p = 0.006). The 289 Malaysian firms first scored in 2021 and 2022 show no run-up: their pre-coverage MTB estimates range from −0.027 in event year −5 to 0.041 in event year −2 (pre-trend p = 0.549). Selection on prior growth therefore appears where the provider added firms selectively, not where it extended coverage across a market. After the first score, no wave shows an MTB gain: the estimates of Eq. (6) are 0.021 for the Malaysian wave, −0.009 for the Thai and Singaporean wave, and −0.016 for the other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and dating coverage two years later gives −0.048 (p = 0.057).</w:t>
      </w:r>
    </w:p>
    <w:p>
      <w:pPr>
        <w:spacing w:line="360" w:lineRule="auto" w:after="120" w:before="0"/>
        <w:ind w:firstLine="432"/>
        <w:jc w:val="both"/>
      </w:pPr>
      <w:r>
        <w:rPr/>
        <w:t>Figure S2 of the supplementary material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estimates for event years 3 and 4 are −0.083 and −0.167, much closer to the corresponding R10 estimates of −0.138 and −0.200 than the pooled baseline path suggests. Both specifications therefore show that early cohorts lost value relative to never-scored firms in their third and fourth years of coverage.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Figure S2 of the supplementary material vary the size covariate and the support. The MTB run-up is not an artifact of conditioning on base-year total assets: without covariates the MTB estimate for event year −5 is −0.064 (pre-trend p = 0.028), and with total assets measured two years before the base year it is −0.077, close to the baseline, although the joint test then gives p = 0.176. The post-coverage MTB effect is −0.008 with total assets measured two years earlier and −0.010 with quintile indicators. Restricting scored firms to those no larger than the 95th percentile of never-scored firms in their cell keeps 492 scored firms and gives −0.021 (p = 0.426). The post-coverage MTB estimate therefore does not depend on extrapolating the size adjustment to the largest firms.</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supplementary material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precedes selective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In selective coverage waves, firms entered the scored universe after their MTB ratio and market capitalization had grown faster than those of comparable unscored firms, and their MTB ratio stopped gaining afterwards. In the wholesale Malaysian expansion, there was no run-up and no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we detect none under assumption (2). The publication-dated estimates and the within-cohort re-basing in Section 5.4 show a decline in the third and fourth years of coverage for early cohorts, which a reversal would produce and a positive coverage effect could partly offset.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once comparable firms are used as benchmarks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bears on the evidence on ESG demand. Pástor </w:t>
      </w:r>
      <w:r>
        <w:rPr>
          <w:i/>
        </w:rPr>
        <w:t>et al.</w:t>
      </w:r>
      <w:r>
        <w:rPr/>
        <w:t xml:space="preserve">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annual data, five markets, and no data on ownership, returns, or publication dates.</w:t>
      </w:r>
    </w:p>
    <w:p>
      <w:pPr>
        <w:spacing w:line="360" w:lineRule="auto" w:after="120" w:before="0"/>
        <w:ind w:firstLine="432"/>
        <w:jc w:val="both"/>
      </w:pPr>
      <w:r>
        <w:rPr/>
        <w:t xml:space="preserve">For rating providers and data users, the scored universe in these markets tilts toward large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Malaysian wave shows that coverage extended across a whole market does not carry the selection on prior growth that selective coverage does (Figure 2). Exchange-provider arrangements of this kind (Bernama, 2022) broaden the scored universe toward smaller firms. Our data do not show whether such arrangements raise the value of the firms they cover;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screens restricted to scored stocks admit firms after a valuation run-up, in selective waves. Our annual MTB data cannot speak to the returns of a strategy that buys newly scored firms.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sources,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Entry into LSEG ESG coverage in five Southeast Asian markets followed relative growth when the provider added firms selectively, and it was not followed by a detected rise in market-to-book ratios. Scored firms grew faster than comparable never-scored firms before their first scored year, by 10.0 percent in MTB (1.9 to 18.2 percent), while the Malaysian firms covered in a wholesale expansion showed no such run-up. Under parallel trends, the headline effect is 0.002 (95% interval −0.046 to 0.048), with no difference by the level of the score, and dating coverage one year later gives a decline of about −6.6 percent that may reflect a reversal of the run-up.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