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20" w:before="0"/>
      </w:pPr>
      <w:r>
        <w:rPr>
          <w:b/>
          <w:sz w:val="20"/>
        </w:rPr>
        <w:t>Table 1.</w:t>
      </w:r>
      <w:r>
        <w:t xml:space="preserve">  </w:t>
      </w:r>
      <w:r>
        <w:rPr>
          <w:sz w:val="20"/>
        </w:rPr>
        <w:t>Characteristics of scored firms in the base year and of never-scored firm-years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448"/>
        <w:gridCol w:w="936"/>
        <w:gridCol w:w="936"/>
        <w:gridCol w:w="792"/>
        <w:gridCol w:w="1007"/>
        <w:gridCol w:w="1007"/>
        <w:gridCol w:w="936"/>
        <w:gridCol w:w="1152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Variable</w:t>
            </w:r>
          </w:p>
        </w:tc>
        <w:tc>
          <w:tcPr>
            <w:tcW w:type="dxa" w:w="9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mean</w:t>
            </w:r>
          </w:p>
        </w:tc>
        <w:tc>
          <w:tcPr>
            <w:tcW w:type="dxa" w:w="9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median</w:t>
            </w:r>
          </w:p>
        </w:tc>
        <w:tc>
          <w:tcPr>
            <w:tcW w:type="dxa" w:w="79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N</w:t>
            </w:r>
          </w:p>
        </w:tc>
        <w:tc>
          <w:tcPr>
            <w:tcW w:type="dxa" w:w="100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mean</w:t>
            </w:r>
          </w:p>
        </w:tc>
        <w:tc>
          <w:tcPr>
            <w:tcW w:type="dxa" w:w="100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median</w:t>
            </w:r>
          </w:p>
        </w:tc>
        <w:tc>
          <w:tcPr>
            <w:tcW w:type="dxa" w:w="9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N</w:t>
            </w:r>
          </w:p>
        </w:tc>
        <w:tc>
          <w:tcPr>
            <w:tcW w:type="dxa" w:w="115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Norm. diff.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Market-to-book ratio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2.37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1.26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629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1.84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0.95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Market capitalization (USD million)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762.5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203.2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655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157.3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42.2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0.69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0.235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0.217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632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0.241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−0.04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Total assets (USD million)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882.1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294.3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655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238.0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68.7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0.61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Return on assets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0.064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0.057</w:t>
            </w:r>
          </w:p>
        </w:tc>
        <w:tc>
          <w:tcPr>
            <w:tcW w:type="dxa" w:w="79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385</w:t>
            </w:r>
          </w:p>
        </w:tc>
        <w:tc>
          <w:tcPr>
            <w:tcW w:type="dxa" w:w="100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0.045</w:t>
            </w:r>
          </w:p>
        </w:tc>
        <w:tc>
          <w:tcPr>
            <w:tcW w:type="dxa" w:w="100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5,614</w:t>
            </w:r>
          </w:p>
        </w:tc>
        <w:tc>
          <w:tcPr>
            <w:tcW w:type="dxa" w:w="115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0.21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Scored firms are measured in the year before their first LSEG ESG score; never-scored firms contribute all firm-years from 2014 to 2024. Norm. diff. is the difference in means divided by the square root of the average of the two variances.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2.</w:t>
      </w:r>
      <w:r>
        <w:t xml:space="preserve">  </w:t>
      </w:r>
      <w:r>
        <w:rPr>
          <w:sz w:val="20"/>
        </w:rPr>
        <w:t>Average effect of the first LSEG ESG score over event years 0 to 3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232"/>
        <w:gridCol w:w="864"/>
        <w:gridCol w:w="720"/>
        <w:gridCol w:w="1655"/>
        <w:gridCol w:w="864"/>
        <w:gridCol w:w="720"/>
        <w:gridCol w:w="864"/>
        <w:gridCol w:w="792"/>
        <w:gridCol w:w="864"/>
      </w:tblGrid>
      <w:tr>
        <w:tc>
          <w:tcPr>
            <w:tcW w:type="dxa" w:w="223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ATT</w:t>
            </w:r>
          </w:p>
        </w:tc>
        <w:tc>
          <w:tcPr>
            <w:tcW w:type="dxa" w:w="72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95% CI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p-value</w:t>
            </w:r>
          </w:p>
        </w:tc>
        <w:tc>
          <w:tcPr>
            <w:tcW w:type="dxa" w:w="72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MDE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Pre-trend p</w:t>
            </w:r>
          </w:p>
        </w:tc>
        <w:tc>
          <w:tcPr>
            <w:tcW w:type="dxa" w:w="79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firms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Control firms</w:t>
            </w:r>
          </w:p>
        </w:tc>
      </w:tr>
      <w:tr>
        <w:tc>
          <w:tcPr>
            <w:tcW w:type="dxa" w:w="223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0.024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0.936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0.067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0.074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628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2,412</w:t>
            </w:r>
          </w:p>
        </w:tc>
      </w:tr>
      <w:tr>
        <w:tc>
          <w:tcPr>
            <w:tcW w:type="dxa" w:w="223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−0.055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0.030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0.134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0.084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635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2,447</w:t>
            </w:r>
          </w:p>
        </w:tc>
      </w:tr>
      <w:tr>
        <w:tc>
          <w:tcPr>
            <w:tcW w:type="dxa" w:w="223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0.134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0.014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2,520</w:t>
            </w:r>
          </w:p>
        </w:tc>
      </w:tr>
      <w:tr>
        <w:tc>
          <w:tcPr>
            <w:tcW w:type="dxa" w:w="223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0.044</w:t>
            </w:r>
          </w:p>
        </w:tc>
        <w:tc>
          <w:tcPr>
            <w:tcW w:type="dxa" w:w="72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0.018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0.053</w:t>
            </w:r>
          </w:p>
        </w:tc>
        <w:tc>
          <w:tcPr>
            <w:tcW w:type="dxa" w:w="72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0.051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0.083</w:t>
            </w:r>
          </w:p>
        </w:tc>
        <w:tc>
          <w:tcPr>
            <w:tcW w:type="dxa" w:w="79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655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2,603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ATT is the average effect over event years 0 to 3 (Eq. 6), with bootstrap standard errors and unadjusted 95% confidence intervals (CI); p-values of the three secondary outcomes are Holm-adjusted. MDE is the minimum detectable effect at 80% power, and pre-trend p is the joint test of Eq. (8).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3.</w:t>
      </w:r>
      <w:r>
        <w:t xml:space="preserve">  </w:t>
      </w:r>
      <w:r>
        <w:rPr>
          <w:sz w:val="20"/>
        </w:rPr>
        <w:t>Robustness checks, timing of coverage, and heterogeneity by initial ESG score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Specification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Baseline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−0.055*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0.044** (0.018)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R1 Not-yet-scored in controls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−0.053* (0.029)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0.040** (0.017)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R2 No covariates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(0.022)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0.016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0.012*** (0.004)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 (0.015)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R3 No 2020–2021 cohorts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 (0.027)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−0.029 (0.036)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R4 Size-trimmed controls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0.016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0.101*** (0.017)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R5 Placebo, 3 years early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0.059*** (0.023)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0.134*** (0.028)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−0.002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0.115*** (0.015)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R6 Two-way fixed effects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0.064** (0.026)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0.185***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0.117*** (0.022)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R7 Pre-trend removed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−0.052 (0.034)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−0.134*** (0.042)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0.023*** (0.006)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 (0.023)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R8 Pre-coverage growth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0.028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−0.034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0.043** (0.018)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R9 No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R10 Dated 1 year later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−0.068***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−0.073**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(0.017)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R11 Cohorts to 2021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−0.008 (0.033)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(0.037)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0.013* (0.007)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0.082*** (0.027)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High initial score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−0.019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−0.029 (0.034)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(0.006)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0.038* (0.022)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Low initial score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 (0.033)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−0.081* (0.042)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 (0.006)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0.049** (0.022)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High minus low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−0.041 (0.040)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0.052 (0.047)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(0.008)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−0.011 (0.025)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Cells show the average effect over event years 0 to 3 (0 to 2 in R5; the Eq. (11) coefficient in R6), with bootstrap standard errors in parentheses (firm-clustered in R6); R1 to R6 are pre-specified and R7 to R11 exploratory. *, **, and *** denote significance at 10%, 5%, and 1% (unadjusted p-values).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