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</w:pPr>
      <w:r>
        <w:rPr>
          <w:b/>
          <w:sz w:val="20"/>
        </w:rPr>
        <w:t>Figure 1.</w:t>
      </w:r>
      <w:r>
        <w:t xml:space="preserve">  </w:t>
      </w:r>
      <w:r>
        <w:rPr>
          <w:sz w:val="20"/>
        </w:rPr>
        <w:t>Event-time effects of the first LSEG ESG score on market-to-book ratio, market capitalization, leverage, and total assets</w:t>
      </w:r>
    </w:p>
    <w:p>
      <w:pPr>
        <w:spacing w:line="240" w:lineRule="auto" w:after="40" w:before="0"/>
      </w:pPr>
      <w:r>
        <w:rPr>
          <w:b/>
          <w:sz w:val="18"/>
        </w:rPr>
        <w:t>Note(s):</w:t>
      </w:r>
      <w:r>
        <w:t xml:space="preserve"> </w:t>
      </w:r>
      <w:r>
        <w:rPr>
          <w:sz w:val="18"/>
        </w:rPr>
        <w:t>Markers show the estimates of Eq. (5) relative to event year −1 (set to zero), with bootstrap 95% intervals; open markers and dotted bars are years before the first score. Event year 4 is not part of Eq. (6).</w:t>
      </w:r>
    </w:p>
    <w:p>
      <w:pPr>
        <w:spacing w:line="240" w:lineRule="auto" w:after="40" w:before="0"/>
      </w:pPr>
      <w:r>
        <w:rPr>
          <w:b/>
          <w:sz w:val="18"/>
        </w:rPr>
        <w:t>Source(s):</w:t>
      </w:r>
      <w:r>
        <w:t xml:space="preserve"> </w:t>
      </w:r>
      <w:r>
        <w:rPr>
          <w:sz w:val="18"/>
        </w:rPr>
        <w:t>Authors' own work based on LSEG ESG scores and Compustat Global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4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</w:pPr>
      <w:r>
        <w:rPr>
          <w:b/>
          <w:sz w:val="20"/>
        </w:rPr>
        <w:t>Figure 2.</w:t>
      </w:r>
      <w:r>
        <w:t xml:space="preserve">  </w:t>
      </w:r>
      <w:r>
        <w:rPr>
          <w:sz w:val="20"/>
        </w:rPr>
        <w:t>Event-time effects on market-to-book ratio and market capitalization by coverage wave</w:t>
      </w:r>
    </w:p>
    <w:p>
      <w:pPr>
        <w:spacing w:line="240" w:lineRule="auto" w:after="40" w:before="0"/>
      </w:pPr>
      <w:r>
        <w:rPr>
          <w:b/>
          <w:sz w:val="18"/>
        </w:rPr>
        <w:t>Note(s):</w:t>
      </w:r>
      <w:r>
        <w:t xml:space="preserve"> </w:t>
      </w:r>
      <w:r>
        <w:rPr>
          <w:sz w:val="18"/>
        </w:rPr>
        <w:t>Markers show the estimates of Eq. (5) for each wave against all never-scored firms, with bootstrap 95% intervals; marker shape and line type identify the wave. All other cohorts are firms first scored outside the two waves.</w:t>
      </w:r>
    </w:p>
    <w:p>
      <w:pPr>
        <w:spacing w:line="240" w:lineRule="auto" w:after="40" w:before="0"/>
      </w:pPr>
      <w:r>
        <w:rPr>
          <w:b/>
          <w:sz w:val="18"/>
        </w:rPr>
        <w:t>Source(s):</w:t>
      </w:r>
      <w:r>
        <w:t xml:space="preserve"> </w:t>
      </w:r>
      <w:r>
        <w:rPr>
          <w:sz w:val="18"/>
        </w:rPr>
        <w:t>Authors' own work based on LSEG ESG scores and Compustat Global data</w:t>
      </w:r>
    </w:p>
    <w:sectPr w:rsidR="00FC693F" w:rsidRPr="0006063C" w:rsidSect="00034616">
      <w:footerReference w:type="default" r:id="rId9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