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together with relative growth before coverage.</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w:t>
      </w:r>
    </w:p>
    <w:p>
      <w:pPr>
        <w:keepNext/>
        <w:spacing w:line="360" w:lineRule="auto" w:after="120" w:before="120"/>
      </w:pPr>
      <w:r>
        <w:rPr>
          <w:b/>
          <w:i/>
          <w:sz w:val="24"/>
        </w:rPr>
        <w:t>3.2. Sample and coverage timing</w:t>
      </w:r>
    </w:p>
    <w:p>
      <w:pPr>
        <w:spacing w:line="360" w:lineRule="auto" w:after="120" w:before="0"/>
        <w:ind w:firstLine="432"/>
        <w:jc w:val="both"/>
      </w:pPr>
      <w:r>
        <w:rPr/>
        <w:t>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(details withheld for anonymous review).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which we test.</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We aggregate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that resamples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a static two-way fixed effects regression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(Goodman-Bacon, 2021).</w:t>
      </w:r>
    </w:p>
    <w:p>
      <w:pPr>
        <w:spacing w:line="360" w:lineRule="auto" w:after="120" w:before="0"/>
        <w:ind w:firstLine="432"/>
        <w:jc w:val="both"/>
      </w:pPr>
      <w:r>
        <w:rPr/>
        <w:t xml:space="preserve">The pre-analysis plan fixed five robustness checks: adding not-yet-scored firms to the controls,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w:t>
      </w:r>
    </w:p>
    <w:p>
      <w:pPr>
        <w:spacing w:line="360" w:lineRule="auto" w:after="120" w:before="0"/>
        <w:ind w:firstLine="432"/>
        <w:jc w:val="both"/>
      </w:pPr>
      <w:r>
        <w:rPr/>
        <w:t>Table IA5 of the Internet Appendix reports the bounds of Eq. (10).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