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illustrate how pre-trends in staggered designs can carry economic content (Roth, 2022).</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the selection view predicts no effect after coverage and relative growth before it, as for firms added to an index after a period of growth (Chen et al., 2004).</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 This data set also underlies a companion study with a different research question (details withheld for anonymous review).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leave through delisting or missing data.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pre-coverage growth of the kind that precedes index additions would (Chen et al., 2004). We test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Following Callaway and Sant'Anna (2021), we bootstrap the aggregated effects by resampling firms with their full time series.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as for firms added to an index (Chen et al., 2004).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nor of a lasting valuation gain from the fund flows that Hartzmark and Sussman (2019) show respond to newly published sustainability ratings.</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resembles the growth that precedes additions to a major index (Chen et al., 2004; Harris &amp; Gurel, 1986; Shleifer, 1986), as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decline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of 0.01 or more admits an increase of 5 percent, and any departure at all admits a positive effect. The post-coverage null and the absence of a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just outside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the gap to pre-coverage growth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(applicable to financial years ending on or after 31 December 2017).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CellMar>
          <w:top w:w="40" w:type="dxa"/>
          <w:bottom w:w="40" w:type="dxa"/>
          <w:left w:w="85" w:type="dxa"/>
          <w:right w:w="85" w:type="dxa"/>
        </w:tblCellMar>
        <w:tblLayout w:type="fixed"/>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