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Rated at the Peak? Firm Valuation around the First LSEG ESG Score in Five Southeast Asian Markets</w:t>
      </w:r>
    </w:p>
    <w:p>
      <w:pPr>
        <w:spacing w:line="240" w:lineRule="auto" w:after="80" w:before="0"/>
        <w:jc w:val="center"/>
      </w:pPr>
      <w:r>
        <w:rPr/>
        <w:t>Nguyen Thanh Binh</w:t>
      </w:r>
      <w:r>
        <w:rPr>
          <w:vertAlign w:val="superscript"/>
        </w:rPr>
        <w:t>a</w:t>
      </w:r>
      <w:r>
        <w:rPr/>
        <w:t>, Nguyen Van Trung</w:t>
      </w:r>
      <w:r>
        <w:rPr>
          <w:vertAlign w:val="superscript"/>
        </w:rPr>
        <w:t>a,</w:t>
      </w:r>
      <w:r>
        <w:rPr/>
        <w:t>*, Nguyen Anh Tuan</w:t>
      </w:r>
      <w:r>
        <w:rPr>
          <w:vertAlign w:val="superscript"/>
        </w:rPr>
        <w:t>b</w:t>
      </w:r>
    </w:p>
    <w:p>
      <w:pPr>
        <w:spacing w:line="240" w:lineRule="auto" w:after="80" w:before="0"/>
        <w:jc w:val="center"/>
      </w:pPr>
      <w:r>
        <w:rPr>
          <w:vertAlign w:val="superscript"/>
        </w:rPr>
        <w:t>a</w:t>
      </w:r>
      <w:r>
        <w:rPr/>
        <w:t xml:space="preserve"> Academy of Policy and Development, Nam An Khanh Urban Area, Hoai Duc District, Hanoi, Vietnam</w:t>
      </w:r>
    </w:p>
    <w:p>
      <w:pPr>
        <w:spacing w:line="240" w:lineRule="auto" w:after="80" w:before="0"/>
        <w:jc w:val="center"/>
      </w:pPr>
      <w:r>
        <w:rPr>
          <w:vertAlign w:val="superscript"/>
        </w:rPr>
        <w:t>b</w:t>
      </w:r>
      <w:r>
        <w:rPr/>
        <w:t xml:space="preserve"> Foreign Trade University, 91 Chua Lang Street, Dong Da District, Hanoi, Vietnam</w:t>
      </w:r>
    </w:p>
    <w:p>
      <w:pPr>
        <w:spacing w:line="240" w:lineRule="auto" w:after="80" w:before="0"/>
        <w:jc w:val="center"/>
      </w:pPr>
      <w:r>
        <w:rPr/>
        <w:t>* Corresponding author: Nguyen Van Trung, Academy of Policy and Development. Email: kontrungcany@gmail.com. Tel: +84 355 347 831.</w:t>
      </w:r>
    </w:p>
    <w:p>
      <w:pPr>
        <w:spacing w:line="240" w:lineRule="auto" w:after="80" w:before="0"/>
        <w:jc w:val="center"/>
      </w:pPr>
      <w:r>
        <w:rPr/>
        <w:t>Nguyen Thanh Binh: nguyenthanhbinhapd@apd.edu.vn (ORCID 0009-0007-0042-2835); Nguyen Van Trung: kontrungcany@gmail.com (ORCID 0009-0008-3307-6569); Nguyen Anh Tuan: nguyenanhtuan17105@gmail.com (ORCID 0009-0000-1901-1541)</w:t>
      </w:r>
    </w:p>
    <w:p>
      <w:pPr>
        <w:spacing w:line="360" w:lineRule="auto" w:after="120" w:before="0"/>
      </w:pPr>
      <w:r>
        <w:rPr/>
        <w:t>Running title: Valuation around first ESG scores</w:t>
      </w:r>
    </w:p>
    <w:p>
      <w:pPr>
        <w:spacing w:line="360" w:lineRule="auto" w:after="120" w:before="0"/>
      </w:pPr>
      <w:r>
        <w:rPr>
          <w:i/>
        </w:rPr>
        <w:t>Keywords:</w:t>
      </w:r>
      <w:r>
        <w:rPr/>
        <w:t xml:space="preserve"> Difference-in-differences; ESG ratings; Firm valuation; Rating coverage; Selection; Southeast Asia; Staggered adoption</w:t>
      </w:r>
    </w:p>
    <w:p>
      <w:pPr>
        <w:spacing w:line="360" w:lineRule="auto" w:after="120" w:before="0"/>
      </w:pPr>
      <w:r>
        <w:rPr>
          <w:i/>
        </w:rPr>
        <w:t>JEL classification:</w:t>
      </w:r>
      <w:r>
        <w:rPr/>
        <w:t xml:space="preserve"> G14, G15, G32, M14, Q56</w:t>
      </w:r>
    </w:p>
    <w:p>
      <w:pPr>
        <w:keepNext/>
        <w:spacing w:line="360" w:lineRule="auto" w:after="120" w:before="120"/>
      </w:pPr>
      <w:r>
        <w:rPr>
          <w:b/>
          <w:i/>
          <w:sz w:val="24"/>
        </w:rPr>
        <w:t>Acknowledgements</w:t>
      </w:r>
    </w:p>
    <w:p>
      <w:pPr>
        <w:spacing w:line="360" w:lineRule="auto" w:after="120" w:before="0"/>
        <w:jc w:val="both"/>
      </w:pPr>
      <w:r>
        <w:rPr/>
        <w:t>None.</w:t>
      </w:r>
    </w:p>
    <w:p>
      <w:pPr>
        <w:keepNext/>
        <w:spacing w:line="360" w:lineRule="auto" w:after="120" w:before="120"/>
      </w:pPr>
      <w:r>
        <w:rPr>
          <w:b/>
          <w:i/>
          <w:sz w:val="24"/>
        </w:rPr>
        <w:t>Funding statement</w:t>
      </w:r>
    </w:p>
    <w:p>
      <w:pPr>
        <w:spacing w:line="360" w:lineRule="auto" w:after="120" w:before="0"/>
        <w:jc w:val="both"/>
      </w:pPr>
      <w:r>
        <w:rPr/>
        <w:t>This research did not receive any specific grant from funding agencies in the public, commercial, or not-for-profit sectors.</w:t>
      </w:r>
    </w:p>
    <w:p>
      <w:pPr>
        <w:keepNext/>
        <w:spacing w:line="360" w:lineRule="auto" w:after="120" w:before="120"/>
      </w:pPr>
      <w:r>
        <w:rPr>
          <w:b/>
          <w:i/>
          <w:sz w:val="24"/>
        </w:rPr>
        <w:t>Data availability statement</w:t>
      </w:r>
    </w:p>
    <w:p>
      <w:pPr>
        <w:spacing w:line="360" w:lineRule="auto" w:after="120" w:before="0"/>
        <w:jc w:val="both"/>
      </w:pPr>
      <w:r>
        <w:rPr/>
        <w:t>The ESG scores (LSEG Workspace) and the accounting and market data (Compustat Global) are licensed, and the licences do not allow the authors to redistribute them, including firm identifiers and derived firm-level variables; the download date of the scores was not recorded. The R code, the pre-analysis plan, and all aggregate output files are supplied as supporting material with this submission and will be deposited in a public repository upon acceptance. Researchers with access to the two databases can rebuild the sample with the code.</w:t>
      </w:r>
    </w:p>
    <w:p>
      <w:pPr>
        <w:keepNext/>
        <w:spacing w:line="360" w:lineRule="auto" w:after="120" w:before="120"/>
      </w:pPr>
      <w:r>
        <w:rPr>
          <w:b/>
          <w:i/>
          <w:sz w:val="24"/>
        </w:rPr>
        <w:t>Conflict of interest disclosure</w:t>
      </w:r>
    </w:p>
    <w:p>
      <w:pPr>
        <w:spacing w:line="360" w:lineRule="auto" w:after="120" w:before="0"/>
        <w:jc w:val="both"/>
      </w:pPr>
      <w:r>
        <w:rPr/>
        <w:t>Nguyen Thanh Binh has nothing to disclose. Nguyen Van Trung has nothing to disclose. Nguyen Anh Tuan has nothing to disclose.</w:t>
      </w:r>
    </w:p>
    <w:p>
      <w:pPr>
        <w:keepNext/>
        <w:spacing w:line="360" w:lineRule="auto" w:after="120" w:before="120"/>
      </w:pPr>
      <w:r>
        <w:rPr>
          <w:b/>
          <w:i/>
          <w:sz w:val="24"/>
        </w:rPr>
        <w:t>Ethics approval statement</w:t>
      </w:r>
    </w:p>
    <w:p>
      <w:pPr>
        <w:spacing w:line="360" w:lineRule="auto" w:after="120" w:before="0"/>
        <w:jc w:val="both"/>
      </w:pPr>
      <w:r>
        <w:rPr/>
        <w:t>Not applicable. The study uses firm-level secondary data and involves no human participants.</w:t>
      </w:r>
    </w:p>
    <w:p>
      <w:pPr>
        <w:keepNext/>
        <w:spacing w:line="360" w:lineRule="auto" w:after="120" w:before="120"/>
      </w:pPr>
      <w:r>
        <w:rPr>
          <w:b/>
          <w:i/>
          <w:sz w:val="24"/>
        </w:rPr>
        <w:t>Author contributions</w:t>
      </w:r>
    </w:p>
    <w:p>
      <w:pPr>
        <w:spacing w:line="360" w:lineRule="auto" w:after="120" w:before="0"/>
        <w:jc w:val="both"/>
      </w:pPr>
      <w:r>
        <w:rPr/>
        <w:t>Nguyen Thanh Binh: Conceptualization, Supervision, Writing (review and editing). Nguyen Van Trung: Conceptualization, Data curation, Formal analysis, Methodology, Software, Visualization, Writing (original draft). Nguyen Anh Tuan: Data curation, Validation, Writing (review and editing).</w:t>
      </w:r>
    </w:p>
    <w:sectPr w:rsidR="00FC693F" w:rsidRPr="0006063C" w:rsidSect="00034616">
      <w:footerReference w:type="default" r:id="rId9"/>
      <w:pgSz w:w="12240" w:h="15840"/>
      <w:pgMar w:top="2160" w:right="1440" w:bottom="21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