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120" w:before="240"/>
      </w:pPr>
      <w:r>
        <w:rPr>
          <w:b/>
          <w:sz w:val="24"/>
        </w:rPr>
        <w:t>Declaration of Competing Interest</w:t>
      </w:r>
    </w:p>
    <w:p>
      <w:pPr>
        <w:spacing w:line="360" w:lineRule="auto" w:after="120" w:before="0"/>
        <w:jc w:val="both"/>
      </w:pPr>
      <w:r>
        <w:rPr/>
        <w:t>Manuscript: Rated at the Peak? Firm Valuation around the First LSEG ESG Score in Five Southeast Asian Markets</w:t>
      </w:r>
    </w:p>
    <w:p>
      <w:pPr>
        <w:spacing w:line="360" w:lineRule="auto" w:after="120" w:before="0"/>
        <w:jc w:val="both"/>
      </w:pPr>
      <w:r>
        <w:rPr/>
        <w:t>Nguyen Thanh Binh has nothing to disclose.</w:t>
      </w:r>
    </w:p>
    <w:p>
      <w:pPr>
        <w:spacing w:line="360" w:lineRule="auto" w:after="120" w:before="0"/>
        <w:jc w:val="both"/>
      </w:pPr>
      <w:r>
        <w:rPr/>
        <w:t>Nguyen Van Trung has nothing to disclose.</w:t>
      </w:r>
    </w:p>
    <w:p>
      <w:pPr>
        <w:spacing w:line="360" w:lineRule="auto" w:after="120" w:before="0"/>
        <w:jc w:val="both"/>
      </w:pPr>
      <w:r>
        <w:rPr/>
        <w:t>Nguyen Anh Tuan has nothing to disclose.</w:t>
      </w:r>
    </w:p>
    <w:p>
      <w:pPr>
        <w:spacing w:line="360" w:lineRule="auto" w:after="120" w:before="0"/>
        <w:jc w:val="both"/>
      </w:pPr>
      <w:r>
        <w:rPr/>
        <w:t>None of the authors is an Editor or Editorial Board member of the Journal of Finance: Insights and Perspectives.</w:t>
      </w:r>
    </w:p>
    <w:sectPr w:rsidR="00FC693F" w:rsidRPr="0006063C" w:rsidSect="00034616">
      <w:footerReference w:type="default" r:id="rId9"/>
      <w:pgSz w:w="12240" w:h="15840"/>
      <w:pgMar w:top="216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