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t>Nguyen Van Trung (corresponding author)</w:t>
      </w:r>
    </w:p>
    <w:p>
      <w:pPr>
        <w:spacing w:line="240" w:lineRule="auto" w:after="0" w:before="0"/>
      </w:pPr>
      <w:r>
        <w:rPr/>
        <w:t>Academy of Policy and Development, Hanoi, Vietnam</w:t>
      </w:r>
    </w:p>
    <w:p>
      <w:pPr>
        <w:spacing w:line="240" w:lineRule="auto" w:after="0" w:before="0"/>
      </w:pPr>
      <w:r>
        <w:rPr/>
        <w:t>kontrungcany@gmail.com</w:t>
      </w:r>
    </w:p>
    <w:p>
      <w:pPr>
        <w:spacing w:line="240" w:lineRule="auto" w:after="0" w:before="0"/>
      </w:pPr>
    </w:p>
    <w:p>
      <w:pPr>
        <w:spacing w:line="240" w:lineRule="auto" w:after="0" w:before="0"/>
      </w:pPr>
      <w:r>
        <w:rPr/>
        <w:t>The Editors</w:t>
      </w:r>
    </w:p>
    <w:p>
      <w:pPr>
        <w:spacing w:line="240" w:lineRule="auto" w:after="0" w:before="0"/>
      </w:pPr>
      <w:r>
        <w:rPr/>
        <w:t>Journal of Finance: Insights and Perspectives</w:t>
      </w:r>
    </w:p>
    <w:p>
      <w:pPr>
        <w:spacing w:line="240" w:lineRule="auto" w:after="0" w:before="0"/>
      </w:pPr>
    </w:p>
    <w:p>
      <w:pPr>
        <w:spacing w:line="360" w:lineRule="auto" w:after="120" w:before="0"/>
        <w:jc w:val="both"/>
      </w:pPr>
      <w:r>
        <w:rPr/>
        <w:t>Dear Editors,</w:t>
      </w:r>
    </w:p>
    <w:p>
      <w:pPr>
        <w:spacing w:line="360" w:lineRule="auto" w:after="120" w:before="0"/>
        <w:jc w:val="both"/>
      </w:pPr>
      <w:r>
        <w:rPr/>
        <w:t>We submit the manuscript "Rated at the Peak? Firm Valuation around the First LSEG ESG Score in Five Southeast Asian Markets" for consideration as an Insights article in the Journal of Finance: Insights and Perspectives. Word count of the main text: 6,570 by our count of the word count file (4 exhibits; limit 6,200 words). The official count from the word count PDF is entered in the submission system.</w:t>
      </w:r>
    </w:p>
    <w:p>
      <w:pPr>
        <w:spacing w:line="360" w:lineRule="auto" w:after="120" w:before="0"/>
        <w:jc w:val="both"/>
      </w:pPr>
      <w:r>
        <w:rPr/>
        <w:t>The paper asks whether the first ESG score that a rating provider assigns to a listed firm changes how the equity market values that firm. Using the staggered first appearance of LSEG ESG scores for 675 non-financial firms in Indonesia, Malaysia, the Philippines, Singapore, and Thailand, and heterogeneity-robust difference-in-differences estimators, we find that scored firms grew faster than comparable never-scored firms before their first scored year and that, under parallel trends, their market-to-book ratios did not rise afterwards. A static two-way fixed effects regression on the same data would attribute a valuation gain to coverage. The hypotheses, sample rules, estimator, and pre-specified robustness checks were recorded in a pre-analysis plan before estimation, and every later analysis is labeled exploratory.</w:t>
      </w:r>
    </w:p>
    <w:p>
      <w:pPr>
        <w:spacing w:line="360" w:lineRule="auto" w:after="120" w:before="0"/>
        <w:jc w:val="both"/>
      </w:pPr>
      <w:r>
        <w:rPr/>
        <w:t>Companion study disclosure. The data set used here also underlies a companion study by the same authors: "GRI Adoption and Corporate Brownwashing: Board Governance Evidence from ASEAN-5," currently under review (minor revision, second round) at the International Journal of Management and Sustainability. The two papers differ in research question, analysis, and results. The companion study examines whether adoption of Global Reporting Initiative standards and board characteristics relate to the gap between ESG scores and controversy scores, using 1,506 firm-years of ESG-rated firms and two-way fixed effects models. The present paper studies the valuation consequences of receiving a first ESG score, uses the full listed universe including never-scored firms, and applies a staggered difference-in-differences design. No outcome or treatment variable, estimate, table, or figure appears in both papers, and the text was written independently; a word 8-gram comparison of an earlier version of this manuscript with the companion manuscript found no shared 8-word sequence. The manuscript discloses the companion study in Section 3.2.</w:t>
      </w:r>
    </w:p>
    <w:p>
      <w:pPr>
        <w:spacing w:line="360" w:lineRule="auto" w:after="120" w:before="0"/>
        <w:jc w:val="both"/>
      </w:pPr>
      <w:r>
        <w:rPr/>
        <w:t>The manuscript is not under consideration elsewhere, and all authors have approved the submission. The authors declare no competing interests. The replication code, output files, and the pre-analysis plan are provided as supporting material; the underlying LSEG and Compustat data are licensed and cannot be redistributed. We used Claude (Anthropic) as described in Section 4.6 of the manuscript.</w:t>
      </w:r>
    </w:p>
    <w:p>
      <w:pPr>
        <w:spacing w:line="360" w:lineRule="auto" w:after="120" w:before="0"/>
        <w:jc w:val="both"/>
      </w:pPr>
      <w:r>
        <w:rPr/>
        <w:t>Sincerely,</w:t>
      </w:r>
    </w:p>
    <w:p>
      <w:pPr>
        <w:spacing w:line="360" w:lineRule="auto" w:after="120" w:before="0"/>
        <w:jc w:val="both"/>
      </w:pPr>
      <w:r>
        <w:rPr/>
        <w:t>Nguyen Van Trung, on behalf of Nguyen Thanh Binh and Nguyen Anh Tuan</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