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Supplemental Appendix</w:t>
      </w:r>
    </w:p>
    <w:p>
      <w:pPr>
        <w:spacing w:line="360" w:lineRule="auto" w:after="240" w:before="0"/>
        <w:jc w:val="center"/>
      </w:pPr>
      <w:r>
        <w:rPr>
          <w:b/>
        </w:rPr>
        <w:t>Rated at the Peak? Firm Valuation around the First LSEG ESG Score in Five Southeast Asian Markets</w:t>
      </w:r>
    </w:p>
    <w:p>
      <w:pPr>
        <w:spacing w:line="360" w:lineRule="auto" w:after="120" w:before="0"/>
        <w:jc w:val="both"/>
      </w:pPr>
      <w:r>
        <w:rPr/>
        <w:t>This Supplemental Appendix accompanies "Rated at the Peak? Firm Valuation around the First LSEG ESG Score in Five Southeast Asian Markets." Table S1 re-estimates the average effects of the first score over event years 0 to 3 after excluding one market at a time. Table S2 and Fig. S1 show the number of non-financial firms that received their first LSEG ESG score in each year, by market. Table S3 reports the estimates for each market separately, Table S4 the number of firm-years available for each outcome, Table S5 the relative-magnitude bounds of Eq. (10) in the paper, and Table S6 the number of scored and control firms by event year for ln MTB. The pre-analysis plan is provided with the replication package.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S1</w:t>
      </w:r>
      <w:r>
        <w:t xml:space="preserve"> </w:t>
      </w:r>
      <w:r>
        <w:rPr/>
        <w:t>Leave-one-market-out estimates of the average effect of the first LSEG ESG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85" w:type="dxa"/>
          <w:right w:w="85" w:type="dxa"/>
        </w:tblCellMar>
        <w:tblLayout w:type="fixed"/>
      </w:tblPr>
      <w:tblGrid>
        <w:gridCol w:w="2736"/>
        <w:gridCol w:w="1655"/>
        <w:gridCol w:w="1655"/>
        <w:gridCol w:w="1655"/>
        <w:gridCol w:w="1655"/>
      </w:tblGrid>
      <w:tr>
        <w:tc>
          <w:tcPr>
            <w:tcW w:type="dxa" w:w="273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Sample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Leverage (ratio)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ln(assets)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Without Indonesia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0.017 (0.024)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−0.030 (0.030)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0.011**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0.037* (0.020)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Without Malaysia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−0.003 (0.035)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0.037 (0.038)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0.022*** (0.008)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 (0.029)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Without Philippines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−0.001 (0.025)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−0.066** (0.031)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0.009*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0.031* (0.019)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Without Singapore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−0.007 (0.025)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−0.066** (0.032)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0.005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0.063*** (0.019)</w:t>
            </w:r>
          </w:p>
        </w:tc>
      </w:tr>
      <w:tr>
        <w:tc>
          <w:tcPr>
            <w:tcW w:type="dxa" w:w="2736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Without Thailand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 (0.029)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−0.096** (0.037)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 (0.005)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0.040* (0.021)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Cells show the average effect over event years 0 to 3 without the named market, with bootstrap standard errors in parentheses. *, **, and *** denote significance at 10%, 5%, and 1% (unadjusted p-values).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 and Compustat Global.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S2</w:t>
      </w:r>
      <w:r>
        <w:t xml:space="preserve"> </w:t>
      </w:r>
      <w:r>
        <w:rPr/>
        <w:t>Number of non-financial firms by year of first LSEG ESG score and market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85" w:type="dxa"/>
          <w:right w:w="85" w:type="dxa"/>
        </w:tblCellMar>
        <w:tblLayout w:type="fixed"/>
      </w:tblPr>
      <w:tblGrid>
        <w:gridCol w:w="1872"/>
        <w:gridCol w:w="1224"/>
        <w:gridCol w:w="1224"/>
        <w:gridCol w:w="1296"/>
        <w:gridCol w:w="1296"/>
        <w:gridCol w:w="1224"/>
        <w:gridCol w:w="1080"/>
      </w:tblGrid>
      <w:tr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First score year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Indonesia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Malaysia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Philippines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Singapore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Thailand</w:t>
            </w:r>
          </w:p>
        </w:tc>
        <w:tc>
          <w:tcPr>
            <w:tcW w:type="dxa" w:w="108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2015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2016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2017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2018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2019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2020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141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193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237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2023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109</w:t>
            </w:r>
          </w:p>
        </w:tc>
      </w:tr>
      <w:tr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36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Firms first scored in 2014 are excluded because they have no pre-coverage year.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Fig. S1</w:t>
      </w:r>
      <w:r>
        <w:t xml:space="preserve"> </w:t>
      </w:r>
      <w:r>
        <w:rPr/>
        <w:t>Number of non-financial firms by year of first LSEG ESG score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I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40" w:before="0"/>
      </w:pPr>
      <w:r>
        <w:rPr>
          <w:sz w:val="20"/>
        </w:rPr>
        <w:t>Bars show the number of firms in the estimation sample first scored in each year, all five markets combined.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S3</w:t>
      </w:r>
      <w:r>
        <w:t xml:space="preserve"> </w:t>
      </w:r>
      <w:r>
        <w:rPr/>
        <w:t>Estimates of the average effect of the first LSEG ESG score by market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85" w:type="dxa"/>
          <w:right w:w="85" w:type="dxa"/>
        </w:tblCellMar>
        <w:tblLayout w:type="fixed"/>
      </w:tblPr>
      <w:tblGrid>
        <w:gridCol w:w="1728"/>
        <w:gridCol w:w="1584"/>
        <w:gridCol w:w="1584"/>
        <w:gridCol w:w="1584"/>
        <w:gridCol w:w="1584"/>
        <w:gridCol w:w="1296"/>
      </w:tblGrid>
      <w:tr>
        <w:tc>
          <w:tcPr>
            <w:tcW w:type="dxa" w:w="172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Market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Leverage (ratio)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firms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Indonesia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0.054 (0.128)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−0.018 (0.109)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0.023 (0.018)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0.123* (0.070)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Malaysia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0.009 (0.033)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−0.114** (0.048)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0.002 (0.006)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0.033 (0.024)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372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Philippines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−0.006 (0.109)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0.101 (0.128)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0.041 (0.028)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0.025 (0.079)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Singapore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−0.037 (0.073)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0.143* (0.087)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0.048** (0.020)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0.013 (0.084)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72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Thailand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0.027 (0.047)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0.059 (0.059)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0.025* (0.013)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0.017 (0.040)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157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Cells show the average effect over event years 0 to 3 estimated within each market, with bootstrap standard errors in parentheses. *, **, and *** denote significance at 10%, 5%, and 1% (unadjusted p-values).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 and Compustat Global.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S4</w:t>
      </w:r>
      <w:r>
        <w:t xml:space="preserve"> </w:t>
      </w:r>
      <w:r>
        <w:rPr/>
        <w:t>Firm-years and firms available for each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85" w:type="dxa"/>
          <w:right w:w="85" w:type="dxa"/>
        </w:tblCellMar>
        <w:tblLayout w:type="fixed"/>
      </w:tblPr>
      <w:tblGrid>
        <w:gridCol w:w="2448"/>
        <w:gridCol w:w="1440"/>
        <w:gridCol w:w="1296"/>
        <w:gridCol w:w="1440"/>
        <w:gridCol w:w="1296"/>
        <w:gridCol w:w="1440"/>
      </w:tblGrid>
      <w:tr>
        <w:tc>
          <w:tcPr>
            <w:tcW w:type="dxa" w:w="244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firm-years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firms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Never-scored firm-years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Never-scored firms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Share missing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6,482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674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20,706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2,552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0.248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6,710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675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22,417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2,576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0.195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6,524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672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22,333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2,547</w:t>
            </w:r>
          </w:p>
        </w:tc>
        <w:tc>
          <w:tcPr>
            <w:tcW w:type="dxa" w:w="144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0.202</w:t>
            </w:r>
          </w:p>
        </w:tc>
      </w:tr>
      <w:tr>
        <w:tc>
          <w:tcPr>
            <w:tcW w:type="dxa" w:w="244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ln(assets)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6,916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675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24,814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2,611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0.123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Counts refer to the estimation sample; the last column is the share of firm-years with a missing outcome.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 and Compustat Global.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S5</w:t>
      </w:r>
      <w:r>
        <w:t xml:space="preserve"> </w:t>
      </w:r>
      <w:r>
        <w:rPr/>
        <w:t>Relative-magnitude bounds for the average effect of the first LSEG ESG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85" w:type="dxa"/>
          <w:right w:w="85" w:type="dxa"/>
        </w:tblCellMar>
        <w:tblLayout w:type="fixed"/>
      </w:tblPr>
      <w:tblGrid>
        <w:gridCol w:w="2448"/>
        <w:gridCol w:w="864"/>
        <w:gridCol w:w="1728"/>
        <w:gridCol w:w="1296"/>
        <w:gridCol w:w="2304"/>
      </w:tblGrid>
      <w:tr>
        <w:tc>
          <w:tcPr>
            <w:tcW w:type="dxa" w:w="244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M̄</w:t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Max pre-period change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Bias bound</w:t>
            </w:r>
          </w:p>
        </w:tc>
        <w:tc>
          <w:tcPr>
            <w:tcW w:type="dxa" w:w="230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Robust 95% interval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[−0.046, 0.048]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0.025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[−0.071, 0.073]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[−0.096, 0.098]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0.101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[−0.147, 0.148]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[−0.109, 0.003]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[−0.144, 0.038]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0.070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[−0.179, 0.073]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0.140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[−0.249, 0.143]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[−0.001, 0.018]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0.007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[−0.007, 0.025]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0.013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[−0.014, 0.031]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0.026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[−0.027, 0.044]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ln(assets)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[0.007, 0.081]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ln(assets)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0.020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[−0.012, 0.101]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ln(assets)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0.039</w:t>
            </w:r>
          </w:p>
        </w:tc>
        <w:tc>
          <w:tcPr>
            <w:tcW w:type="dxa" w:w="230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[−0.032, 0.120]</w:t>
            </w:r>
          </w:p>
        </w:tc>
      </w:tr>
      <w:tr>
        <w:tc>
          <w:tcPr>
            <w:tcW w:type="dxa" w:w="244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ln(assets)</w:t>
            </w:r>
          </w:p>
        </w:tc>
        <w:tc>
          <w:tcPr>
            <w:tcW w:type="dxa" w:w="86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0.078</w:t>
            </w:r>
          </w:p>
        </w:tc>
        <w:tc>
          <w:tcPr>
            <w:tcW w:type="dxa" w:w="230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[−0.071, 0.159]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The bias bound is M̄ times the largest change between consecutive pre-coverage estimates times the weighted mean of (e + 1) over event years 0 to 3 (Eq. 10). The robust interval widens the bootstrap 95% interval by this bound.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 and Compustat Global.</w:t>
      </w:r>
    </w:p>
    <w:p>
      <w:r>
        <w:br w:type="page"/>
      </w:r>
    </w:p>
    <w:p>
      <w:pPr>
        <w:spacing w:line="240" w:lineRule="auto" w:after="120" w:before="0"/>
      </w:pPr>
      <w:r>
        <w:rPr>
          <w:b/>
        </w:rPr>
        <w:t>Table S6</w:t>
      </w:r>
      <w:r>
        <w:t xml:space="preserve"> </w:t>
      </w:r>
      <w:r>
        <w:rPr/>
        <w:t>Scored firms and control firms by event year for ln(MTB)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85" w:type="dxa"/>
          <w:right w:w="85" w:type="dxa"/>
        </w:tblCellMar>
        <w:tblLayout w:type="fixed"/>
      </w:tblPr>
      <w:tblGrid>
        <w:gridCol w:w="1728"/>
        <w:gridCol w:w="1872"/>
        <w:gridCol w:w="1584"/>
        <w:gridCol w:w="3168"/>
      </w:tblGrid>
      <w:tr>
        <w:tc>
          <w:tcPr>
            <w:tcW w:type="dxa" w:w="172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Event year</w:t>
            </w:r>
          </w:p>
        </w:tc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firms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Cohorts</w:t>
            </w:r>
          </w:p>
        </w:tc>
        <w:tc>
          <w:tcPr>
            <w:tcW w:type="dxa" w:w="316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Control firms (range)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−5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497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1,420–1,732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−4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521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1,431–1,800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−3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549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1,444–1,899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−2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581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1,455–2,065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615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1,453–2,189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578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1,442–2,034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483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1,430–1,895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270</w:t>
            </w:r>
          </w:p>
        </w:tc>
        <w:tc>
          <w:tcPr>
            <w:tcW w:type="dxa" w:w="158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1,418–1,796</w:t>
            </w:r>
          </w:p>
        </w:tc>
      </w:tr>
      <w:tr>
        <w:tc>
          <w:tcPr>
            <w:tcW w:type="dxa" w:w="172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141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6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1,407–1,732</w:t>
            </w:r>
          </w:p>
        </w:tc>
      </w:tr>
    </w:tbl>
    <w:p>
      <w:pPr>
        <w:spacing w:line="240" w:lineRule="auto" w:after="40" w:before="0"/>
      </w:pPr>
      <w:r>
        <w:rPr>
          <w:sz w:val="20"/>
        </w:rPr>
        <w:t>Scored firms are summed over cohorts; control firms are the smallest and largest number of never-scored firms across cohort cells.</w:t>
      </w:r>
    </w:p>
    <w:p>
      <w:pPr>
        <w:spacing w:line="240" w:lineRule="auto" w:after="40" w:before="0"/>
      </w:pPr>
      <w:r>
        <w:rPr>
          <w:sz w:val="20"/>
        </w:rPr>
        <w:t>Source: Authors' calculations from LSEG ESG scores and Compustat Global.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