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120" w:before="240"/>
      </w:pPr>
      <w:r>
        <w:rPr>
          <w:b/>
          <w:sz w:val="24"/>
        </w:rPr>
        <w:t>Plain Language Summary</w:t>
      </w:r>
    </w:p>
    <w:p>
      <w:pPr>
        <w:spacing w:line="360" w:lineRule="auto" w:after="120" w:before="0"/>
        <w:jc w:val="both"/>
      </w:pPr>
      <w:r>
        <w:rPr/>
        <w:t>Rating agencies decide which listed firms receive an environmental, social, and governance (ESG) score. We study 675 firms in Indonesia, Malaysia, the Philippines, Singapore, and Thailand that received their first score from the London Stock Exchange Group between 2015 and 2024, and compare them with firms that were never scored. Scored firms grew faster than similar unscored firms in the years before their first score. After the first score, their market value relative to book value did not rise. The first score tends to arrive when a firm's valuation is at its peak, so comparisons of rated and unrated firms can confuse selection with an effect of the rating.</w:t>
      </w:r>
    </w:p>
    <w:p>
      <w:pPr>
        <w:keepNext/>
        <w:spacing w:line="360" w:lineRule="auto" w:after="120" w:before="240"/>
      </w:pPr>
      <w:r>
        <w:rPr>
          <w:b/>
          <w:sz w:val="24"/>
        </w:rPr>
        <w:t>Suggested X post</w:t>
      </w:r>
    </w:p>
    <w:p>
      <w:pPr>
        <w:spacing w:line="360" w:lineRule="auto" w:after="120" w:before="0"/>
        <w:jc w:val="both"/>
      </w:pPr>
      <w:r>
        <w:rPr/>
        <w:t>Does a first ESG score raise a firm's value? In five Southeast Asian markets, firms grew faster before their first LSEG score; afterwards, market-to-book ratios did not rise. Ratings select firms at their valuation peak.</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