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Scored firms' market capitalization and market-to-book ratios grew faster than those of comparable firms before their first scored year.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Stambaugh, and Taylor, 2021; Pedersen, Fitzgibbons, and Pomorski, 2021). Evidence from mutual funds shows that investors respond strongly to newly published sustainability ratings (Hartzmark and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is likely to enter a provider's universe after it has become large, liquid, or visible enough to matter to the provider's clients, for example by joining an index, so coverage resembles an index addition. Additions to a major index raise prices around the announcement (Shleifer, 1986; Harris and Gurel, 1986), part of the effect reverses within weeks (Harris and Gurel, 1986), and a permanent component has been attributed to greater investor awareness (Chen, Noronha, and Singal,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The studies of rating coverage that we build on use U.S. firms. Tsang, Wang, Xiang, and Yu (2024) find that firms covered by more ESG rating agencies commit fewer ESG violations, and the same authors document dividend changes after the initiation of coverage by non-financial rating agencies (Tsang, Wang, Xiang, and Yu,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and Ljungqvist, 2012), and the first analyst report on a neglected stock earns a positive announcement return that is driven by favorable coverage rather than by coverage as such (Demiroglu and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and serve as comparison firms.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(Goodman-Bacon, 2021; Baker, Larcker, and Wang, 2022). The primary outcome is the natural logarithm of the market-to-book (MTB) ratio. We recorded the hypotheses, sample rules, estimator, and robustness checks in a pre-analysis plan, which was committed to the project's version-control history before the estimation code and is included in the replication package,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From event year −5 to the base year, a span of four years, their market capitalization grew 14.1 percent more and their MTB ratio 10.0 percent more than those of comparable firms.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This decline is measured from the first scored year, the year of peak valuation, so it cannot separate a reversal of the run-up from an effect of coverage. Under parallel trends, valuations therefore peak around the first scored year and do not rise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Because the upper limit of the unadjusted interval lies just below a 5 percent increase, any such departure admits positive effects of that size. What the data support is an ordering of events: the first score follows a period of relative growth and coincides with a valuation peak, and under parallel trends no specification detects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and Rigobon, 2022), disagreement rises with disclosure (Christensen, Serafeim, and Sikochi, 2022), and it carries a return premium and affects demand (Gibson Brandon, Krueger, and Schmidt, 2021; Avramov, Cheng, Lioui, and Tarelli, 2022). The historical scores of the provider we study have been rewritten on a large scale (Berg, Fabisik, and Sautner, 2020), and its recent scores remain subject to revision (Sahin, Bax, Paterlini, and Czado, 2023). We add emerging-market evidence on the extensive margin of coverage, measured against a large group of never-scored firms, and show that selection into coverage matters for any comparison of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methods.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Stambaugh, and Taylor, 2021; Pedersen, Fitzgibbons, and Pomorski,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and Sussman, 2019), and the holdings of ESG funds in the United States respond to the ratings of one provider more than to those of others (Berg, Heeb, and Kölbel, 2022). Scores from different providers disagree (Berg, Kölbel, and Rigobon, 2022), and disagreement is priced (Gibson Brandon, Krueger, and Schmidt, 2021; Avramov, Cheng, Lioui, and Tarelli, 2022).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extend coverage to firms that belong to the indices their clients track and that disclose enough information to be scored; the provider's coverage rules are not part of our data. Mandatory sustainability reporting raises the amount of information available about listed firms (Krueger, Sautner, Tang, and Zhong, 2024), which can make scoring feasible. The size of a firm also affects the score it receives: larger firms receive higher scores from the provider we study (Dobrick, Klein, and Zwergel,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Mandatory ESG disclosure raises stock liquidity most for firms with weaker information environments (Krueger, Sautner, Tang, and Zhong, 2024), so a first ESG score could matter more in emerging markets than in the United States. But if providers score only firms that are already large and closely followed, the score adds least for the firms that receive it.</w:t>
      </w:r>
    </w:p>
    <w:p>
      <w:pPr>
        <w:spacing w:line="360" w:lineRule="auto" w:after="120" w:before="0"/>
        <w:ind w:firstLine="432"/>
        <w:jc w:val="both"/>
      </w:pPr>
      <w:r>
        <w:rPr/>
        <w:t>The analogy with sell-side coverage is instructive. Losing analyst coverage raises information asymmetry and lowers prices (Kelly and Ljungqvist, 2012), while the first coverage of a neglected stock raises its price only when the coverage is favorable (Demiroglu and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(Merton, 1987; Pástor, Stambaugh, and Taylor, 2021; Pedersen, Fitzgibbons, and Pomorski, 2021). The selection view predicts no effect after coverage, together with relative growth before coverage, as for firms that are added to an index after a period of growth (Chen, Noronha, and Singal,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 as the preference channel (Pedersen, Fitzgibbons, and Pomorski, 2021) and the evidence on favorable first coverage (Demiroglu and Ryngaert, 2010)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We do not document the timing of sustainability-reporting rules in Indonesia, Malaysia, the Philippines, and Thailand.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 changes in disclosure rules (Singapore Exchange, 2016), which raise the information available about listed firms (Krueger, Sautner, Tang, and Zhong, 2024), and changes in index membership are possible reasons that we cannot observe.</w:t>
      </w:r>
    </w:p>
    <w:p>
      <w:pPr>
        <w:keepNext/>
        <w:spacing w:line="360" w:lineRule="auto" w:after="120" w:before="120"/>
      </w:pPr>
      <w:r>
        <w:rPr>
          <w:b/>
          <w:i/>
          <w:sz w:val="24"/>
        </w:rPr>
        <w:t>3.2. Sample and coverage timing</w:t>
      </w:r>
    </w:p>
    <w:p>
      <w:pPr>
        <w:spacing w:line="360" w:lineRule="auto" w:after="120" w:before="0"/>
        <w:ind w:firstLine="432"/>
        <w:jc w:val="both"/>
      </w:pPr>
      <w:r>
        <w:rPr/>
        <w:t xml:space="preserve">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The files do not record the date on which the scores were downloaded, so the vintage of the recent, revisable scores is not known exactly. This data set also underlies a companion study with a different research question (Nguyen Thanh Binh, Nguyen Van Trung, and Nguyen Anh Tuan, "GRI Adoption and Corporate Brownwashing: Board Governance Evidence from ASEAN-5," under review at the </w:t>
      </w:r>
      <w:r>
        <w:rPr>
          <w:i/>
        </w:rPr>
        <w:t>International Journal of Management and Sustainability</w:t>
      </w:r>
      <w:r>
        <w:rPr/>
        <w:t>).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which is the staggered-adoption setting of Callaway and Sant'Anna (2021). We drop the 135 firms that were already scored in 2014 because they have no pre-coverage year. The estimation sample has 3,288 firms and 36,168 firm-years: 675 firms first scored between 2015 and 2024 and 2,613 firms never scored. This is the full firm-year grid; a firm-year enters an estimate only when the outcome is observed in both the base year and the comparison year, and MTB ratios at or below zero (negative book equity) are set to missing. Table IA4 of the Internet Appendix reports the number of firm-years available for each outcome, and Table IA6 the number of scored firms by event year. Of the 274 scored firms in cohorts observed through event year 3 that have an MTB ratio in the base year, 271 (98.9 percent) also have one in event year 3; the others leave the sample through delisting or missing data. Never-scored firms are much smaller on average, and many trade thinly. Because the comparison rests on changes adjusted for size, country, and industry, it does not require similar levels, but it does require enough never-scored firms of comparable size, which the check that drops small control firms (Section 4.5) addresses.</w:t>
      </w:r>
    </w:p>
    <w:p>
      <w:pPr>
        <w:spacing w:line="360" w:lineRule="auto" w:after="120" w:before="0"/>
        <w:ind w:firstLine="432"/>
        <w:jc w:val="both"/>
      </w:pPr>
      <w:r>
        <w:rPr/>
        <w:t xml:space="preserve">The treatment year need not be the year in which investors could first see a score, for two reasons.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Fabisik, and Sautner,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never earlier, so they cannot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We follow the notation of Callaway and Sant'Anna (2021). 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and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given the covariates, scored firms' outcomes would have changed from year </w:t>
      </w:r>
      <w:r>
        <w:rPr>
          <w:i/>
        </w:rPr>
        <w:t>g</w:t>
      </w:r>
      <w:r>
        <w:rPr/>
        <w:t xml:space="preserve"> − 1 to year </w:t>
      </w:r>
      <w:r>
        <w:rPr>
          <w:i/>
        </w:rPr>
        <w:t>t</w:t>
      </w:r>
      <w:r>
        <w:rPr/>
        <w:t xml:space="preserve"> as those of never-scored firms did; it concerns changes, so the size differences in Table 1 do not violate it by themselves. It is violated when scored firms were on a different path before coverage, as would happen if coverage followed a period of growth of the kind that precedes index additions (Chen, Noronha, and Singal, 2004). We test this implication with the pre-coverage estimates, and we do not rely on the test alone, because pre-trend tests can have low power and conditioning on them can distort inference (Roth, 2022).</w:t>
      </w:r>
    </w:p>
    <w:p>
      <w:pPr>
        <w:pageBreakBefore/>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This is the outcome-regression version of the group-time estimator of Callaway and Sant'Anna (2021); the doubly robust version of Sant'Anna and Zhao (2020) adds a propensity-score model, which we do not use because scored and never-scored firms overlap poorly in size: 24.6 percent of scored firms are larger in the base year than the 95th percentile of never-scored firms in the same year. Poor overlap also means that the outcome regression extrapolates for the largest scored firms, and the robustness check R4 trims control firms only from below. 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Following the aggregation scheme of Callaway and Sant'Anna (2021), we average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 a variant of the simple aggregation in Callaway and Sant'Anna (2021):</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a problem that Callaway and Sant'Anna (2021) and Baker, Larcker, and Wang (2022) discuss for event-study aggregations.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one of the two comparison groups proposed by Callaway and Sant'Anna (2021). Firms scored later are likely to be growing toward the provider's universe themselves, so we add them to the controls only as a robustness check. Second, all comparisons use the year before coverage as the base year, including those for the years before coverage, so that pre-coverage and post-coverage estimates are measured against the same reference point, as the pre-trend analysis of Roth (2022) presumes. A negative pre-coverage estimate θ̂(</w:t>
      </w:r>
      <w:r>
        <w:rPr>
          <w:i/>
        </w:rPr>
        <w:t>e</w:t>
      </w:r>
      <w:r>
        <w:rPr/>
        <w:t xml:space="preserve">), </w:t>
      </w:r>
      <w:r>
        <w:rPr>
          <w:i/>
        </w:rPr>
        <w:t>e</w:t>
      </w:r>
      <w:r>
        <w:rPr/>
        <w:t xml:space="preserve"> ≤ −2, therefore means that scored firms grew faster than comparable never-scored firms from year </w:t>
      </w:r>
      <w:r>
        <w:rPr>
          <w:i/>
        </w:rPr>
        <w:t>g</w:t>
      </w:r>
      <w:r>
        <w:rPr/>
        <w:t xml:space="preserve"> + </w:t>
      </w:r>
      <w:r>
        <w:rPr>
          <w:i/>
        </w:rPr>
        <w:t>e</w:t>
      </w:r>
      <w:r>
        <w:rPr/>
        <w:t xml:space="preserve"> to year </w:t>
      </w:r>
      <w:r>
        <w:rPr>
          <w:i/>
        </w:rPr>
        <w:t>g</w:t>
      </w:r>
      <w:r>
        <w:rPr/>
        <w:t xml:space="preserve"> − 1. Third, the covariates are measured in the base year, at the end of any run-up. Because the provider's scores rise with firm size (Dobrick, Klein, and Zwergel, 2023), size is the covariate most closely related to selection into coverage.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as recommended by Callaway and Sant'Anna (2021) for aggregated group-time effects. We resample firms with replacement, keeping each firm's time series intact, and use the same 999 draws, with a fixed seed,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confidence intervals are not adjusted for multiple testing, whereas the </w:t>
      </w:r>
      <w:r>
        <w:rPr>
          <w:i/>
        </w:rPr>
        <w:t>p</w:t>
      </w:r>
      <w:r>
        <w:rPr/>
        <w:t xml:space="preserve">-values of the secondary outcomes are Holm-adjusted, so an interval that excludes zero can accompany an adjusted </w:t>
      </w:r>
      <w:r>
        <w:rPr>
          <w:i/>
        </w:rPr>
        <w:t>p</w:t>
      </w:r>
      <w:r>
        <w:rPr/>
        <w:t xml:space="preserve">-value above 5%, as for total assets in Table 2. The joint test of parallel pre-trends uses the event-time estimates for </w:t>
      </w:r>
      <w:r>
        <w:rPr>
          <w:i/>
        </w:rPr>
        <w:t>e</w:t>
      </w:r>
      <w:r>
        <w:rPr/>
        <w:t xml:space="preserve"> = −5 to −2 and their bootstrap covariance matrix; following Roth (2022), we report it as a diagnostic and do not condition the analysis on its outcome:</w:t>
      </w:r>
    </w:p>
    <w:p>
      <w:pPr>
        <w:pageBreakBefore/>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from Eq. (6) with bootstrap standard errors and percentile 95% confidence intervals, which are not adjusted for multiple testing; p-values for the three secondary outcomes are Holm-adjusted. MDE is the minimum detectable effect at 80% power, and pre-trend p is the joint test of Eq. (8). Log outcomes are in log points and book leverage is a ratio.</w:t>
      </w:r>
    </w:p>
    <w:p>
      <w:pPr>
        <w:spacing w:line="240" w:lineRule="auto" w:after="40" w:before="0"/>
      </w:pPr>
      <w:r>
        <w:rPr>
          <w:sz w:val="20"/>
        </w:rPr>
        <w:t>Source: Authors' calculations from LSEG ESG scores and Compustat Global.</w:t>
      </w:r>
    </w:p>
    <w:p>
      <w:r>
        <w:br w:type="page"/>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 The firm-level bootstrap treats firms as independent draws and does not account for correlation within market-level coverage waves, so the confidence intervals and pre-trend </w:t>
      </w:r>
      <w:r>
        <w:rPr>
          <w:i/>
        </w:rPr>
        <w:t>p</w:t>
      </w:r>
      <w:r>
        <w:rPr/>
        <w:t>-values may be too narrow. Market-level differences in disclosure rules (Singapore Exchange, 2016; Krueger, Sautner, Tang, and Zhong, 2024) are one reason why common shocks within a market are plausible.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and because a pre-trend test that fails to reject is weak evidence for parallel trends (Roth, 2022),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the static two-way fixed effects regression that Goodman-Bacon (2021) and Baker, Larcker, and Wang (2022) analyze,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with staggered timing it also uses already-scored firms as controls for later cohorts, which biases β when effects change over time (Goodman-Bacon, 2021; Baker, Larcker, and Wang, 2022).</w:t>
      </w:r>
    </w:p>
    <w:p>
      <w:pPr>
        <w:spacing w:line="360" w:lineRule="auto" w:after="120" w:before="0"/>
        <w:ind w:firstLine="432"/>
        <w:jc w:val="both"/>
      </w:pPr>
      <w:r>
        <w:rPr/>
        <w:t xml:space="preserve">The pre-analysis plan fixed rows R1 to R6 of Table 3: four robustness checks, a placebo, and the benchmark regression of Eq. (11). The checks add not-yet-scored firms to the controls, which is the alternative comparison group of Callaway and Sant'Anna (2021); drop the covariates; exclude the 2020 and 2021 cohorts; and keep only control firms whose log total assets in year </w:t>
      </w:r>
      <w:r>
        <w:rPr>
          <w:i/>
        </w:rPr>
        <w:t>g</w:t>
      </w:r>
      <w:r>
        <w:rPr/>
        <w:t xml:space="preserve"> − 1 are at or above the 10th percentile of the scored firms in the cohort (a lower bound only). The placebo dates coverage three years before the first score and uses only years before the actual score. Besides the checks in Section 4.4, we added four exploratory analyses: dating coverage one year later, with its own pre-trend test and bounds; restricting the sample to cohorts observed through event year three; excluding one market at a time; and estimating the model separately for each market.</w:t>
      </w:r>
    </w:p>
    <w:p>
      <w:pPr>
        <w:pageBreakBefore/>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capitalization)</w:t>
            </w:r>
          </w:p>
        </w:tc>
        <w:tc>
          <w:tcPr>
            <w:tcW w:type="dxa" w:w="1656"/>
            <w:tcBorders>
              <w:top w:val="single" w:sz="6" w:color="000000"/>
              <w:bottom w:val="single" w:sz="6" w:color="000000"/>
            </w:tcBorders>
          </w:tcPr>
          <w:p>
            <w:pPr>
              <w:spacing w:after="0" w:line="240" w:lineRule="auto"/>
              <w:jc w:val="center"/>
            </w:pPr>
            <w:r/>
            <w:r>
              <w:rPr>
                <w:b/>
                <w:sz w:val="18"/>
              </w:rPr>
              <w:t>Book leverage</w:t>
            </w:r>
          </w:p>
        </w:tc>
        <w:tc>
          <w:tcPr>
            <w:tcW w:type="dxa" w:w="1656"/>
            <w:tcBorders>
              <w:top w:val="single" w:sz="6" w:color="000000"/>
              <w:bottom w:val="single" w:sz="6" w:color="000000"/>
            </w:tcBorders>
          </w:tcPr>
          <w:p>
            <w:pPr>
              <w:spacing w:after="0" w:line="240" w:lineRule="auto"/>
              <w:jc w:val="center"/>
            </w:pPr>
            <w:r/>
            <w:r>
              <w:rPr>
                <w:b/>
                <w:sz w:val="18"/>
              </w:rPr>
              <w:t>ln(total assets)</w:t>
            </w:r>
          </w:p>
        </w:tc>
      </w:tr>
      <w:tr>
        <w:tc>
          <w:tcPr>
            <w:tcW w:type="dxa" w:w="2736"/>
          </w:tcPr>
          <w:p>
            <w:pPr>
              <w:spacing w:after="0" w:line="240" w:lineRule="auto"/>
            </w:pPr>
            <w:r/>
            <w:r>
              <w:rPr>
                <w:sz w:val="18"/>
              </w:rPr>
              <w:t>Baseline (never-scored controls, covariates)</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firms added to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Excluding 2020 and 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Controls on treated size support</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coverage dated three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Static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Linear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Controlling for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Excluding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Treatment dated one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observed through event year 3</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ESG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ESG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Difference, 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rows R1 to R6 were pre-specified and rows R7 to R11 are exploratory. Log outcomes are in log points and book leverage is a ratio.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fit the view that providers extend coverage to large and visible firms (Section 2.2), and the size gap matters for the scores themselves, because larger firms receive higher scores from this provider (Dobrick, Klein, and Zwergel, 2023). They motivate the comparison of changes and the adjustment for size, country, and industry in Eq. (3).</w:t>
      </w:r>
    </w:p>
    <w:p>
      <w:pPr>
        <w:spacing w:line="360" w:lineRule="auto" w:after="120" w:before="0"/>
        <w:ind w:firstLine="432"/>
        <w:jc w:val="both"/>
      </w:pPr>
      <w:r>
        <w:rPr/>
        <w:t>The medians agree: the median MTB ratio is 1.26 for scored firms and 0.95 for never-scored firm-years, while median leverage is almost the same (0.217 and 0.205). Return on assets is available for far fewer firm-years (Table 1), so we use it only descriptively. The higher MTB level of scored firms fits the pre-coverage growth documented in Section 5.3, as for firms added to an index (Chen, Noronha, and Singal, 2004).</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an effect of about 7.0 percent on the MTB ratio would be detected with 80% probability. The range of effects compatible with the data under assumption (2) is given by the confidence interval, not by the MDE, and it includes increases of a few percent.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 Under assumption (2), the MTB estimate gives no sign of the positive effect that the recognition channel of Merton (1987) and the preference channel of Pástor, Stambaugh, and Taylor (2021) and Pedersen, Fitzgibbons, and Pomorski (2021) predict. Hartzmark and Sussman (2019) show that fund flows respond strongly to newly published sustainability ratings; that channel concerns demand for funds, and our estimate indicates that it did not produce a lasting valuation gain for newly scored firms in these markets. U.S. studies find changes in firm conduct and financial policy after coverage (Tsang et al., 2024; Tsang et al., 2025; Bikmetova and Pirinsky, 2026); our outcomes differ from theirs.</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For market capitalization, the estimates for event years −5 and −4, four and three years before the base year, are −0.132 and −0.125; for MTB, they are −0.095 and −0.082. This run-up resembles the growth that precedes additions to a major index (Shleifer, 1986; Harris and Gurel, 1986; Chen, Noronha, and Singal, 2004) and is the pattern the selection view in Section 2.2 predicts.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 As Roth (2022) cautions, a joint test that does not reject at the 5% level, as for MTB, is not evidence that pre-trends are absent.</w:t>
      </w:r>
    </w:p>
    <w:p>
      <w:pPr>
        <w:pageBreakBefore/>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the estimates of Eq. (5) relative to the year before the first score (event year −1, set to zero) and bars show bootstrap 95% confidence intervals; open circles with dotted bars are years before the first score and filled circles with solid bars are the year of the first score and later years. Log outcomes are in log points and book leverage is a ratio; controls are never-scored firms, with the covariates of Eq. (3) (628 scored and 2,412 control firms for ln MTB), and event year 4 is shown but not included in Eq. (6).</w:t>
      </w:r>
    </w:p>
    <w:p>
      <w:pPr>
        <w:spacing w:line="240" w:lineRule="auto" w:after="40" w:before="0"/>
      </w:pPr>
      <w:r>
        <w:rPr>
          <w:sz w:val="20"/>
        </w:rPr>
        <w:t>Source: Authors' calculations from LSEG ESG scores and Compustat Global.</w:t>
      </w:r>
    </w:p>
    <w:p>
      <w:r>
        <w:br w:type="page"/>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141 scored firms from 6 cohorts reach, the MTB estimate is −0.077 (</w:t>
      </w:r>
      <w:r>
        <w:rPr>
          <w:i/>
        </w:rPr>
        <w:t>p</w:t>
      </w:r>
      <w:r>
        <w:rPr/>
        <w:t xml:space="preserve"> = 0.209) and the market capitalization estimate is 0.088 (</w:t>
      </w:r>
      <w:r>
        <w:rPr>
          <w:i/>
        </w:rPr>
        <w:t>p</w:t>
      </w:r>
      <w:r>
        <w:rPr/>
        <w:t xml:space="preserve"> = 0.153); we plot event year 4 but exclude it from Eq. (6) for this reason.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with no mirror image of the price decline that follows a loss of analyst coverage (Kelly and Ljungqvist, 2012). Falling leverage before the base year and rising total assets fit firms that raise equity or grow their assets before they enter coverage.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estimated from 646 scored and 2,412 control firms. The market capitalization effect is −0.073 (</w:t>
      </w:r>
      <w:r>
        <w:rPr>
          <w:i/>
        </w:rPr>
        <w:t>p</w:t>
      </w:r>
      <w:r>
        <w:rPr/>
        <w:t xml:space="preserve"> = 0.016), and the asset effect is −0.006. This estimate assumes parallel trends from the first scored year, which is the year of peak valuation. The joint pre-trend test for this dating gives </w:t>
      </w:r>
      <w:r>
        <w:rPr>
          <w:i/>
        </w:rPr>
        <w:t>p</w:t>
      </w:r>
      <w:r>
        <w:rPr/>
        <w:t xml:space="preserve"> = 0.072, and with M̄ = 0.25 in Eq. (10) its robust interval is −0.138 to 0.002, which includes zero; the decline is no longer significant once M̄ reaches 0.23. Two readings fit the decline. If the provider selects firms after a period of unusually high valuation and part of that valuation later reverses, the decline measures the reversal, and it can hide a positive effect of coverage that offsets part of it. If valuations would otherwise have stayed at their peak, coverage lowered them. The data cannot separate the two readings. Because scores were backfilled or revised (Berg, Fabisik, and Sautner, 2020; Sahin et al., 2023), later dating also moves the base year closer to the end of the run-up.</w:t>
      </w:r>
    </w:p>
    <w:p>
      <w:pPr>
        <w:spacing w:line="360" w:lineRule="auto" w:after="120" w:before="0"/>
        <w:ind w:firstLine="432"/>
        <w:jc w:val="both"/>
      </w:pPr>
      <w:r>
        <w:rPr/>
        <w:t>Restricting the sample to the 7 cohorts first scored no later than 2021, which are observed through event year 3 (row R11; 273 scored and 2,032 control firms), gives an MTB effect of −0.008 (</w:t>
      </w:r>
      <w:r>
        <w:rPr>
          <w:i/>
        </w:rPr>
        <w:t>p</w:t>
      </w:r>
      <w:r>
        <w:rPr/>
        <w:t xml:space="preserve"> = 0.806), so the change in cohort composition across event years does not explain the headline estimate, although the smaller sample widens the interval. Removing a linear pre-trend with Eq. (9) (row R7) changes the MTB effect to −0.052 (95% interval −0.118 to 0.014). The estimate is negative because a continued run-up would have raised valuations further;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 If part of the pre-coverage growth reflected temporary demand of the kind documented around index additions, whose price effects partly reverse (Harris and Gurel, 1986), this comparison partly accounts for the reversal and shows no significant gain, but its interval, from −0.021 to 0.077, admits gains of several percent. It conditions only on the growth of market capitalization from year </w:t>
      </w:r>
      <w:r>
        <w:rPr>
          <w:i/>
        </w:rPr>
        <w:t>g</w:t>
      </w:r>
      <w:r>
        <w:rPr/>
        <w:t xml:space="preserve"> − 3 to year </w:t>
      </w:r>
      <w:r>
        <w:rPr>
          <w:i/>
        </w:rPr>
        <w:t>g</w:t>
      </w:r>
      <w:r>
        <w:rPr/>
        <w:t xml:space="preserve"> − 1, and control firms matched on past growth can themselves revert, so it does not settle the reversal question.</w:t>
      </w:r>
    </w:p>
    <w:p>
      <w:pPr>
        <w:spacing w:line="360" w:lineRule="auto" w:after="120" w:before="0"/>
        <w:ind w:firstLine="432"/>
        <w:jc w:val="both"/>
      </w:pPr>
      <w:r>
        <w:rPr/>
        <w:t>Table IA5 of the Internet Appendix reports the bounds of Eq. (10), which follow the logic of the relative-magnitudes restriction of Rambachan and Roth (2023).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upper limit of the unadjusted interval, 0.048, lies just below a 5 percent increase in the MTB ratio (0.049 log points): any departure with M̄ of 0.01 or more admits an increase of 5 percent, and any departure at all admits a positive effect. The post-coverage null and the absence of a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including the change of comparison group proposed by Callaway and Sant'Anna (2021) and the removal of the outcome-regression covariates of Sant'Anna and Zhao (2020).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ranges from 0.011 without covariates to 0.101 under the size restriction, so we do not read the asset estimate in Table 2 as evidence that coverage causes growth.</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 Part of the gap between row R6 and the baseline reflects the covariates and the event window, since the heterogeneity-robust estimate without covariates is 0.025 (row R2); the remainder is an example of the biases of static two-way fixed effects regressions under staggered timing described by Goodman-Bacon (2021) and Baker, Larcker, and Wang (2022).</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 The Singaporean estimate, of interest because reporting became mandatory there from financial year 2017 (Singapore Exchange, 2016; Krueger, Sautner, Tang, and Zhong, 2024), is small and imprecise.</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The preference channel (Pedersen, Fitzgibbons, and Pomorski, 2021) and the evidence on favorable first coverage (Demiroglu and Ryngaert, 2010) predict such a difference; a weak signal, given that providers disagree (Berg, Kölbel, and Rigobon, 2022; Christensen, Serafeim, and Sikochi, 2022), is one reason it may be absent.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Under assumption (2), the upper end of the headline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ratios measured at fiscal year-end would miss an announcement effect of that size that reverses within weeks, so our estimates speak to lasting revaluation, as a permanent increase in investor recognition would produce (Merton, 1987; Chen, Noronha, and Singal, 2004), and not to temporary price pressure (Harris and Gurel, 1986).</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Under assumption (2), a lasting valuation effect as large as half of the MTB run-up would lie just outside the headline interval, so any such effect is small relative to the growth that precedes coverage, which is consistent with a provider that covers firms after they have become visible to investors (Merton, 1987; Chen, Noronha, and Singal, 2004).</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MTB path after the first score admits three readings, which differ in how the pre-coverage trend would have evolved (Roth, 2022; Rambachan and Roth, 2023). Under parallel paths from the base year, coverage had no effect within the interval of Section 5.2. If the run-up would have continued, coverage lowered valuations relative to that trend, as the trend-adjusted estimate reads it. If instead the run-up was partly transitory and would have reversed, the flat path is consistent with a positive effect of coverage that offset the reversal. The last reading deserves weight: firms selected after relative growth are likely selected partly on transitory value, as the partial reversal of index-addition effects illustrates (Harris and Gurel, 1986; Chen, Noronha, and Singal, 2004).</w:t>
      </w:r>
    </w:p>
    <w:p>
      <w:pPr>
        <w:spacing w:line="360" w:lineRule="auto" w:after="120" w:before="0"/>
        <w:ind w:firstLine="432"/>
        <w:jc w:val="both"/>
      </w:pPr>
      <w:r>
        <w:rPr/>
        <w:t>Three pieces of evidence speak to the reversal reading. First, when coverage is dated one year later, MTB ratios decline after the first scored year. A reversal would produce such a decline, and a positive effect of coverage could offset part of it; the estimate cannot distinguish the two. Second, when scored firms are compared with never-scored firms that grew at a similar rate before coverage, and that are therefore subject to similar reversal, the MTB effect is small and insignificant, but that comparison conditions on a single measure of past growth and its interval admits gains of several percent. Third, the bounds in Section 5.4, built on the relative-magnitudes idea of Rambachan and Roth (2023), include zero for every value of M̄ we consider, but they also include effects of several percent in both directions. The evidence therefore does not show that coverage has no effect. It shows that no specification detects a valuation gain after the first score, although the bounds do not exclude one,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the most scored firms, Malaysia and Thailand, both show MTB effects close to zero, and no market shows a significant positive effect. The coverage waves differ in timing across markets: the Thai and Singaporean waves came in 2019 and 2020, the Malaysian wave in 2021 and 2022. A single shock common to all five markets is therefore a less likely explanation of the pattern, although the waves may reflect market-specific changes in disclosure rules (Singapore Exchange, 2016; Krueger, Sautner, Tang, and Zhong, 2024)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evidence on sell-side coverage suggests why a first ESG score might move prices: the loss of coverage lowers prices (Kelly and Ljungqvist, 2012), and the first report on a neglected stock raises prices when it is favorable (Demiroglu and Ryngaert, 2010). Hartzmark and Sussman (2019) document a demand channel through fund flows. Two features of ESG scores may explain why we detect no valuation gain.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 Limits on foreign ownership that apply to some listed firms in these markets could also mute a recognition channel that works through foreign ESG investors; we observe neither the limits nor foreign holdings.</w:t>
      </w:r>
    </w:p>
    <w:p>
      <w:pPr>
        <w:spacing w:line="360" w:lineRule="auto" w:after="120" w:before="0"/>
        <w:ind w:firstLine="432"/>
        <w:jc w:val="both"/>
      </w:pPr>
      <w:r>
        <w:rPr/>
        <w:t>The results also fit the evidence on rating disagreement. If ESG funds follow one provider more than others (Berg, Heeb, and Kölbel, 2022), coverage by a different provider may matter little for demand, and the dispersion of scores across providers (Berg, Kölbel, and Rigobon, 2022; Christensen, Serafeim, and Sikochi, 2022) weakens the information content of any single score. Price effects of index additions, which the pre-coverage growth resembles, are concentrated around the announcement; part of them lasts (Shleifer, 1986; Chen, Noronha, and Singal, 2004) and part reverses (Harris and Gurel, 1986), and annual data cannot isolate an effect of that kind. Our evidence complements the U.S. findings that coverage changes firm conduct (Tsang et al., 2024; Bikmetova and Pirinsky, 2026)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and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through investor recognition or preferences (Merton, 1987; Pástor, Stambaugh, and Taylor, 2021), although the evidence is conditional on assumption (2). Under that assumption, the confidence interval excludes increases of more than 4.9 percent, and smaller effects remain possible. The evidence does not speak to short-lived price effects around publication, to firms outside the scored sample, or to outcomes other than valuation and financing. For investors and exchanges, scored firms are a selected group whose valuation history differs from that of unscored firms. Whether the same ordering holds in other markets or for other providers is a question these data cannot answer.</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(including foreign holdings and foreign-ownership limits),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 erroneous value in a cohort's base year enters every group-time estimate of that cohort, and return on assets is available for a minority of firm-years. Sixth, Malaysian and Thai firms account for 84.3 percent of scored firms, so the pooled estimates weight those markets heavily,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increases above 4.9 percent but not smaller ones. Eighth, the download date of the scores is not recorded, so the vintage of revisable recent scores is not known exactly,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most of them Malaysian and Thai, grew faster than comparable never-scored firms before their first scored year and that, under parallel trends, their market-to-book ratios did not rise afterwards. The headline effect is 0.002 (95% interval −0.046 to 0.048), and dating coverage one year later gives −0.068, a decline that may reflect a reversal of the pre-coverage run-up. The first scored year therefore coincides with a valuation peak, and we detect no later gain, although departures from parallel trends of the size seen before coverage would admit effects of several percent in either direction.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Doron, Si Cheng, Abraham Lioui, and Andrea Tarelli, 2022, Sustainable investing with ESG rating uncertainty, </w:t>
      </w:r>
      <w:r>
        <w:rPr>
          <w:i/>
        </w:rPr>
        <w:t>Journal of Financial Economics</w:t>
      </w:r>
      <w:r>
        <w:rPr/>
        <w:t xml:space="preserve"> 145(2), 642–664. https://doi.org/10.1016/j.jfineco.2021.09.009</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Berg, Florian, Florian Heeb, and Julian F. Kölbel, 2022, The economic impact of ESG ratings, SAFE Working Paper No. 439. https://ssrn.com/abstract=4088545</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Bernama, 2022, Bursa Malaysia signs sustainability MoU with London Stock Exchange Group, Bernama news report, 2 November 2022. https://www.bernama.com/en/news.php?id=2134522</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Chen, Honghui, Gregory Noronha, and Vijay Singal, 2004, The price response to S&amp;P 500 index additions and deletions: Evidence of asymmetry and a new explanation, </w:t>
      </w:r>
      <w:r>
        <w:rPr>
          <w:i/>
        </w:rPr>
        <w:t>Journal of Finance</w:t>
      </w:r>
      <w:r>
        <w:rPr/>
        <w:t xml:space="preserve"> 59(4), 1901–1929. https://doi.org/10.1111/j.1540-6261.2004.00683.x</w:t>
      </w:r>
    </w:p>
    <w:p>
      <w:pPr>
        <w:spacing w:line="360" w:lineRule="auto" w:after="80" w:before="0"/>
        <w:ind w:left="432" w:hanging="432"/>
      </w:pPr>
      <w:r>
        <w:rPr/>
        <w:t xml:space="preserve">Christensen, Dane M., George Serafeim, and Anywhere Sikochi, 2022, Why is corporate virtue in the eye of the beholder? The case of ESG ratings, </w:t>
      </w:r>
      <w:r>
        <w:rPr>
          <w:i/>
        </w:rPr>
        <w:t>The Accounting Review</w:t>
      </w:r>
      <w:r>
        <w:rPr/>
        <w:t xml:space="preserve"> 97(1), 147–175. https://doi.org/10.2308/TAR-2019-0506</w:t>
      </w:r>
    </w:p>
    <w:p>
      <w:pPr>
        <w:spacing w:line="360" w:lineRule="auto" w:after="80" w:before="0"/>
        <w:ind w:left="432" w:hanging="432"/>
      </w:pPr>
      <w:r>
        <w:rPr/>
        <w:t xml:space="preserve">Demiroglu, Cem, and Michael D. Ryngaert, 2010, The first analyst coverage of neglected stocks, </w:t>
      </w:r>
      <w:r>
        <w:rPr>
          <w:i/>
        </w:rPr>
        <w:t>Financial Management</w:t>
      </w:r>
      <w:r>
        <w:rPr/>
        <w:t xml:space="preserve"> 39(2), 555–584. https://doi.org/10.1111/j.1755-053X.2010.01084.x</w:t>
      </w:r>
    </w:p>
    <w:p>
      <w:pPr>
        <w:spacing w:line="360" w:lineRule="auto" w:after="80" w:before="0"/>
        <w:ind w:left="432" w:hanging="432"/>
      </w:pPr>
      <w:r>
        <w:rPr/>
        <w:t xml:space="preserve">Dobrick, Juris, Christian Klein, and Bernhard Zwergel, 2023, Size bias in Refinitiv ESG data, </w:t>
      </w:r>
      <w:r>
        <w:rPr>
          <w:i/>
        </w:rPr>
        <w:t>Finance Research Letters</w:t>
      </w:r>
      <w:r>
        <w:rPr/>
        <w:t xml:space="preserve"> 55, 104014.</w:t>
      </w:r>
    </w:p>
    <w:p>
      <w:pPr>
        <w:spacing w:line="360" w:lineRule="auto" w:after="80" w:before="0"/>
        <w:ind w:left="432" w:hanging="432"/>
      </w:pPr>
      <w:r>
        <w:rPr/>
        <w:t xml:space="preserve">Gibson Brandon, Rajna, Philipp Krueger, and Peter Steffen Schmidt, 2021, ESG rating disagreement and stock returns, </w:t>
      </w:r>
      <w:r>
        <w:rPr>
          <w:i/>
        </w:rPr>
        <w:t>Financial Analysts Journal</w:t>
      </w:r>
      <w:r>
        <w:rPr/>
        <w:t xml:space="preserve"> 77(4), 104–127. https://doi.org/10.1080/0015198X.2021.1963186</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 xml:space="preserve">Krueger, Philipp, Zacharias Sautner, Dragon Yongjun Tang, and Rui Zhong, 2024, The effects of mandatory ESG disclosure around the world, </w:t>
      </w:r>
      <w:r>
        <w:rPr>
          <w:i/>
        </w:rPr>
        <w:t>Journal of Accounting Research</w:t>
      </w:r>
      <w:r>
        <w:rPr/>
        <w:t xml:space="preserve"> 62(5), 1795–1847. https://doi.org/10.1111/1475-679X.12548</w:t>
      </w:r>
    </w:p>
    <w:p>
      <w:pPr>
        <w:spacing w:line="360" w:lineRule="auto" w:after="80" w:before="0"/>
        <w:ind w:left="432" w:hanging="432"/>
      </w:pPr>
      <w:r>
        <w:rPr/>
        <w:t>LSEG, 2025, LSEG ESG Scores (ESG score field),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Sahin, Özge, Karoline Bax, Sandra Paterlini, and Claudia Czado, 2023, The pitfalls of (non-definitive) environmental, social, and governance scoring methodology, </w:t>
      </w:r>
      <w:r>
        <w:rPr>
          <w:i/>
        </w:rPr>
        <w:t>Global Finance Journal</w:t>
      </w:r>
      <w:r>
        <w:rPr/>
        <w:t xml:space="preserve"> 56, 100780. https://doi.org/10.1016/j.gfj.2022.100780</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Singapore Exchange, 2016, SGX Mainboard Rules 711A and 711B: Sustainability report, applicable to financial years ending on or after 31 December 2017. https://rulebook.sgx.com/rulebook/711a</w:t>
      </w:r>
    </w:p>
    <w:p>
      <w:pPr>
        <w:spacing w:line="360" w:lineRule="auto" w:after="80" w:before="0"/>
        <w:ind w:left="432" w:hanging="432"/>
      </w:pPr>
      <w:r>
        <w:rPr/>
        <w:t xml:space="preserve">Tsang, Albert, Yujie Wang, Yi Xiang, and Li Yu, 2024, The rise of ESG rating agencies and management of corporate ESG violations, </w:t>
      </w:r>
      <w:r>
        <w:rPr>
          <w:i/>
        </w:rPr>
        <w:t>Journal of Banking &amp; Finance</w:t>
      </w:r>
      <w:r>
        <w:rPr/>
        <w:t xml:space="preserve"> 169, 107312. https://doi.org/10.1016/j.jbankfin.2024.107312</w:t>
      </w:r>
    </w:p>
    <w:p>
      <w:pPr>
        <w:spacing w:line="360" w:lineRule="auto" w:after="80" w:before="0"/>
        <w:ind w:left="432" w:hanging="432"/>
      </w:pPr>
      <w:r>
        <w:rPr/>
        <w:t xml:space="preserve">Tsang, Albert, Yujie Wang, Yi Xiang, and Li Yu, 2025, ESG ratings and dividend changes: Evidence from the initiation of nonfinancial agency coverage, </w:t>
      </w:r>
      <w:r>
        <w:rPr>
          <w:i/>
        </w:rPr>
        <w:t>Corporate Governance: An International Review</w:t>
      </w:r>
      <w:r>
        <w:rPr/>
        <w:t xml:space="preserve"> 33, 554–577. https://doi.org/10.1111/corg.12615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