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double counting of VN30 stocks on both sides. Holdings-based risk models avoid the problem; users of index-level data cannot.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sensitivity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 studies use the coefficient to track contagion (Okorie and Lin 2021; Tilfani et al. 2021) or information flow (Zhou et al. 2025) and build scale-aware portfolios (Wang et al. 2021; Kakinaka et al. 2025). These studies treat the coefficient as a measure of economic dependence between disjoint assets. None of them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For this review,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for all inference we resample the data with the stationary block bootstrap (Politis and Romano 1994) with mean blocks of about 20 trading days and recompute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H1 is supported. The three-pair gap is 0.086–0.096, with Cohen’s q (Cohen 1988) of 0.78–0.89; it also uses the broad-market pairs, which cannot be purged by weight.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remaining constituents,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H2 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the M30 and H1 frequencies. In the H2 family, four slopes survive Holm adjustment (VN100–VNINDEX at H1; VN30–VNINDEX at H1; VN100–VNINDEX at M30; VN30–VNINDEX at M30), with estimates of 0.0019–0.0024, a rise of about 0.01 across the reliable range. None is significant at 1D or H4; with significant positive slopes at both frequencies the rule requires,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(H4)</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H1 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H2 Horizon dependence</w:t>
            </w:r>
          </w:p>
        </w:tc>
        <w:tc>
          <w:tcPr>
            <w:tcW w:w="1793" w:type="dxa"/>
          </w:tcPr>
          <w:p>
            <w:pPr>
              <w:spacing w:before="0" w:after="0" w:line="240" w:lineRule="auto"/>
              <w:jc w:val="left"/>
            </w:pPr>
            <w:r>
              <w:rPr>
                <w:sz w:val="20"/>
                <w:szCs w:val="20"/>
              </w:rPr>
              <w:t xml:space="preserve">Studentized slopes; Holm (H2 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H3 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H4 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about tenfold.</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2026-10-10T13:34:56Z</dcterms:created>
  <dcterms:modified xsi:type="dcterms:W3CDTF">2026-10-10T13:34:56Z</dcterms:modified>
</cp:coreProperties>
</file>

<file path=docProps/custom.xml><?xml version="1.0" encoding="utf-8"?>
<Properties xmlns="http://schemas.openxmlformats.org/officeDocument/2006/custom-properties" xmlns:vt="http://schemas.openxmlformats.org/officeDocument/2006/docPropsVTypes"/>
</file>