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Constructed?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therefore,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therefore,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this problem; however,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this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the nested and purged coefficients is 0.099–0.104. Because κ hardly varies with the timescale (0.47–0.52), the Pearson version provides the same answer. Horizon dependence is confined to the auction bars of intraday broad-market pairs. Crisis evidence depends on whether contagion is measured by an adjusted correlation or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This evidence is contested: much of the post-inclusion rise also appears in matched stocks that were not added (Chen et al. 2016), and the S&amp;P 500 index effect has almost disappeared (Greenwood and Sammon 2025). Membership-based co-movement is therefore a weak guide, even where the indices do not overlap. Our concern is the arithmetic overlap, which raises correlations even if investors do not trade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the slow diffusion of industry information. Non-synchronous trading depresses short-horizon correlations (Epps 1979), an effect whose size depends on the sampling scheme (Chang et al. 2021), and gradual diffusion (Hong and Stein 1999) allows co-movement to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thus,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the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heteroscedasticity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index data. Multiscale studies of crises rarely use volatility-robust tests, and volatility-conditioned studies use one horizon and disjoint markets. To the best of our knowledge, no study has covered the Vietnamese index system at intraday and daily frequencies. We searched Google Scholar and publisher databases for 2021–2026, in addition to the classical sources cited in these works.</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is the sensitivity of the nested to the purged coefficient; and E3 is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1</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2</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3</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4</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therefore,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three chronological crisis episodes; dashed and dotted horizontal lines: 25th and 75th percentiles of rolling volatility. The 2021 and 2025 spikes are not shaded because their drawdowns are below 25% (Section 3.2). Source: Authors’ calculations based on the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the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therefore,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the VN30 and VN100 returns, respectively,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therefore,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therefore,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therefore, the overlap can only increase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requires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 drifts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the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heteroscedasticity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the coefficients at different scales come from the same series, all inference uses the stationary block bootstrap (Politis and Romano 1994) with mean blocks of approximately 20 trading days, recomputing every curve and statistic in each replicate. We use 499 replicates for the DCCA statistics in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95% percentile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increases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The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jointly resampling the full sample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for 2014–2022 and evaluate forecasts for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presents descriptive statistics and Table 3 presents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the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heteroscedasticity).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w:t>
      </w:r>
      <w:r>
        <w:rPr>
          <w:rFonts w:ascii="Times New Roman" w:hAnsi="Times New Roman" w:cs="Times New Roman" w:eastAsia="Times New Roman"/>
          <w:b/>
          <w:vertAlign w:val="subscript"/>
          <w:sz w:val="24"/>
          <w:szCs w:val="24"/>
        </w:rPr>
        <w:t xml:space="preserve">1</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4 compares the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gray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the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and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approximately 0.09. Under weight uncertainty, the sensitivity interval is 0.07–0.17. With κ of 0.48–0.50, the remaining 32% of VN100 contributes approximately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is 0.895–0.900, because either factor alone produces a coefficient near 0.9. The Shapley split attributes 0.505–0.508 to overlap (intervals within 0.497–0.521). Weight uncertainty widens the Shapley intervals to 0.45–0.56 and the benchmark-first intervals to 0.83–0.95, against a sampling-only width of approximately 0.02; thus,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w:t>
      </w:r>
      <w:r>
        <w:rPr>
          <w:rFonts w:ascii="Times New Roman" w:hAnsi="Times New Roman" w:cs="Times New Roman" w:eastAsia="Times New Roman"/>
          <w:b/>
          <w:vertAlign w:val="subscript"/>
          <w:sz w:val="24"/>
          <w:szCs w:val="24"/>
        </w:rPr>
        <w:t xml:space="preserve">2</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6 lists the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w:t>
            </w:r>
            <w:r>
              <w:rPr>
                <w:vertAlign w:val="subscript"/>
                <w:sz w:val="20"/>
                <w:szCs w:val="20"/>
              </w:rPr>
              <w:t xml:space="preserve">2</w:t>
            </w:r>
            <w:r>
              <w:rPr>
                <w:sz w:val="20"/>
                <w:szCs w:val="20"/>
              </w:rPr>
              <w:t xml:space="preserve"> </w:t>
            </w:r>
            <w:r>
              <w:rPr>
                <w:sz w:val="20"/>
                <w:szCs w:val="20"/>
              </w:rPr>
              <w:t xml:space="preserve">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w:t>
      </w:r>
      <w:r>
        <w:rPr>
          <w:vertAlign w:val="subscript"/>
          <w:sz w:val="20"/>
          <w:szCs w:val="20"/>
        </w:rPr>
        <w:t xml:space="preserve">2</w:t>
      </w:r>
      <w:r>
        <w:rPr>
          <w:sz w:val="20"/>
          <w:szCs w:val="20"/>
        </w:rPr>
        <w:t xml:space="preserve"> </w:t>
      </w:r>
      <w:r>
        <w:rPr>
          <w:sz w:val="20"/>
          <w:szCs w:val="20"/>
        </w:rPr>
        <w:t xml:space="preserve">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family, four slopes survive the Holm adjustment, with estimates of 0.0019–0.0024, a rise of approximately 0.01 across the reliable range. None is significant at 1D or H4; with the significant positive slopes at both frequencies that the rule requires,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intraday results.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w:t>
      </w:r>
      <w:r>
        <w:rPr>
          <w:rFonts w:ascii="Times New Roman" w:hAnsi="Times New Roman" w:cs="Times New Roman" w:eastAsia="Times New Roman"/>
          <w:b/>
          <w:vertAlign w:val="subscript"/>
          <w:sz w:val="24"/>
          <w:szCs w:val="24"/>
        </w:rPr>
        <w:t xml:space="preserve">3</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7 presents the results of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increases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this.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w:t>
      </w:r>
      <w:r>
        <w:rPr>
          <w:rFonts w:ascii="Times New Roman" w:hAnsi="Times New Roman" w:cs="Times New Roman" w:eastAsia="Times New Roman"/>
          <w:vertAlign w:val="subscript"/>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distinguish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w:t>
      </w:r>
      <w:r>
        <w:rPr>
          <w:rFonts w:ascii="Times New Roman" w:hAnsi="Times New Roman" w:cs="Times New Roman" w:eastAsia="Times New Roman"/>
          <w:b/>
          <w:vertAlign w:val="subscript"/>
          <w:sz w:val="24"/>
          <w:szCs w:val="24"/>
        </w:rPr>
        <w:t xml:space="preserve">4</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8 presents the in-sample misstatement and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w:t>
            </w:r>
            <w:r>
              <w:rPr>
                <w:vertAlign w:val="subscript"/>
                <w:iCs/>
                <w:i/>
                <w:sz w:val="20"/>
                <w:szCs w:val="20"/>
              </w:rPr>
              <w:t xml:space="preserve">4</w:t>
            </w:r>
            <w:r>
              <w:rPr>
                <w:iCs/>
                <w:i/>
                <w:sz w:val="20"/>
                <w:szCs w:val="20"/>
              </w:rPr>
              <w:t xml:space="preserve">)</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a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the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w:t>
      </w:r>
      <w:r>
        <w:rPr>
          <w:rFonts w:ascii="Times New Roman" w:hAnsi="Times New Roman" w:cs="Times New Roman" w:eastAsia="Times New Roman"/>
          <w:vertAlign w:val="subscript"/>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changed the conclusions. DMCA (Kristoufek 2014) satisfies the same identity, so it checks only the detrending, giving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the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w:t>
            </w:r>
            <w:r>
              <w:rPr>
                <w:vertAlign w:val="subscript"/>
                <w:sz w:val="20"/>
                <w:szCs w:val="20"/>
              </w:rPr>
              <w:t xml:space="preserve">1</w:t>
            </w:r>
            <w:r>
              <w:rPr>
                <w:sz w:val="20"/>
                <w:szCs w:val="20"/>
              </w:rPr>
              <w:t xml:space="preserve"> </w:t>
            </w:r>
            <w:r>
              <w:rPr>
                <w:sz w:val="20"/>
                <w:szCs w:val="20"/>
              </w:rPr>
              <w:t xml:space="preserve">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w:t>
            </w:r>
            <w:r>
              <w:rPr>
                <w:vertAlign w:val="subscript"/>
                <w:sz w:val="20"/>
                <w:szCs w:val="20"/>
              </w:rPr>
              <w:t xml:space="preserve">2</w:t>
            </w:r>
            <w:r>
              <w:rPr>
                <w:sz w:val="20"/>
                <w:szCs w:val="20"/>
              </w:rPr>
              <w:t xml:space="preserve"> </w:t>
            </w:r>
            <w:r>
              <w:rPr>
                <w:sz w:val="20"/>
                <w:szCs w:val="20"/>
              </w:rPr>
              <w:t xml:space="preserve">Horizon dependence</w:t>
            </w:r>
          </w:p>
        </w:tc>
        <w:tc>
          <w:tcPr>
            <w:tcW w:w="1793" w:type="dxa"/>
          </w:tcPr>
          <w:p>
            <w:pPr>
              <w:spacing w:before="0" w:after="0" w:line="240" w:lineRule="auto"/>
              <w:jc w:val="left"/>
            </w:pPr>
            <w:r>
              <w:rPr>
                <w:sz w:val="20"/>
                <w:szCs w:val="20"/>
              </w:rPr>
              <w:t xml:space="preserve">Studentized slopes; Holm (H</w:t>
            </w:r>
            <w:r>
              <w:rPr>
                <w:vertAlign w:val="subscript"/>
                <w:sz w:val="20"/>
                <w:szCs w:val="20"/>
              </w:rPr>
              <w:t xml:space="preserve">2</w:t>
            </w:r>
            <w:r>
              <w:rPr>
                <w:sz w:val="20"/>
                <w:szCs w:val="20"/>
              </w:rPr>
              <w:t xml:space="preserve"> </w:t>
            </w:r>
            <w:r>
              <w:rPr>
                <w:sz w:val="20"/>
                <w:szCs w:val="20"/>
              </w:rPr>
              <w:t xml:space="preserve">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w:t>
            </w:r>
            <w:r>
              <w:rPr>
                <w:vertAlign w:val="subscript"/>
                <w:sz w:val="20"/>
                <w:szCs w:val="20"/>
              </w:rPr>
              <w:t xml:space="preserve">3</w:t>
            </w:r>
            <w:r>
              <w:rPr>
                <w:sz w:val="20"/>
                <w:szCs w:val="20"/>
              </w:rPr>
              <w:t xml:space="preserve"> </w:t>
            </w:r>
            <w:r>
              <w:rPr>
                <w:sz w:val="20"/>
                <w:szCs w:val="20"/>
              </w:rPr>
              <w:t xml:space="preserve">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w:t>
            </w:r>
            <w:r>
              <w:rPr>
                <w:vertAlign w:val="subscript"/>
                <w:sz w:val="20"/>
                <w:szCs w:val="20"/>
              </w:rPr>
              <w:t xml:space="preserve">4</w:t>
            </w:r>
            <w:r>
              <w:rPr>
                <w:sz w:val="20"/>
                <w:szCs w:val="20"/>
              </w:rPr>
              <w:t xml:space="preserve"> </w:t>
            </w:r>
            <w:r>
              <w:rPr>
                <w:sz w:val="20"/>
                <w:szCs w:val="20"/>
              </w:rPr>
              <w:t xml:space="preserve">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w:t>
      </w:r>
      <w:r>
        <w:rPr>
          <w:vertAlign w:val="subscript"/>
          <w:sz w:val="20"/>
          <w:szCs w:val="20"/>
        </w:rPr>
        <w:t xml:space="preserve">1</w:t>
      </w:r>
      <w:r>
        <w:rPr>
          <w:sz w:val="20"/>
          <w:szCs w:val="20"/>
        </w:rPr>
        <w:t xml:space="preserve">–H</w:t>
      </w:r>
      <w:r>
        <w:rPr>
          <w:vertAlign w:val="subscript"/>
          <w:sz w:val="20"/>
          <w:szCs w:val="20"/>
        </w:rPr>
        <w:t xml:space="preserve">4</w:t>
      </w:r>
      <w:r>
        <w:rPr>
          <w:sz w:val="20"/>
          <w:szCs w:val="20"/>
        </w:rPr>
        <w:t xml:space="preserve"> </w:t>
      </w:r>
      <w:r>
        <w:rPr>
          <w:sz w:val="20"/>
          <w:szCs w:val="20"/>
        </w:rPr>
        <w:t xml:space="preserve">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Because a child’s variation enters every covariance and both standard deviations of a nested pair, Lemma 1 pins the coefficient near a benchmark set by the weight and relative amplitude. With VN30 at 68% of VN100, the benchmark is near 0.90 and the bound near 0.87, so the observed 0.99 says little about how mid caps move with large caps.</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that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at intraday frequencies, the lead is symmetric (Table S9). The auction-bar horizon dependence of broad-market pairs fits the Epps (1979) effect for small, less liquid stocks (Chen et al. 2021; Tran and Tran 2025). The higher loading on high-volatility days has several candidate sources that our data cannot rank: herding (Nguyen et al. 2023) and sector connectedness (Bui et al. 2022), limit hits under the ±7% band, margin calls, and foreign flows into large caps.</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Box 1 decomposes nested correlations from published series and the index weight. Its key outputs are the purged coefficient and the sensitivity, whose inverse of about 10 shows how ill-conditioned the index-level number is.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The case for regime-conditioned tier correlations is not supported: their in-sample gain is mostly within sampling error and vanishes out of sample.</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therefore,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therefore,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it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2026-10-13T08:22:40Z</dcterms:created>
  <dcterms:modified xsi:type="dcterms:W3CDTF">2026-10-13T08:22:40Z</dcterms:modified>
</cp:coreProperties>
</file>

<file path=docProps/custom.xml><?xml version="1.0" encoding="utf-8"?>
<Properties xmlns="http://schemas.openxmlformats.org/officeDocument/2006/custom-properties" xmlns:vt="http://schemas.openxmlformats.org/officeDocument/2006/docPropsVTypes"/>
</file>