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b/>
          <w:sz w:val="32"/>
          <w:szCs w:val="32"/>
        </w:rPr>
        <w:t xml:space="preserve">How Much of a Nested Index Correlation Is Constructed? A Scale-Wise Part–Whole Decomposition with Evidence from Vietnam</w:t>
      </w:r>
    </w:p>
    <w:p>
      <w:pPr>
        <w:pStyle w:val="abstract0"/>
      </w:pPr>
      <w:r>
        <w:rPr>
          <w:rFonts w:ascii="Times New Roman" w:hAnsi="Times New Roman" w:cs="Times New Roman" w:eastAsia="Times New Roman"/>
          <w:bCs/>
          <w:b/>
          <w:sz w:val="22"/>
          <w:szCs w:val="22"/>
        </w:rPr>
        <w:t xml:space="preserve">Abstract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When one equity index contains another, part of their correlation is fixed by construction. We extend the classical part–whole correlation identity to detrended cross-correlation analysis (DCCA). At every timescale, the coefficient between a parent and a child index is then a closed-form function of the child’s weight, the relative amplitude of the remaining constituents, and the overlap-purged coefficient between the child and those constituents. The identity yields a zero-correlation benchmark, an exact lower bound, the sensitivity of the nested coefficient to the purged coefficient, and an order-free attribution, and it requires only index-level inputs. On the Ho Chi Minh City Stock Exchange (VN30 within VN100 within VNINDEX, 30-minute to daily data, 2014–2025), the VN30–VN100 coefficient moves by only about 0.11 per unit change in the purged coefficient. Purging the overlap lowers the correlation with large caps by about 0.10 at every frequency. The decomposition barely varies across scales and frequencies; therefore, its Pearson version suffices in these data. The small intraday horizon dependence of broad-market pairs comes from the opening and closing auction bars. Evidence of crisis contagion depends on the test used, and regime-conditioned correlations do not improve out-of-sample portfolio variance forecasts. Correlations between nested indices therefore say little about diversification between size tiers unless the overlap is removed first.</w:t>
      </w:r>
    </w:p>
    <w:p>
      <w:pPr>
        <w:pStyle w:val="keywords"/>
      </w:pPr>
      <w:r>
        <w:rPr>
          <w:rFonts w:ascii="Times New Roman" w:hAnsi="Times New Roman" w:cs="Times New Roman" w:eastAsia="Times New Roman"/>
          <w:bCs/>
          <w:b/>
          <w:sz w:val="22"/>
          <w:szCs w:val="22"/>
        </w:rPr>
        <w:t xml:space="preserve">Keywords: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constituent overlap; detrended cross-correlation; part–whole correlation; contagion; Vietnam</w:t>
      </w:r>
    </w:p>
    <w:p>
      <w:pPr>
        <w:pStyle w:val="keywords"/>
      </w:pPr>
      <w:r>
        <w:rPr>
          <w:rFonts w:ascii="Times New Roman" w:hAnsi="Times New Roman" w:cs="Times New Roman" w:eastAsia="Times New Roman"/>
          <w:bCs/>
          <w:b/>
          <w:sz w:val="22"/>
          <w:szCs w:val="22"/>
        </w:rPr>
        <w:t xml:space="preserve">JEL classification: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C14, C58, G11, G15</w:t>
      </w:r>
    </w:p>
    <w:p>
      <w:pPr>
        <w:pStyle w:val="heading1"/>
        <w:numPr>
          <w:ilvl w:val="0"/>
          <w:numId w:val="0"/>
        </w:numPr>
      </w:pPr>
      <w:r>
        <w:rPr>
          <w:rFonts w:ascii="Times New Roman" w:hAnsi="Times New Roman" w:cs="Times New Roman" w:eastAsia="Times New Roman"/>
          <w:b/>
          <w:sz w:val="24"/>
          <w:szCs w:val="24"/>
        </w:rPr>
        <w:t xml:space="preserve">1 Introduction</w:t>
      </w:r>
    </w:p>
    <w:p>
      <w:pPr>
        <w:pStyle w:val="p1a"/>
        <w:spacing w:before="0" w:after="120" w:line="300" w:lineRule="auto"/>
        <w:jc w:val="both"/>
      </w:pPr>
      <w:r>
        <w:rPr>
          <w:rFonts w:ascii="Times New Roman" w:hAnsi="Times New Roman" w:cs="Times New Roman" w:eastAsia="Times New Roman"/>
          <w:sz w:val="24"/>
          <w:szCs w:val="24"/>
        </w:rPr>
        <w:t xml:space="preserve">Correlations between published equity indices are a convenient measure of how much one market segment diversifies another (Markowitz, 1952). Nested index systems add a problem unrelated to estimation error: the parent contains the child; therefore, part of their correlation is fixed by construction. On the Ho Chi Minh City Stock Exchange (HOSE),</w:t>
      </w:r>
    </w:p>
    <w:p>
      <w:pPr>
        <w:pStyle w:val="BodyText"/>
        <w:spacing w:before="0" w:after="120" w:line="300" w:lineRule="auto"/>
      </w:pPr>
      <m:oMathPara>
        <m:oMathParaPr>
          <m:jc m:val="center"/>
        </m:oMathParaPr>
        <m:oMath>
          <m:r>
            <m:rPr>
              <m:sty m:val="p"/>
            </m:rPr>
            <m:t>V</m:t>
          </m:r>
          <m:r>
            <m:rPr>
              <m:sty m:val="p"/>
            </m:rPr>
            <m:t>N</m:t>
          </m:r>
          <m:r>
            <m:rPr>
              <m:sty m:val="p"/>
            </m:rPr>
            <m:t>30</m:t>
          </m:r>
          <m:r>
            <m:rPr>
              <m:sty m:val="p"/>
            </m:rPr>
            <m:t>⊂</m:t>
          </m:r>
          <m:r>
            <m:rPr>
              <m:sty m:val="p"/>
            </m:rPr>
            <m:t>V</m:t>
          </m:r>
          <m:r>
            <m:rPr>
              <m:sty m:val="p"/>
            </m:rPr>
            <m:t>N</m:t>
          </m:r>
          <m:r>
            <m:rPr>
              <m:sty m:val="p"/>
            </m:rPr>
            <m:t>100</m:t>
          </m:r>
          <m:r>
            <m:rPr>
              <m:sty m:val="p"/>
            </m:rPr>
            <m:t>⊂</m:t>
          </m:r>
          <m:r>
            <m:rPr>
              <m:sty m:val="p"/>
            </m:rPr>
            <m:t>V</m:t>
          </m:r>
          <m:r>
            <m:rPr>
              <m:sty m:val="p"/>
            </m:rPr>
            <m:t>N</m:t>
          </m:r>
          <m:r>
            <m:rPr>
              <m:sty m:val="p"/>
            </m:rPr>
            <m:t>I</m:t>
          </m:r>
          <m:r>
            <m:rPr>
              <m:sty m:val="p"/>
            </m:rPr>
            <m:t>N</m:t>
          </m:r>
          <m:r>
            <m:rPr>
              <m:sty m:val="p"/>
            </m:rPr>
            <m:t>D</m:t>
          </m:r>
          <m:r>
            <m:rPr>
              <m:sty m:val="p"/>
            </m:rPr>
            <m:t>E</m:t>
          </m:r>
          <m:r>
            <m:rPr>
              <m:sty m:val="p"/>
            </m:rPr>
            <m:t>X</m:t>
          </m:r>
          <m:r>
            <m:rPr>
              <m:sty m:val="p"/>
            </m:rPr>
            <m:t>.</m:t>
          </m:r>
          <m:r>
            <m:t>  </m:t>
          </m:r>
          <m:d>
            <m:dPr>
              <m:begChr m:val="("/>
              <m:endChr m:val=")"/>
              <m:sepChr m:val=""/>
              <m:grow/>
            </m:dPr>
            <m:e>
              <m:r>
                <m:t>1</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The 30 largest firms hold about two-thirds of the free-float capitalization of VN100, and the daily VN30–VN100 correlation is 0.988. As a measure of how mid caps move with large caps, this number mixes economic linkage with double counting of VN30 stocks on both sides. Holdings-based risk models avoid this problem; however, users of index-level data cannot. The arithmetic is old (Pearson, 1897; Cureton, 1966), but no version exists for the detrended, scale-dependent coefficients of the detrended cross-correlation analysis (DCCA) literature, which studies only pairs without shared constituents (Section 2).</w:t>
      </w:r>
    </w:p>
    <w:p>
      <w:pPr>
        <w:pStyle w:val="BodyText"/>
        <w:spacing w:before="0" w:after="120" w:line="300" w:lineRule="auto"/>
        <w:jc w:val="both"/>
      </w:pPr>
      <w:r>
        <w:rPr>
          <w:rFonts w:ascii="Times New Roman" w:hAnsi="Times New Roman" w:cs="Times New Roman" w:eastAsia="Times New Roman"/>
          <w:sz w:val="24"/>
          <w:szCs w:val="24"/>
        </w:rPr>
        <w:t xml:space="preserve">Our contribution is to build this version. Lemma 1 shows that, at every timescale, the DCCA coefficient of a nested pair is a known function of the child’s weight, the relative amplitude κ(s) of the remaining constituents, and the overlap-purged coefficient between the child and those constituents. It yields a zero-correlation benchmark, an exact lower bound, the sensitivity of the nested coefficient to the purged one, and an order-free attribution, all computable from index-level data (Section 4.2). We apply it to VN30, VN100, and VNINDEX at 30-minute to daily frequencies (2014–2025), with a block bootstrap that also draws the index weight. We then use the purged series to test hypotheses on horizon dependence, contagion, and the value of regime-conditioned correlations.</w:t>
      </w:r>
    </w:p>
    <w:p>
      <w:pPr>
        <w:pStyle w:val="BodyText"/>
        <w:spacing w:before="0" w:after="120" w:line="300" w:lineRule="auto"/>
        <w:jc w:val="both"/>
      </w:pPr>
      <w:r>
        <w:rPr>
          <w:rFonts w:ascii="Times New Roman" w:hAnsi="Times New Roman" w:cs="Times New Roman" w:eastAsia="Times New Roman"/>
          <w:sz w:val="24"/>
          <w:szCs w:val="24"/>
        </w:rPr>
        <w:t xml:space="preserve">The VN30–VN100 coefficient responds to the purged coefficient with a sensitivity of 0.106–0.112, and the like-for-like gap between the nested and purged coefficients is 0.099–0.104. Because κ hardly varies with the timescale (0.47–0.52), the Pearson version provides the same answer. Horizon dependence is confined to the auction bars of intraday broad-market pairs. Crisis evidence depends on whether contagion is measured by an adjusted correlation or factor loading, and regime-conditioned correlations do not outperform a static one out of sample.</w:t>
      </w:r>
    </w:p>
    <w:p>
      <w:pPr>
        <w:pStyle w:val="BodyText"/>
        <w:spacing w:before="0" w:after="120" w:line="300" w:lineRule="auto"/>
        <w:jc w:val="both"/>
      </w:pPr>
      <w:r>
        <w:rPr>
          <w:rFonts w:ascii="Times New Roman" w:hAnsi="Times New Roman" w:cs="Times New Roman" w:eastAsia="Times New Roman"/>
          <w:sz w:val="24"/>
          <w:szCs w:val="24"/>
        </w:rPr>
        <w:t xml:space="preserve">Sections 3–5 present the data, methods, and results; Section 6 discusses them; and Section 7 concludes. Further checks are in the Supplementary Material.</w:t>
      </w:r>
    </w:p>
    <w:p>
      <w:pPr>
        <w:pStyle w:val="heading1"/>
        <w:numPr>
          <w:ilvl w:val="0"/>
          <w:numId w:val="0"/>
        </w:numPr>
      </w:pPr>
      <w:r>
        <w:rPr>
          <w:rFonts w:ascii="Times New Roman" w:hAnsi="Times New Roman" w:cs="Times New Roman" w:eastAsia="Times New Roman"/>
          <w:b/>
          <w:sz w:val="24"/>
          <w:szCs w:val="24"/>
        </w:rPr>
        <w:t xml:space="preserve">2 Literature review and hypothesis development</w:t>
      </w:r>
    </w:p>
    <w:p>
      <w:pPr>
        <w:pStyle w:val="p1a"/>
        <w:spacing w:before="0" w:after="120" w:line="300" w:lineRule="auto"/>
        <w:jc w:val="both"/>
      </w:pPr>
      <w:r>
        <w:rPr>
          <w:rFonts w:ascii="Times New Roman" w:hAnsi="Times New Roman" w:cs="Times New Roman" w:eastAsia="Times New Roman"/>
          <w:sz w:val="24"/>
          <w:szCs w:val="24"/>
        </w:rPr>
        <w:t xml:space="preserve">Five literatures bear on nested index correlations: part–whole correlation, detrended cross-correlation, index membership, size-based lead–lag effects, and contagion.</w:t>
      </w:r>
    </w:p>
    <w:p>
      <w:pPr>
        <w:pStyle w:val="heading20"/>
        <w:numPr>
          <w:ilvl w:val="0"/>
          <w:numId w:val="0"/>
        </w:numPr>
      </w:pPr>
      <w:r>
        <w:rPr>
          <w:rFonts w:ascii="Times New Roman" w:hAnsi="Times New Roman" w:cs="Times New Roman" w:eastAsia="Times New Roman"/>
          <w:b/>
          <w:sz w:val="24"/>
          <w:szCs w:val="24"/>
        </w:rPr>
        <w:t xml:space="preserve">2.1 Part–whole correlation and holdings overlap</w:t>
      </w:r>
    </w:p>
    <w:p>
      <w:pPr>
        <w:pStyle w:val="p1a"/>
        <w:spacing w:before="0" w:after="120" w:line="300" w:lineRule="auto"/>
        <w:jc w:val="both"/>
      </w:pPr>
      <w:r>
        <w:rPr>
          <w:rFonts w:ascii="Times New Roman" w:hAnsi="Times New Roman" w:cs="Times New Roman" w:eastAsia="Times New Roman"/>
          <w:sz w:val="24"/>
          <w:szCs w:val="24"/>
        </w:rPr>
        <w:t xml:space="preserve">Pearson (1897) showed that ratios sharing a denominator correlate even when their numerators are independent. In psychometrics, the same arithmetic inflates item–total correlations, and Cureton (1966) gave a standard correction. Finance handles overlap through holdings: Active Share measures how far a fund departs from its benchmark holdings (Cremers and Petajisto, 2009), holdings-based risk models estimate exposures from constituents, and membership studies build comparison portfolios from stocks outside the index (Barberis et al., 2005). Users who observe only index levels lack a return-based counterpart.</w:t>
      </w:r>
    </w:p>
    <w:p>
      <w:pPr>
        <w:pStyle w:val="heading20"/>
        <w:numPr>
          <w:ilvl w:val="0"/>
          <w:numId w:val="0"/>
        </w:numPr>
      </w:pPr>
      <w:r>
        <w:rPr>
          <w:rFonts w:ascii="Times New Roman" w:hAnsi="Times New Roman" w:cs="Times New Roman" w:eastAsia="Times New Roman"/>
          <w:b/>
          <w:sz w:val="24"/>
          <w:szCs w:val="24"/>
        </w:rPr>
        <w:t xml:space="preserve">2.2 Multiscale dependence and detrended cross-correlation</w:t>
      </w:r>
    </w:p>
    <w:p>
      <w:pPr>
        <w:pStyle w:val="p1a"/>
        <w:spacing w:before="0" w:after="120" w:line="300" w:lineRule="auto"/>
        <w:jc w:val="both"/>
      </w:pPr>
      <w:r>
        <w:rPr>
          <w:rFonts w:ascii="Times New Roman" w:hAnsi="Times New Roman" w:cs="Times New Roman" w:eastAsia="Times New Roman"/>
          <w:sz w:val="24"/>
          <w:szCs w:val="24"/>
        </w:rPr>
        <w:t xml:space="preserve">DCCA extends detrended fluctuation analysis (Peng et al., 1994; Kantelhardt et al., 2002) to pairs of nonstationary series (Podobnik and Stanley, 2008). Zebende (2011) normalized it into a bounded coefficient, Podobnik et al. (2011) proposed tests, and Zhou (2008) generalized it to multifractal moments (MF-DCCA). Variants use moving-average detrending (Jiang and Zhou, 2011; Kristoufek, 2014), sliding windows (Guedes et al., 2021), or partial correlations (Ge and Lin, 2021), and Oświęcimka et al. (2014) show that absolute local covariances can create spurious multifractality. Applied work finds horizon-dependent stock–bond and cross-market dependence (Al Rababa’a et al., 2021; Ge and Lin, 2021; Chen et al., 2024). Others track contagion (Okorie and Lin, 2021; Tilfani et al., 2021) or information flow (Zhou et al., 2025) and build scale-aware portfolios (Wang et al., 2021; Kakinaka et al., 2025). These studies treat the coefficient as economic dependence between disjoint assets; none analyzes nested pairs, where the detrended covariance inherits the part–whole arithmetic at every scale.</w:t>
      </w:r>
    </w:p>
    <w:p>
      <w:pPr>
        <w:pStyle w:val="heading20"/>
        <w:numPr>
          <w:ilvl w:val="0"/>
          <w:numId w:val="0"/>
        </w:numPr>
      </w:pPr>
      <w:r>
        <w:rPr>
          <w:rFonts w:ascii="Times New Roman" w:hAnsi="Times New Roman" w:cs="Times New Roman" w:eastAsia="Times New Roman"/>
          <w:b/>
          <w:sz w:val="24"/>
          <w:szCs w:val="24"/>
        </w:rPr>
        <w:t xml:space="preserve">2.3 Index membership and co-movement</w:t>
      </w:r>
    </w:p>
    <w:p>
      <w:pPr>
        <w:pStyle w:val="p1a"/>
        <w:spacing w:before="0" w:after="120" w:line="300" w:lineRule="auto"/>
        <w:jc w:val="both"/>
      </w:pPr>
      <w:r>
        <w:rPr>
          <w:rFonts w:ascii="Times New Roman" w:hAnsi="Times New Roman" w:cs="Times New Roman" w:eastAsia="Times New Roman"/>
          <w:sz w:val="24"/>
          <w:szCs w:val="24"/>
        </w:rPr>
        <w:t xml:space="preserve">Stocks added to the S&amp;P 500 co-move more with the index (Barberis et al., 2005), Nikkei 225 stocks with larger weights co-move more with other index stocks (Greenwood, 2008), and regression-discontinuity and tracking-demand designs support the effect (Liao et al., 2022; DeCoste, 2025). This evidence is contested: much of the post-inclusion rise also appears in matched stocks that were not added (Chen et al., 2016), and the S&amp;P 500 index effect has almost disappeared (Greenwood and Sammon, 2025). Membership-based co-movement is therefore a weak guide, even where the indices do not overlap. Our concern is the arithmetic overlap, which raises correlations even if investors do not trade differently.</w:t>
      </w:r>
    </w:p>
    <w:p>
      <w:pPr>
        <w:pStyle w:val="heading20"/>
        <w:numPr>
          <w:ilvl w:val="0"/>
          <w:numId w:val="0"/>
        </w:numPr>
      </w:pPr>
      <w:r>
        <w:rPr>
          <w:rFonts w:ascii="Times New Roman" w:hAnsi="Times New Roman" w:cs="Times New Roman" w:eastAsia="Times New Roman"/>
          <w:b/>
          <w:sz w:val="24"/>
          <w:szCs w:val="24"/>
        </w:rPr>
        <w:t xml:space="preserve">2.4 Size, lead–lag and horizon effects</w:t>
      </w:r>
    </w:p>
    <w:p>
      <w:pPr>
        <w:pStyle w:val="p1a"/>
        <w:spacing w:before="0" w:after="120" w:line="300" w:lineRule="auto"/>
        <w:jc w:val="both"/>
      </w:pPr>
      <w:r>
        <w:rPr>
          <w:rFonts w:ascii="Times New Roman" w:hAnsi="Times New Roman" w:cs="Times New Roman" w:eastAsia="Times New Roman"/>
          <w:sz w:val="24"/>
          <w:szCs w:val="24"/>
        </w:rPr>
        <w:t xml:space="preserve">Large-firm returns lead small-firm returns (Lo and MacKinlay, 1990), a pattern Hou (2007) traces to the slow diffusion of industry information. Non-synchronous trading depresses short-horizon correlations (Epps, 1979), an effect whose size depends on the sampling scheme (Chang et al., 2021), and gradual diffusion (Hong and Stein, 1999) allows co-movement to build with the horizon. On the HOSE, small-firm liquidity fell after a market surveillance system was introduced (Chen et al., 2021), and price adjustment is delayed under retail-heavy trading (Tran and Tran, 2025). Three forces raise all correlations at once: herding in stress (Nguyen et al., 2023), sector connectedness above 60% that rose to near 90% during COVID-19 (Bui et al., 2022), and nonlinear regional dependence (Le et al., 2025).</w:t>
      </w:r>
    </w:p>
    <w:p>
      <w:pPr>
        <w:pStyle w:val="heading20"/>
        <w:numPr>
          <w:ilvl w:val="0"/>
          <w:numId w:val="0"/>
        </w:numPr>
      </w:pPr>
      <w:r>
        <w:rPr>
          <w:rFonts w:ascii="Times New Roman" w:hAnsi="Times New Roman" w:cs="Times New Roman" w:eastAsia="Times New Roman"/>
          <w:b/>
          <w:sz w:val="24"/>
          <w:szCs w:val="24"/>
        </w:rPr>
        <w:t xml:space="preserve">2.5 Volatility, contagion and interdependence</w:t>
      </w:r>
    </w:p>
    <w:p>
      <w:pPr>
        <w:pStyle w:val="p1a"/>
        <w:spacing w:before="0" w:after="120" w:line="300" w:lineRule="auto"/>
        <w:jc w:val="both"/>
      </w:pPr>
      <w:r>
        <w:rPr>
          <w:rFonts w:ascii="Times New Roman" w:hAnsi="Times New Roman" w:cs="Times New Roman" w:eastAsia="Times New Roman"/>
          <w:sz w:val="24"/>
          <w:szCs w:val="24"/>
        </w:rPr>
        <w:t xml:space="preserve">Equity correlations rise in downturns (Longin and Solnik, 2001; Ang and Chen, 2002), but they also rise mechanically with the variance of the conditioning market; thus, a crisis increase may reflect interdependence rather than contagion (Forbes and Rigobon, 2002). The correction can itself be biased toward no contagion because it restricts the variance of idiosyncratic shocks. Corsetti et al. (2005) propose testing for a change in the factor loading instead, and Rigobon (2003) identifies transmission from regime changes in variance. Studies without the correction report COVID-19 contagion (Akhtaruzzaman et al., 2021; Guo et al., 2021; Benkraiem et al., 2022). A DCCA test finds it for some commodity pairs but not others (Santana et al., 2023), and ASEAN integration varies with trade links and volatility (Abdul Karim and Xin Ning, 2013; Lean and Teng, 2013).</w:t>
      </w:r>
    </w:p>
    <w:p>
      <w:pPr>
        <w:pStyle w:val="heading20"/>
        <w:numPr>
          <w:ilvl w:val="0"/>
          <w:numId w:val="0"/>
        </w:numPr>
      </w:pPr>
      <w:r>
        <w:rPr>
          <w:rFonts w:ascii="Times New Roman" w:hAnsi="Times New Roman" w:cs="Times New Roman" w:eastAsia="Times New Roman"/>
          <w:b/>
          <w:sz w:val="24"/>
          <w:szCs w:val="24"/>
        </w:rPr>
        <w:t xml:space="preserve">2.6 Research gap</w:t>
      </w:r>
    </w:p>
    <w:p>
      <w:pPr>
        <w:pStyle w:val="p1a"/>
        <w:spacing w:before="0" w:after="120" w:line="300" w:lineRule="auto"/>
        <w:jc w:val="both"/>
      </w:pPr>
      <w:r>
        <w:rPr>
          <w:rFonts w:ascii="Times New Roman" w:hAnsi="Times New Roman" w:cs="Times New Roman" w:eastAsia="Times New Roman"/>
          <w:sz w:val="24"/>
          <w:szCs w:val="24"/>
        </w:rPr>
        <w:t xml:space="preserve">Table 1 compares the representative studies.</w:t>
      </w:r>
    </w:p>
    <w:p>
      <w:pPr>
        <w:pStyle w:val="tablecaption0"/>
      </w:pPr>
      <w:r>
        <w:rPr>
          <w:bCs/>
          <w:b/>
        </w:rPr>
        <w:t xml:space="preserve">Table 1</w:t>
      </w:r>
      <w:r>
        <w:t xml:space="preserve"> </w:t>
      </w:r>
      <w:r>
        <w:t xml:space="preserve">Prior studies of overlap, multiscale and crisis co-movement and the gap addressed here</w:t>
      </w:r>
    </w:p>
    <w:tbl>
      <w:tblPr>
        <w:tblStyle w:val="TableGrid"/>
        <w:tblW w:type="pct" w:w="5000"/>
        <w:tblLook w:firstRow="1" w:lastRow="0" w:firstColumn="0" w:lastColumn="0" w:noHBand="0" w:noVBand="0" w:val="0020"/>
        <w:jc w:val="start"/>
      </w:tblPr>
      <w:tblGrid>
        <w:gridCol w:w="1100"/>
        <w:gridCol w:w="1588"/>
        <w:gridCol w:w="1686"/>
        <w:gridCol w:w="1393"/>
        <w:gridCol w:w="710"/>
        <w:gridCol w:w="1198"/>
        <w:gridCol w:w="1686"/>
      </w:tblGrid>
      <w:tr>
        <w:trPr>
          <w:tblHeader w:val="true"/>
        </w:trPr>
        <w:tc>
          <w:tcPr>
            <w:tcW w:w="1100" w:type="dxa"/>
          </w:tcPr>
          <w:p>
            <w:pPr>
              <w:spacing w:before="0" w:after="0" w:line="240" w:lineRule="auto"/>
              <w:jc w:val="left"/>
            </w:pPr>
            <w:r>
              <w:rPr>
                <w:sz w:val="20"/>
                <w:szCs w:val="20"/>
              </w:rPr>
              <w:t xml:space="preserve">Study</w:t>
            </w:r>
          </w:p>
        </w:tc>
        <w:tc>
          <w:tcPr>
            <w:tcW w:w="1588" w:type="dxa"/>
          </w:tcPr>
          <w:p>
            <w:pPr>
              <w:spacing w:before="0" w:after="0" w:line="240" w:lineRule="auto"/>
              <w:jc w:val="left"/>
            </w:pPr>
            <w:r>
              <w:rPr>
                <w:sz w:val="20"/>
                <w:szCs w:val="20"/>
              </w:rPr>
              <w:t xml:space="preserve">Market and data</w:t>
            </w:r>
          </w:p>
        </w:tc>
        <w:tc>
          <w:tcPr>
            <w:tcW w:w="1686" w:type="dxa"/>
          </w:tcPr>
          <w:p>
            <w:pPr>
              <w:spacing w:before="0" w:after="0" w:line="240" w:lineRule="auto"/>
              <w:jc w:val="left"/>
            </w:pPr>
            <w:r>
              <w:rPr>
                <w:sz w:val="20"/>
                <w:szCs w:val="20"/>
              </w:rPr>
              <w:t xml:space="preserve">Method</w:t>
            </w:r>
          </w:p>
        </w:tc>
        <w:tc>
          <w:tcPr>
            <w:tcW w:w="1393" w:type="dxa"/>
          </w:tcPr>
          <w:p>
            <w:pPr>
              <w:spacing w:before="0" w:after="0" w:line="240" w:lineRule="auto"/>
              <w:jc w:val="left"/>
            </w:pPr>
            <w:r>
              <w:rPr>
                <w:sz w:val="20"/>
                <w:szCs w:val="20"/>
              </w:rPr>
              <w:t xml:space="preserve">Overlap treated?</w:t>
            </w:r>
          </w:p>
        </w:tc>
        <w:tc>
          <w:tcPr>
            <w:tcW w:w="710" w:type="dxa"/>
          </w:tcPr>
          <w:p>
            <w:pPr>
              <w:spacing w:before="0" w:after="0" w:line="240" w:lineRule="auto"/>
              <w:jc w:val="left"/>
            </w:pPr>
            <w:r>
              <w:rPr>
                <w:sz w:val="20"/>
                <w:szCs w:val="20"/>
              </w:rPr>
              <w:t xml:space="preserve">Scale-wise?</w:t>
            </w:r>
          </w:p>
        </w:tc>
        <w:tc>
          <w:tcPr>
            <w:tcW w:w="1198" w:type="dxa"/>
          </w:tcPr>
          <w:p>
            <w:pPr>
              <w:spacing w:before="0" w:after="0" w:line="240" w:lineRule="auto"/>
              <w:jc w:val="left"/>
            </w:pPr>
            <w:r>
              <w:rPr>
                <w:sz w:val="20"/>
                <w:szCs w:val="20"/>
              </w:rPr>
              <w:t xml:space="preserve">Volatility-robust test?</w:t>
            </w:r>
          </w:p>
        </w:tc>
        <w:tc>
          <w:tcPr>
            <w:tcW w:w="1686" w:type="dxa"/>
          </w:tcPr>
          <w:p>
            <w:pPr>
              <w:spacing w:before="0" w:after="0" w:line="240" w:lineRule="auto"/>
              <w:jc w:val="left"/>
            </w:pPr>
            <w:r>
              <w:rPr>
                <w:sz w:val="20"/>
                <w:szCs w:val="20"/>
              </w:rPr>
              <w:t xml:space="preserve">Main finding</w:t>
            </w:r>
          </w:p>
        </w:tc>
      </w:tr>
      <w:tr>
        <w:tc>
          <w:tcPr>
            <w:tcW w:w="1100" w:type="dxa"/>
          </w:tcPr>
          <w:p>
            <w:pPr>
              <w:spacing w:before="0" w:after="0" w:line="240" w:lineRule="auto"/>
              <w:jc w:val="left"/>
            </w:pPr>
            <w:r>
              <w:rPr>
                <w:sz w:val="20"/>
                <w:szCs w:val="20"/>
              </w:rPr>
              <w:t xml:space="preserve">Pearson (1897); Cureton (1966)</w:t>
            </w:r>
          </w:p>
        </w:tc>
        <w:tc>
          <w:tcPr>
            <w:tcW w:w="1588" w:type="dxa"/>
          </w:tcPr>
          <w:p>
            <w:pPr>
              <w:spacing w:before="0" w:after="0" w:line="240" w:lineRule="auto"/>
              <w:jc w:val="left"/>
            </w:pPr>
            <w:r>
              <w:rPr>
                <w:sz w:val="20"/>
                <w:szCs w:val="20"/>
              </w:rPr>
              <w:t xml:space="preserve">Ratios with a common component; test items</w:t>
            </w:r>
          </w:p>
        </w:tc>
        <w:tc>
          <w:tcPr>
            <w:tcW w:w="1686" w:type="dxa"/>
          </w:tcPr>
          <w:p>
            <w:pPr>
              <w:spacing w:before="0" w:after="0" w:line="240" w:lineRule="auto"/>
              <w:jc w:val="left"/>
            </w:pPr>
            <w:r>
              <w:rPr>
                <w:sz w:val="20"/>
                <w:szCs w:val="20"/>
              </w:rPr>
              <w:t xml:space="preserve">Pearson correlation</w:t>
            </w:r>
          </w:p>
        </w:tc>
        <w:tc>
          <w:tcPr>
            <w:tcW w:w="1393" w:type="dxa"/>
          </w:tcPr>
          <w:p>
            <w:pPr>
              <w:spacing w:before="0" w:after="0" w:line="240" w:lineRule="auto"/>
              <w:jc w:val="left"/>
            </w:pPr>
            <w:r>
              <w:rPr>
                <w:sz w:val="20"/>
                <w:szCs w:val="20"/>
              </w:rPr>
              <w:t xml:space="preserve">Yes (static)</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Correlation of a whole with its part is inflated</w:t>
            </w:r>
          </w:p>
        </w:tc>
      </w:tr>
      <w:tr>
        <w:tc>
          <w:tcPr>
            <w:tcW w:w="1100" w:type="dxa"/>
          </w:tcPr>
          <w:p>
            <w:pPr>
              <w:spacing w:before="0" w:after="0" w:line="240" w:lineRule="auto"/>
              <w:jc w:val="left"/>
            </w:pPr>
            <w:r>
              <w:rPr>
                <w:sz w:val="20"/>
                <w:szCs w:val="20"/>
              </w:rPr>
              <w:t xml:space="preserve">Cremers and Petajisto (2009)</w:t>
            </w:r>
          </w:p>
        </w:tc>
        <w:tc>
          <w:tcPr>
            <w:tcW w:w="1588" w:type="dxa"/>
          </w:tcPr>
          <w:p>
            <w:pPr>
              <w:spacing w:before="0" w:after="0" w:line="240" w:lineRule="auto"/>
              <w:jc w:val="left"/>
            </w:pPr>
            <w:r>
              <w:rPr>
                <w:sz w:val="20"/>
                <w:szCs w:val="20"/>
              </w:rPr>
              <w:t xml:space="preserve">US mutual funds</w:t>
            </w:r>
          </w:p>
        </w:tc>
        <w:tc>
          <w:tcPr>
            <w:tcW w:w="1686" w:type="dxa"/>
          </w:tcPr>
          <w:p>
            <w:pPr>
              <w:spacing w:before="0" w:after="0" w:line="240" w:lineRule="auto"/>
              <w:jc w:val="left"/>
            </w:pPr>
            <w:r>
              <w:rPr>
                <w:sz w:val="20"/>
                <w:szCs w:val="20"/>
              </w:rPr>
              <w:t xml:space="preserve">Holdings overlap (Active Share)</w:t>
            </w:r>
          </w:p>
        </w:tc>
        <w:tc>
          <w:tcPr>
            <w:tcW w:w="1393" w:type="dxa"/>
          </w:tcPr>
          <w:p>
            <w:pPr>
              <w:spacing w:before="0" w:after="0" w:line="240" w:lineRule="auto"/>
              <w:jc w:val="left"/>
            </w:pPr>
            <w:r>
              <w:rPr>
                <w:sz w:val="20"/>
                <w:szCs w:val="20"/>
              </w:rPr>
              <w:t xml:space="preserve">Yes (holdings)</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Overlap with benchmark holdings measures activity</w:t>
            </w:r>
          </w:p>
        </w:tc>
      </w:tr>
      <w:tr>
        <w:tc>
          <w:tcPr>
            <w:tcW w:w="1100" w:type="dxa"/>
          </w:tcPr>
          <w:p>
            <w:pPr>
              <w:spacing w:before="0" w:after="0" w:line="240" w:lineRule="auto"/>
              <w:jc w:val="left"/>
            </w:pPr>
            <w:r>
              <w:rPr>
                <w:sz w:val="20"/>
                <w:szCs w:val="20"/>
              </w:rPr>
              <w:t xml:space="preserve">Barberis et al. (2005); Greenwood (2008); Chen et al. (2016)</w:t>
            </w:r>
          </w:p>
        </w:tc>
        <w:tc>
          <w:tcPr>
            <w:tcW w:w="1588" w:type="dxa"/>
          </w:tcPr>
          <w:p>
            <w:pPr>
              <w:spacing w:before="0" w:after="0" w:line="240" w:lineRule="auto"/>
              <w:jc w:val="left"/>
            </w:pPr>
            <w:r>
              <w:rPr>
                <w:sz w:val="20"/>
                <w:szCs w:val="20"/>
              </w:rPr>
              <w:t xml:space="preserve">S&amp;P 500; Nikkei 225</w:t>
            </w:r>
          </w:p>
        </w:tc>
        <w:tc>
          <w:tcPr>
            <w:tcW w:w="1686" w:type="dxa"/>
          </w:tcPr>
          <w:p>
            <w:pPr>
              <w:spacing w:before="0" w:after="0" w:line="240" w:lineRule="auto"/>
              <w:jc w:val="left"/>
            </w:pPr>
            <w:r>
              <w:rPr>
                <w:sz w:val="20"/>
                <w:szCs w:val="20"/>
              </w:rPr>
              <w:t xml:space="preserve">Event study; index weights</w:t>
            </w:r>
          </w:p>
        </w:tc>
        <w:tc>
          <w:tcPr>
            <w:tcW w:w="1393" w:type="dxa"/>
          </w:tcPr>
          <w:p>
            <w:pPr>
              <w:spacing w:before="0" w:after="0" w:line="240" w:lineRule="auto"/>
              <w:jc w:val="left"/>
            </w:pPr>
            <w:r>
              <w:rPr>
                <w:sz w:val="20"/>
                <w:szCs w:val="20"/>
              </w:rPr>
              <w:t xml:space="preserve">Membership, not overlap</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Membership effect on co-movement is contested</w:t>
            </w:r>
          </w:p>
        </w:tc>
      </w:tr>
      <w:tr>
        <w:tc>
          <w:tcPr>
            <w:tcW w:w="1100" w:type="dxa"/>
          </w:tcPr>
          <w:p>
            <w:pPr>
              <w:spacing w:before="0" w:after="0" w:line="240" w:lineRule="auto"/>
              <w:jc w:val="left"/>
            </w:pPr>
            <w:r>
              <w:rPr>
                <w:sz w:val="20"/>
                <w:szCs w:val="20"/>
              </w:rPr>
              <w:t xml:space="preserve">Podobnik and Stanley (2008); Zebende (2011)</w:t>
            </w:r>
          </w:p>
        </w:tc>
        <w:tc>
          <w:tcPr>
            <w:tcW w:w="1588" w:type="dxa"/>
          </w:tcPr>
          <w:p>
            <w:pPr>
              <w:spacing w:before="0" w:after="0" w:line="240" w:lineRule="auto"/>
              <w:jc w:val="left"/>
            </w:pPr>
            <w:r>
              <w:rPr>
                <w:sz w:val="20"/>
                <w:szCs w:val="20"/>
              </w:rPr>
              <w:t xml:space="preserve">Methodological</w:t>
            </w:r>
          </w:p>
        </w:tc>
        <w:tc>
          <w:tcPr>
            <w:tcW w:w="1686" w:type="dxa"/>
          </w:tcPr>
          <w:p>
            <w:pPr>
              <w:spacing w:before="0" w:after="0" w:line="240" w:lineRule="auto"/>
              <w:jc w:val="left"/>
            </w:pPr>
            <w:r>
              <w:rPr>
                <w:sz w:val="20"/>
                <w:szCs w:val="20"/>
              </w:rPr>
              <w:t xml:space="preserve">DCCA; ρDCCA</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Scale-wise detrended covariance and coefficient</w:t>
            </w:r>
          </w:p>
        </w:tc>
      </w:tr>
      <w:tr>
        <w:tc>
          <w:tcPr>
            <w:tcW w:w="1100" w:type="dxa"/>
          </w:tcPr>
          <w:p>
            <w:pPr>
              <w:spacing w:before="0" w:after="0" w:line="240" w:lineRule="auto"/>
              <w:jc w:val="left"/>
            </w:pPr>
            <w:r>
              <w:rPr>
                <w:sz w:val="20"/>
                <w:szCs w:val="20"/>
              </w:rPr>
              <w:t xml:space="preserve">Okorie and Lin (2021); Tilfani et al. (2021)</w:t>
            </w:r>
          </w:p>
        </w:tc>
        <w:tc>
          <w:tcPr>
            <w:tcW w:w="1588" w:type="dxa"/>
          </w:tcPr>
          <w:p>
            <w:pPr>
              <w:spacing w:before="0" w:after="0" w:line="240" w:lineRule="auto"/>
              <w:jc w:val="left"/>
            </w:pPr>
            <w:r>
              <w:rPr>
                <w:sz w:val="20"/>
                <w:szCs w:val="20"/>
              </w:rPr>
              <w:t xml:space="preserve">Stock markets, COVID-19</w:t>
            </w:r>
          </w:p>
        </w:tc>
        <w:tc>
          <w:tcPr>
            <w:tcW w:w="1686" w:type="dxa"/>
          </w:tcPr>
          <w:p>
            <w:pPr>
              <w:spacing w:before="0" w:after="0" w:line="240" w:lineRule="auto"/>
              <w:jc w:val="left"/>
            </w:pPr>
            <w:r>
              <w:rPr>
                <w:sz w:val="20"/>
                <w:szCs w:val="20"/>
              </w:rPr>
              <w:t xml:space="preserve">DCCA, DMCA; sliding windows</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Fractal contagion that fades with the horizon</w:t>
            </w:r>
          </w:p>
        </w:tc>
      </w:tr>
      <w:tr>
        <w:tc>
          <w:tcPr>
            <w:tcW w:w="1100" w:type="dxa"/>
          </w:tcPr>
          <w:p>
            <w:pPr>
              <w:spacing w:before="0" w:after="0" w:line="240" w:lineRule="auto"/>
              <w:jc w:val="left"/>
            </w:pPr>
            <w:r>
              <w:rPr>
                <w:sz w:val="20"/>
                <w:szCs w:val="20"/>
              </w:rPr>
              <w:t xml:space="preserve">Ge and Lin (2021); Chen et al. (2024)</w:t>
            </w:r>
          </w:p>
        </w:tc>
        <w:tc>
          <w:tcPr>
            <w:tcW w:w="1588" w:type="dxa"/>
          </w:tcPr>
          <w:p>
            <w:pPr>
              <w:spacing w:before="0" w:after="0" w:line="240" w:lineRule="auto"/>
              <w:jc w:val="left"/>
            </w:pPr>
            <w:r>
              <w:rPr>
                <w:sz w:val="20"/>
                <w:szCs w:val="20"/>
              </w:rPr>
              <w:t xml:space="preserve">China and United States</w:t>
            </w:r>
          </w:p>
        </w:tc>
        <w:tc>
          <w:tcPr>
            <w:tcW w:w="1686" w:type="dxa"/>
          </w:tcPr>
          <w:p>
            <w:pPr>
              <w:spacing w:before="0" w:after="0" w:line="240" w:lineRule="auto"/>
              <w:jc w:val="left"/>
            </w:pPr>
            <w:r>
              <w:rPr>
                <w:sz w:val="20"/>
                <w:szCs w:val="20"/>
              </w:rPr>
              <w:t xml:space="preserve">MF-DCCA; partial MF-DCCA</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Scale- and size-dependent cross-correlation</w:t>
            </w:r>
          </w:p>
        </w:tc>
      </w:tr>
      <w:tr>
        <w:tc>
          <w:tcPr>
            <w:tcW w:w="1100" w:type="dxa"/>
          </w:tcPr>
          <w:p>
            <w:pPr>
              <w:spacing w:before="0" w:after="0" w:line="240" w:lineRule="auto"/>
              <w:jc w:val="left"/>
            </w:pPr>
            <w:r>
              <w:rPr>
                <w:sz w:val="20"/>
                <w:szCs w:val="20"/>
              </w:rPr>
              <w:t xml:space="preserve">Wang et al. (2021); Kakinaka et al. (2025)</w:t>
            </w:r>
          </w:p>
        </w:tc>
        <w:tc>
          <w:tcPr>
            <w:tcW w:w="1588" w:type="dxa"/>
          </w:tcPr>
          <w:p>
            <w:pPr>
              <w:spacing w:before="0" w:after="0" w:line="240" w:lineRule="auto"/>
              <w:jc w:val="left"/>
            </w:pPr>
            <w:r>
              <w:rPr>
                <w:sz w:val="20"/>
                <w:szCs w:val="20"/>
              </w:rPr>
              <w:t xml:space="preserve">Stock portfolios</w:t>
            </w:r>
          </w:p>
        </w:tc>
        <w:tc>
          <w:tcPr>
            <w:tcW w:w="1686" w:type="dxa"/>
          </w:tcPr>
          <w:p>
            <w:pPr>
              <w:spacing w:before="0" w:after="0" w:line="240" w:lineRule="auto"/>
              <w:jc w:val="left"/>
            </w:pPr>
            <w:r>
              <w:rPr>
                <w:sz w:val="20"/>
                <w:szCs w:val="20"/>
              </w:rPr>
              <w:t xml:space="preserve">Mean-MF-X-DMA; mean-DCCA</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Scale-aware rules improve portfolio performance</w:t>
            </w:r>
          </w:p>
        </w:tc>
      </w:tr>
      <w:tr>
        <w:tc>
          <w:tcPr>
            <w:tcW w:w="1100" w:type="dxa"/>
          </w:tcPr>
          <w:p>
            <w:pPr>
              <w:spacing w:before="0" w:after="0" w:line="240" w:lineRule="auto"/>
              <w:jc w:val="left"/>
            </w:pPr>
            <w:r>
              <w:rPr>
                <w:sz w:val="20"/>
                <w:szCs w:val="20"/>
              </w:rPr>
              <w:t xml:space="preserve">Santana et al. (2023)</w:t>
            </w:r>
          </w:p>
        </w:tc>
        <w:tc>
          <w:tcPr>
            <w:tcW w:w="1588" w:type="dxa"/>
          </w:tcPr>
          <w:p>
            <w:pPr>
              <w:spacing w:before="0" w:after="0" w:line="240" w:lineRule="auto"/>
              <w:jc w:val="left"/>
            </w:pPr>
            <w:r>
              <w:rPr>
                <w:sz w:val="20"/>
                <w:szCs w:val="20"/>
              </w:rPr>
              <w:t xml:space="preserve">Crude oil and precious metals</w:t>
            </w:r>
          </w:p>
        </w:tc>
        <w:tc>
          <w:tcPr>
            <w:tcW w:w="1686" w:type="dxa"/>
          </w:tcPr>
          <w:p>
            <w:pPr>
              <w:spacing w:before="0" w:after="0" w:line="240" w:lineRule="auto"/>
              <w:jc w:val="left"/>
            </w:pPr>
            <w:r>
              <w:rPr>
                <w:sz w:val="20"/>
                <w:szCs w:val="20"/>
              </w:rPr>
              <w:t xml:space="preserve">ΔρDCCA test</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Contagion depends on the pair</w:t>
            </w:r>
          </w:p>
        </w:tc>
      </w:tr>
      <w:tr>
        <w:tc>
          <w:tcPr>
            <w:tcW w:w="1100" w:type="dxa"/>
          </w:tcPr>
          <w:p>
            <w:pPr>
              <w:spacing w:before="0" w:after="0" w:line="240" w:lineRule="auto"/>
              <w:jc w:val="left"/>
            </w:pPr>
            <w:r>
              <w:rPr>
                <w:sz w:val="20"/>
                <w:szCs w:val="20"/>
              </w:rPr>
              <w:t xml:space="preserve">Forbes and Rigobon (2002); Corsetti et al. (2005)</w:t>
            </w:r>
          </w:p>
        </w:tc>
        <w:tc>
          <w:tcPr>
            <w:tcW w:w="1588" w:type="dxa"/>
          </w:tcPr>
          <w:p>
            <w:pPr>
              <w:spacing w:before="0" w:after="0" w:line="240" w:lineRule="auto"/>
              <w:jc w:val="left"/>
            </w:pPr>
            <w:r>
              <w:rPr>
                <w:sz w:val="20"/>
                <w:szCs w:val="20"/>
              </w:rPr>
              <w:t xml:space="preserve">International stock markets</w:t>
            </w:r>
          </w:p>
        </w:tc>
        <w:tc>
          <w:tcPr>
            <w:tcW w:w="1686" w:type="dxa"/>
          </w:tcPr>
          <w:p>
            <w:pPr>
              <w:spacing w:before="0" w:after="0" w:line="240" w:lineRule="auto"/>
              <w:jc w:val="left"/>
            </w:pPr>
            <w:r>
              <w:rPr>
                <w:sz w:val="20"/>
                <w:szCs w:val="20"/>
              </w:rPr>
              <w:t xml:space="preserve">Adjusted correlation; factor model</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Yes</w:t>
            </w:r>
          </w:p>
        </w:tc>
        <w:tc>
          <w:tcPr>
            <w:tcW w:w="1686" w:type="dxa"/>
          </w:tcPr>
          <w:p>
            <w:pPr>
              <w:spacing w:before="0" w:after="0" w:line="240" w:lineRule="auto"/>
              <w:jc w:val="left"/>
            </w:pPr>
            <w:r>
              <w:rPr>
                <w:sz w:val="20"/>
                <w:szCs w:val="20"/>
              </w:rPr>
              <w:t xml:space="preserve">Interdependence versus contagion; bias from restricted idiosyncratic variance</w:t>
            </w:r>
          </w:p>
        </w:tc>
      </w:tr>
      <w:tr>
        <w:tc>
          <w:tcPr>
            <w:tcW w:w="1100" w:type="dxa"/>
          </w:tcPr>
          <w:p>
            <w:pPr>
              <w:spacing w:before="0" w:after="0" w:line="240" w:lineRule="auto"/>
              <w:jc w:val="left"/>
            </w:pPr>
            <w:r>
              <w:rPr>
                <w:sz w:val="20"/>
                <w:szCs w:val="20"/>
              </w:rPr>
              <w:t xml:space="preserve">Lo and MacKinlay (1990); Hou (2007)</w:t>
            </w:r>
          </w:p>
        </w:tc>
        <w:tc>
          <w:tcPr>
            <w:tcW w:w="1588" w:type="dxa"/>
          </w:tcPr>
          <w:p>
            <w:pPr>
              <w:spacing w:before="0" w:after="0" w:line="240" w:lineRule="auto"/>
              <w:jc w:val="left"/>
            </w:pPr>
            <w:r>
              <w:rPr>
                <w:sz w:val="20"/>
                <w:szCs w:val="20"/>
              </w:rPr>
              <w:t xml:space="preserve">US size portfolios</w:t>
            </w:r>
          </w:p>
        </w:tc>
        <w:tc>
          <w:tcPr>
            <w:tcW w:w="1686" w:type="dxa"/>
          </w:tcPr>
          <w:p>
            <w:pPr>
              <w:spacing w:before="0" w:after="0" w:line="240" w:lineRule="auto"/>
              <w:jc w:val="left"/>
            </w:pPr>
            <w:r>
              <w:rPr>
                <w:sz w:val="20"/>
                <w:szCs w:val="20"/>
              </w:rPr>
              <w:t xml:space="preserve">Cross-autocorrelation</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Large caps lead small caps</w:t>
            </w:r>
          </w:p>
        </w:tc>
      </w:tr>
      <w:tr>
        <w:tc>
          <w:tcPr>
            <w:tcW w:w="1100" w:type="dxa"/>
          </w:tcPr>
          <w:p>
            <w:pPr>
              <w:spacing w:before="0" w:after="0" w:line="240" w:lineRule="auto"/>
              <w:jc w:val="left"/>
            </w:pPr>
            <w:r>
              <w:rPr>
                <w:sz w:val="20"/>
                <w:szCs w:val="20"/>
              </w:rPr>
              <w:t xml:space="preserve">Bui et al. (2022); Tran and Tran (2025)</w:t>
            </w:r>
          </w:p>
        </w:tc>
        <w:tc>
          <w:tcPr>
            <w:tcW w:w="1588" w:type="dxa"/>
          </w:tcPr>
          <w:p>
            <w:pPr>
              <w:spacing w:before="0" w:after="0" w:line="240" w:lineRule="auto"/>
              <w:jc w:val="left"/>
            </w:pPr>
            <w:r>
              <w:rPr>
                <w:sz w:val="20"/>
                <w:szCs w:val="20"/>
              </w:rPr>
              <w:t xml:space="preserve">Vietnamese sectors; intraday HOSE</w:t>
            </w:r>
          </w:p>
        </w:tc>
        <w:tc>
          <w:tcPr>
            <w:tcW w:w="1686" w:type="dxa"/>
          </w:tcPr>
          <w:p>
            <w:pPr>
              <w:spacing w:before="0" w:after="0" w:line="240" w:lineRule="auto"/>
              <w:jc w:val="left"/>
            </w:pPr>
            <w:r>
              <w:rPr>
                <w:sz w:val="20"/>
                <w:szCs w:val="20"/>
              </w:rPr>
              <w:t xml:space="preserve">Spillover connectedness; high-frequency</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High connectedness; delayed adjustment</w:t>
            </w:r>
          </w:p>
        </w:tc>
      </w:tr>
      <w:tr>
        <w:tc>
          <w:tcPr>
            <w:tcW w:w="1100" w:type="dxa"/>
          </w:tcPr>
          <w:p>
            <w:pPr>
              <w:spacing w:before="0" w:after="0" w:line="240" w:lineRule="auto"/>
              <w:jc w:val="left"/>
            </w:pPr>
            <w:r>
              <w:rPr>
                <w:sz w:val="20"/>
                <w:szCs w:val="20"/>
              </w:rPr>
              <w:t xml:space="preserve">This study</w:t>
            </w:r>
          </w:p>
        </w:tc>
        <w:tc>
          <w:tcPr>
            <w:tcW w:w="1588" w:type="dxa"/>
          </w:tcPr>
          <w:p>
            <w:pPr>
              <w:spacing w:before="0" w:after="0" w:line="240" w:lineRule="auto"/>
              <w:jc w:val="left"/>
            </w:pPr>
            <w:r>
              <w:rPr>
                <w:sz w:val="20"/>
                <w:szCs w:val="20"/>
              </w:rPr>
              <w:t xml:space="preserve">VN30, VN100, VNINDEX; M30 to daily, 2014–2025</w:t>
            </w:r>
          </w:p>
        </w:tc>
        <w:tc>
          <w:tcPr>
            <w:tcW w:w="1686" w:type="dxa"/>
          </w:tcPr>
          <w:p>
            <w:pPr>
              <w:spacing w:before="0" w:after="0" w:line="240" w:lineRule="auto"/>
              <w:jc w:val="left"/>
            </w:pPr>
            <w:r>
              <w:rPr>
                <w:sz w:val="20"/>
                <w:szCs w:val="20"/>
              </w:rPr>
              <w:t xml:space="preserve">Scale-wise part–whole identity; DCCA</w:t>
            </w:r>
          </w:p>
        </w:tc>
        <w:tc>
          <w:tcPr>
            <w:tcW w:w="1393" w:type="dxa"/>
          </w:tcPr>
          <w:p>
            <w:pPr>
              <w:spacing w:before="0" w:after="0" w:line="240" w:lineRule="auto"/>
              <w:jc w:val="left"/>
            </w:pPr>
            <w:r>
              <w:rPr>
                <w:sz w:val="20"/>
                <w:szCs w:val="20"/>
              </w:rPr>
              <w:t xml:space="preserve">Yes (scale-wise, with weight uncertainty)</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Yes</w:t>
            </w:r>
          </w:p>
        </w:tc>
        <w:tc>
          <w:tcPr>
            <w:tcW w:w="1686" w:type="dxa"/>
          </w:tcPr>
          <w:p>
            <w:pPr>
              <w:spacing w:before="0" w:after="0" w:line="240" w:lineRule="auto"/>
              <w:jc w:val="left"/>
            </w:pPr>
            <w:r>
              <w:rPr>
                <w:sz w:val="20"/>
                <w:szCs w:val="20"/>
              </w:rPr>
              <w:t xml:space="preserve">Purged coefficient is largely masked in the nested one</w:t>
            </w:r>
          </w:p>
        </w:tc>
      </w:tr>
    </w:tbl>
    <w:p>
      <w:pPr>
        <w:pStyle w:val="Compact"/>
      </w:pPr>
      <w:r>
        <w:rPr>
          <w:sz w:val="20"/>
          <w:szCs w:val="20"/>
        </w:rPr>
        <w:t xml:space="preserve">Notes: Overlap treated: whether the study separates dependence created by shared constituents; scale-wise: whether dependence is measured by timescale; volatility-robust test: whether crisis comparisons correct for heteroscedasticity or common shocks; DCCA: detrended cross-correlation analysis; MF-DCCA: multifractal DCCA; DMCA: detrending moving-average cross-correlation analysis; ρDCCA: DCCA coefficient. Source: Authors’ compilation.</w:t>
      </w:r>
    </w:p>
    <w:p>
      <w:pPr>
        <w:pStyle w:val="BodyText"/>
        <w:spacing w:before="0" w:after="120" w:line="300" w:lineRule="auto"/>
        <w:jc w:val="both"/>
      </w:pPr>
      <w:r>
        <w:rPr>
          <w:rFonts w:ascii="Times New Roman" w:hAnsi="Times New Roman" w:cs="Times New Roman" w:eastAsia="Times New Roman"/>
          <w:sz w:val="24"/>
          <w:szCs w:val="24"/>
        </w:rPr>
        <w:t xml:space="preserve">Three gaps follow. The part–whole identity is known for static Pearson correlations but has not been extended to scale-wise detrended coefficients, equipped with inference under weight uncertainty, or turned into a diagnostic computable from published index data. Multiscale studies of crises rarely use volatility-robust tests, and volatility-conditioned studies use one horizon and disjoint markets. To the best of our knowledge, no study has covered the Vietnamese index system at intraday and daily frequencies. We searched Google Scholar and publisher databases for 2021–2026, in addition to the classical sources cited in these works.</w:t>
      </w:r>
    </w:p>
    <w:p>
      <w:pPr>
        <w:pStyle w:val="heading20"/>
        <w:numPr>
          <w:ilvl w:val="0"/>
          <w:numId w:val="0"/>
        </w:numPr>
      </w:pPr>
      <w:r>
        <w:rPr>
          <w:rFonts w:ascii="Times New Roman" w:hAnsi="Times New Roman" w:cs="Times New Roman" w:eastAsia="Times New Roman"/>
          <w:b/>
          <w:sz w:val="24"/>
          <w:szCs w:val="24"/>
        </w:rPr>
        <w:t xml:space="preserve">2.7 Estimands and hypotheses</w:t>
      </w:r>
    </w:p>
    <w:p>
      <w:pPr>
        <w:pStyle w:val="p1a"/>
        <w:spacing w:before="0" w:after="120" w:line="300" w:lineRule="auto"/>
        <w:jc w:val="both"/>
      </w:pPr>
      <w:r>
        <w:rPr>
          <w:rFonts w:ascii="Times New Roman" w:hAnsi="Times New Roman" w:cs="Times New Roman" w:eastAsia="Times New Roman"/>
          <w:sz w:val="24"/>
          <w:szCs w:val="24"/>
        </w:rPr>
        <w:t xml:space="preserve">Lemma 1 (Section 4.2) fixes some quantities once the weight and relative amplitude are known; we report these as estimands and test only what the identity does not determine. E1 is the zero-correlation benchmark ρ̲ of the VN30–VN100 coefficient and its share under three attribution conventions; E2 is the sensitivity of the nested to the purged coefficient; and E3 is the in-sample misstatement of portfolio variance by a static correlation, judged against sampling error.</w:t>
      </w:r>
    </w:p>
    <w:p>
      <w:pPr>
        <w:pStyle w:val="BodyText"/>
        <w:spacing w:before="0" w:after="120" w:line="300" w:lineRule="auto"/>
        <w:jc w:val="both"/>
      </w:pPr>
      <w:r>
        <w:rPr>
          <w:rFonts w:ascii="Times New Roman" w:hAnsi="Times New Roman" w:cs="Times New Roman" w:eastAsia="Times New Roman"/>
          <w:iCs/>
          <w:i/>
          <w:sz w:val="24"/>
          <w:szCs w:val="24"/>
        </w:rPr>
        <w:t xml:space="preserve">H</w:t>
      </w:r>
      <w:r>
        <w:rPr>
          <w:rFonts w:ascii="Times New Roman" w:hAnsi="Times New Roman" w:cs="Times New Roman" w:eastAsia="Times New Roman"/>
          <w:vertAlign w:val="subscript"/>
          <w:iCs/>
          <w:i/>
          <w:sz w:val="24"/>
          <w:szCs w:val="24"/>
        </w:rPr>
        <w:t xml:space="preserve">1</w:t>
      </w:r>
      <w:r>
        <w:rPr>
          <w:rFonts w:ascii="Times New Roman" w:hAnsi="Times New Roman" w:cs="Times New Roman" w:eastAsia="Times New Roman"/>
          <w:iCs/>
          <w:i/>
          <w:sz w:val="24"/>
          <w:szCs w:val="24"/>
        </w:rPr>
        <w:t xml:space="preserve"> </w:t>
      </w:r>
      <w:r>
        <w:rPr>
          <w:rFonts w:ascii="Times New Roman" w:hAnsi="Times New Roman" w:cs="Times New Roman" w:eastAsia="Times New Roman"/>
          <w:iCs/>
          <w:i/>
          <w:sz w:val="24"/>
          <w:szCs w:val="24"/>
        </w:rPr>
        <w:t xml:space="preserve">(material overlap gap).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 purged coefficient near one would leave almost no gap, so the gap size is an empirical question. Rule: at every frequency, the lower 95% bound of the like-for-like gap exceeds 0.05, the estimation tolerance of Section 4.4; the gap is VN30–VN100 minus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the overlap-purged mid-cap series).</w:t>
      </w:r>
    </w:p>
    <w:p>
      <w:pPr>
        <w:pStyle w:val="BodyText"/>
        <w:spacing w:before="0" w:after="120" w:line="300" w:lineRule="auto"/>
        <w:jc w:val="both"/>
      </w:pPr>
      <w:r>
        <w:rPr>
          <w:rFonts w:ascii="Times New Roman" w:hAnsi="Times New Roman" w:cs="Times New Roman" w:eastAsia="Times New Roman"/>
          <w:iCs/>
          <w:i/>
          <w:sz w:val="24"/>
          <w:szCs w:val="24"/>
        </w:rPr>
        <w:t xml:space="preserve">H</w:t>
      </w:r>
      <w:r>
        <w:rPr>
          <w:rFonts w:ascii="Times New Roman" w:hAnsi="Times New Roman" w:cs="Times New Roman" w:eastAsia="Times New Roman"/>
          <w:vertAlign w:val="subscript"/>
          <w:iCs/>
          <w:i/>
          <w:sz w:val="24"/>
          <w:szCs w:val="24"/>
        </w:rPr>
        <w:t xml:space="preserve">2</w:t>
      </w:r>
      <w:r>
        <w:rPr>
          <w:rFonts w:ascii="Times New Roman" w:hAnsi="Times New Roman" w:cs="Times New Roman" w:eastAsia="Times New Roman"/>
          <w:iCs/>
          <w:i/>
          <w:sz w:val="24"/>
          <w:szCs w:val="24"/>
        </w:rPr>
        <w:t xml:space="preserve"> </w:t>
      </w:r>
      <w:r>
        <w:rPr>
          <w:rFonts w:ascii="Times New Roman" w:hAnsi="Times New Roman" w:cs="Times New Roman" w:eastAsia="Times New Roman"/>
          <w:iCs/>
          <w:i/>
          <w:sz w:val="24"/>
          <w:szCs w:val="24"/>
        </w:rPr>
        <w:t xml:space="preserve">(horizon dependence).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Large caps lead small caps (Lo and MacKinlay, 1990; Hou, 2007), non-synchronous trading depresses short-horizon correlations (Epps, 1979) and information diffuses gradually (Hong and Stein, 1999). Broad-market coefficients should therefore rise with the timescale, whereas the identity predicts a damped VN30–VN100 slope. Rule: among eight broad-market slope tests, at least one pair at each of M30 and H1 has a positive slope with a Holm-adjusted studentized p-value below 0.05. We also report robustness to removing the opening bar and an equivalence test for VN30–VN100.</w:t>
      </w:r>
    </w:p>
    <w:p>
      <w:pPr>
        <w:pStyle w:val="BodyText"/>
        <w:spacing w:before="0" w:after="120" w:line="300" w:lineRule="auto"/>
        <w:jc w:val="both"/>
      </w:pPr>
      <w:r>
        <w:rPr>
          <w:rFonts w:ascii="Times New Roman" w:hAnsi="Times New Roman" w:cs="Times New Roman" w:eastAsia="Times New Roman"/>
          <w:iCs/>
          <w:i/>
          <w:sz w:val="24"/>
          <w:szCs w:val="24"/>
        </w:rPr>
        <w:t xml:space="preserve">H</w:t>
      </w:r>
      <w:r>
        <w:rPr>
          <w:rFonts w:ascii="Times New Roman" w:hAnsi="Times New Roman" w:cs="Times New Roman" w:eastAsia="Times New Roman"/>
          <w:vertAlign w:val="subscript"/>
          <w:iCs/>
          <w:i/>
          <w:sz w:val="24"/>
          <w:szCs w:val="24"/>
        </w:rPr>
        <w:t xml:space="preserve">3</w:t>
      </w:r>
      <w:r>
        <w:rPr>
          <w:rFonts w:ascii="Times New Roman" w:hAnsi="Times New Roman" w:cs="Times New Roman" w:eastAsia="Times New Roman"/>
          <w:iCs/>
          <w:i/>
          <w:sz w:val="24"/>
          <w:szCs w:val="24"/>
        </w:rPr>
        <w:t xml:space="preserve"> </w:t>
      </w:r>
      <w:r>
        <w:rPr>
          <w:rFonts w:ascii="Times New Roman" w:hAnsi="Times New Roman" w:cs="Times New Roman" w:eastAsia="Times New Roman"/>
          <w:iCs/>
          <w:i/>
          <w:sz w:val="24"/>
          <w:szCs w:val="24"/>
        </w:rPr>
        <w:t xml:space="preserve">(contagion).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Raw crisis correlations rise with volatility alone (Forbes and Rigobon, 2002), and the volatility correction is biased toward no contagion when idiosyncratic variance rises (Corsetti et al., 2005). Rule: under VN30 volatility regimes, the adjusted correlation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VN30 exceeds its calm level (one-sided p &lt; 0.05) and the loading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VN30 rises (two-sided p &lt; 0.05).</w:t>
      </w:r>
    </w:p>
    <w:p>
      <w:pPr>
        <w:pStyle w:val="BodyText"/>
        <w:spacing w:before="0" w:after="120" w:line="300" w:lineRule="auto"/>
        <w:jc w:val="both"/>
      </w:pPr>
      <w:r>
        <w:rPr>
          <w:rFonts w:ascii="Times New Roman" w:hAnsi="Times New Roman" w:cs="Times New Roman" w:eastAsia="Times New Roman"/>
          <w:iCs/>
          <w:i/>
          <w:sz w:val="24"/>
          <w:szCs w:val="24"/>
        </w:rPr>
        <w:t xml:space="preserve">H</w:t>
      </w:r>
      <w:r>
        <w:rPr>
          <w:rFonts w:ascii="Times New Roman" w:hAnsi="Times New Roman" w:cs="Times New Roman" w:eastAsia="Times New Roman"/>
          <w:vertAlign w:val="subscript"/>
          <w:iCs/>
          <w:i/>
          <w:sz w:val="24"/>
          <w:szCs w:val="24"/>
        </w:rPr>
        <w:t xml:space="preserve">4</w:t>
      </w:r>
      <w:r>
        <w:rPr>
          <w:rFonts w:ascii="Times New Roman" w:hAnsi="Times New Roman" w:cs="Times New Roman" w:eastAsia="Times New Roman"/>
          <w:iCs/>
          <w:i/>
          <w:sz w:val="24"/>
          <w:szCs w:val="24"/>
        </w:rPr>
        <w:t xml:space="preserve"> </w:t>
      </w:r>
      <w:r>
        <w:rPr>
          <w:rFonts w:ascii="Times New Roman" w:hAnsi="Times New Roman" w:cs="Times New Roman" w:eastAsia="Times New Roman"/>
          <w:iCs/>
          <w:i/>
          <w:sz w:val="24"/>
          <w:szCs w:val="24"/>
        </w:rPr>
        <w:t xml:space="preserve">(value of regime conditioning).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Rule: an exponentially weighted moving average (EWMA) or real-time regime correlation has a lower quasi-likelihood (QLIKE) loss than the static correlation over 2023–2025, with a Diebold–Mariano p-value below 0.05. We fixed these rules, the eight-test family, and the factor-loading test at revision after the first-round results were known. We also report the original specifications.</w:t>
      </w:r>
    </w:p>
    <w:p>
      <w:pPr>
        <w:pStyle w:val="heading1"/>
        <w:numPr>
          <w:ilvl w:val="0"/>
          <w:numId w:val="0"/>
        </w:numPr>
      </w:pPr>
      <w:r>
        <w:rPr>
          <w:rFonts w:ascii="Times New Roman" w:hAnsi="Times New Roman" w:cs="Times New Roman" w:eastAsia="Times New Roman"/>
          <w:b/>
          <w:sz w:val="24"/>
          <w:szCs w:val="24"/>
        </w:rPr>
        <w:t xml:space="preserve">3 Institutional background and data</w:t>
      </w:r>
    </w:p>
    <w:p>
      <w:pPr>
        <w:pStyle w:val="heading20"/>
        <w:numPr>
          <w:ilvl w:val="0"/>
          <w:numId w:val="0"/>
        </w:numPr>
      </w:pPr>
      <w:r>
        <w:rPr>
          <w:rFonts w:ascii="Times New Roman" w:hAnsi="Times New Roman" w:cs="Times New Roman" w:eastAsia="Times New Roman"/>
          <w:b/>
          <w:sz w:val="24"/>
          <w:szCs w:val="24"/>
        </w:rPr>
        <w:t xml:space="preserve">3.1 Institutional background</w:t>
      </w:r>
    </w:p>
    <w:p>
      <w:pPr>
        <w:pStyle w:val="p1a"/>
        <w:spacing w:before="0" w:after="120" w:line="300" w:lineRule="auto"/>
        <w:jc w:val="both"/>
      </w:pPr>
      <w:r>
        <w:rPr>
          <w:rFonts w:ascii="Times New Roman" w:hAnsi="Times New Roman" w:cs="Times New Roman" w:eastAsia="Times New Roman"/>
          <w:sz w:val="24"/>
          <w:szCs w:val="24"/>
        </w:rPr>
        <w:t xml:space="preserve">Prices move within a ±7% daily band, which truncates tails and synchronizes limit hits. Settlement moved from T+3 to T+2 on 1 January 2016 (Vietnam Securities Depository, 2015), limiting intraday arbitrage. Each day has an opening call auction (09:00–09:15), continuous trading to 11:30, a break to 13:00, a second continuous session, and a closing call auction (14:30–14:45). Circular 120/2020/TT-BTC (Ministry of Finance of Vietnam, 2020) provides a framework for covered short sales that, to our knowledge, had not been implemented, and naked short selling is prohibited. The implementing Decree 155/2020/ND-CP (Government of Vietnam, 2020) was amended by Decree 245/2025/ND-CP (Government of Vietnam, 2025). VN30 futures trade on the Hanoi Stock Exchange, but no mid-cap future exists. A VNMIDCAP exchange-traded fund (FUEDCMID) has been listed since 29 September 2022 (Ho Chi Minh City Stock Exchange, 2022), so mid caps can be held long but not shorted. Foreign ownership limits (30% for banks, for example) concentrate foreign flows in large caps with room under their limits. Vietnam is to be reclassified to Secondary Emerging status from 21 September 2026 (FTSE Russell, 2025), after the end of our sample.</w:t>
      </w:r>
    </w:p>
    <w:p>
      <w:pPr>
        <w:pStyle w:val="heading20"/>
        <w:numPr>
          <w:ilvl w:val="0"/>
          <w:numId w:val="0"/>
        </w:numPr>
      </w:pPr>
      <w:r>
        <w:rPr>
          <w:rFonts w:ascii="Times New Roman" w:hAnsi="Times New Roman" w:cs="Times New Roman" w:eastAsia="Times New Roman"/>
          <w:b/>
          <w:sz w:val="24"/>
          <w:szCs w:val="24"/>
        </w:rPr>
        <w:t xml:space="preserve">3.2 Data and sample construction</w:t>
      </w:r>
    </w:p>
    <w:p>
      <w:pPr>
        <w:pStyle w:val="p1a"/>
        <w:spacing w:before="0" w:after="120" w:line="300" w:lineRule="auto"/>
        <w:jc w:val="both"/>
      </w:pPr>
      <w:r>
        <w:rPr>
          <w:rFonts w:ascii="Times New Roman" w:hAnsi="Times New Roman" w:cs="Times New Roman" w:eastAsia="Times New Roman"/>
          <w:sz w:val="24"/>
          <w:szCs w:val="24"/>
        </w:rPr>
        <w:t xml:space="preserve">We use VN30, VN100, and VNINDEX levels exported from TradingView (exchange code HOSE). VN30 holds the 30 largest stocks by free-float capitalization, VN100 adds the next 70 (the VNMIDCAP index), and VNINDEX covers all HOSE stocks at full capitalization. Daily (1D) and 30-minute (M30) series run to 12 December 2025, 1-hour (H1) and 4-hour (H4) series to 9 December 2024. M30 bars open at 09:00, 09:30, 10:00, 10:30, 11:00, 11:30, 13:00, 13:30, 14:00, 14:30, H1 bars at 09:00, 10:00, 11:00, 13:00, 14:00, and the two H4 bars cover the two sessions, so at every frequency the first bar of the day holds the overnight return and the opening auction. The vendor has no full VNMIDCAP history; therefore, we recover the mid-cap segment from VN30 and VN100 (Section 4.2). We merge the series by exact timestamp joins without filling gaps. We did not compare them with HOSE closing levels date by date; the replication package records an input checksum. Log returns are</w:t>
      </w:r>
    </w:p>
    <w:p>
      <w:pPr>
        <w:pStyle w:val="BodyText"/>
        <w:spacing w:before="0" w:after="120" w:line="300" w:lineRule="auto"/>
      </w:pPr>
      <m:oMathPara>
        <m:oMathParaPr>
          <m:jc m:val="center"/>
        </m:oMathParaPr>
        <m:oMath>
          <m:sSub>
            <m:e>
              <m:r>
                <m:t>R</m:t>
              </m:r>
            </m:e>
            <m:sub>
              <m:r>
                <m:t>t</m:t>
              </m:r>
            </m:sub>
          </m:sSub>
          <m:r>
            <m:rPr>
              <m:sty m:val="p"/>
            </m:rPr>
            <m:t>=</m:t>
          </m:r>
          <m:r>
            <m:rPr>
              <m:sty m:val="p"/>
            </m:rPr>
            <m:t>ln</m:t>
          </m:r>
          <m:sSub>
            <m:e>
              <m:r>
                <m:t>P</m:t>
              </m:r>
            </m:e>
            <m:sub>
              <m:r>
                <m:t>t</m:t>
              </m:r>
            </m:sub>
          </m:sSub>
          <m:r>
            <m:rPr>
              <m:sty m:val="p"/>
            </m:rPr>
            <m:t>−</m:t>
          </m:r>
          <m:r>
            <m:rPr>
              <m:sty m:val="p"/>
            </m:rPr>
            <m:t>ln</m:t>
          </m:r>
          <m:sSub>
            <m:e>
              <m:r>
                <m:t>P</m:t>
              </m:r>
            </m:e>
            <m:sub>
              <m:r>
                <m:t>t</m:t>
              </m:r>
              <m:r>
                <m:rPr>
                  <m:sty m:val="p"/>
                </m:rPr>
                <m:t>−</m:t>
              </m:r>
              <m:r>
                <m:t>1</m:t>
              </m:r>
            </m:sub>
          </m:sSub>
          <m:r>
            <m:rPr>
              <m:sty m:val="p"/>
            </m:rPr>
            <m:t>.</m:t>
          </m:r>
          <m:r>
            <m:t>  </m:t>
          </m:r>
          <m:d>
            <m:dPr>
              <m:begChr m:val="("/>
              <m:endChr m:val=")"/>
              <m:sepChr m:val=""/>
              <m:grow/>
            </m:dPr>
            <m:e>
              <m:r>
                <m:t>2</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The synchronized window (3 January 2017 to 9 December 2024; 1D: N = 1,983; M30: 19,463; H1: 9,879; H4: 3,953) serves cross-frequency comparisons. All other analyses use the full sample (1D: February 2014 to December 2025, N = 2,963; M30: January 2017 to December 2025, 21,942; H1 and H4: January 2014 to December 2024, 13,523 and 5,410). The indices are computed in real time, so they embed reconstitutions and delistings and carry no survivorship bias.</w:t>
      </w:r>
    </w:p>
    <w:p>
      <w:pPr>
        <w:pStyle w:val="BodyText"/>
        <w:spacing w:before="0" w:after="120" w:line="300" w:lineRule="auto"/>
        <w:jc w:val="both"/>
      </w:pPr>
      <w:r>
        <w:rPr>
          <w:rFonts w:ascii="Times New Roman" w:hAnsi="Times New Roman" w:cs="Times New Roman" w:eastAsia="Times New Roman"/>
          <w:sz w:val="24"/>
          <w:szCs w:val="24"/>
        </w:rPr>
        <w:t xml:space="preserve">Regimes use the 20-day rolling standard deviation of returns (Fig. 1). Chronological crises require a VNINDEX drawdown above 25%, at least 45% of days in the top volatility quartile, and a documented trigger: the 2018 margin contraction (drawdown 26.2%, 47% of days in the top quartile), COVID-19 in 2020 (33.5%, 52%), and the 2022 bond-market freeze (40.2%, 60%). The three episodes total 539 days, against calm years 2016–2017 and 2023–2024 (1,000 days); the 2021 and 2025 spikes fail the first two conditions (Table S12). Quartile regimes compare the bottom and top quartiles of rolling VNINDEX volatility (10.6% and 20.0% annualized) or of VN30 volatility.</w:t>
      </w:r>
    </w:p>
    <w:p>
      <w:pPr>
        <w:pStyle w:val="BodyText"/>
        <w:spacing w:before="0" w:after="120" w:line="300" w:lineRule="auto"/>
        <w:jc w:val="both"/>
      </w:pPr>
      <w:r>
        <w:rPr>
          <w:rFonts w:ascii="Times New Roman" w:hAnsi="Times New Roman" w:cs="Times New Roman" w:eastAsia="Times New Roman"/>
          <w:sz w:val="24"/>
          <w:szCs w:val="24"/>
        </w:rPr>
        <w:drawing>
          <wp:inline>
            <wp:extent cx="5760720" cy="2836046"/>
            <wp:effectExtent b="0" l="0" r="0" t="0"/>
            <wp:docPr descr="" title="" id="21" name="Picture"/>
            <a:graphic>
              <a:graphicData uri="http://schemas.openxmlformats.org/drawingml/2006/picture">
                <pic:pic>
                  <pic:nvPicPr>
                    <pic:cNvPr descr="/home/user/B-i-stock-to-n/Python%20for%20Algorithmic%20Trading/NCKH/Bài%20stock%20toán/project_R/docx_build/../outputs/figures/fig1_volatility_regimes.png" id="22" name="Picture"/>
                    <pic:cNvPicPr>
                      <a:picLocks noChangeArrowheads="1" noChangeAspect="1"/>
                    </pic:cNvPicPr>
                  </pic:nvPicPr>
                  <pic:blipFill>
                    <a:blip r:embed="rId20"/>
                    <a:stretch>
                      <a:fillRect/>
                    </a:stretch>
                  </pic:blipFill>
                  <pic:spPr bwMode="auto">
                    <a:xfrm>
                      <a:off x="0" y="0"/>
                      <a:ext cx="5760720" cy="2836046"/>
                    </a:xfrm>
                    <a:prstGeom prst="rect">
                      <a:avLst/>
                    </a:prstGeom>
                    <a:noFill/>
                    <a:ln w="9525">
                      <a:noFill/>
                      <a:headEnd/>
                      <a:tailEnd/>
                    </a:ln>
                  </pic:spPr>
                </pic:pic>
              </a:graphicData>
            </a:graphic>
          </wp:inline>
        </w:drawing>
      </w:r>
    </w:p>
    <w:p>
      <w:pPr>
        <w:pStyle w:val="figurecaption"/>
      </w:pPr>
      <w:r>
        <w:rPr>
          <w:bCs/>
          <w:b/>
        </w:rPr>
        <w:t xml:space="preserve">Fig. 1</w:t>
      </w:r>
      <w:r>
        <w:t xml:space="preserve"> </w:t>
      </w:r>
      <w:r>
        <w:t xml:space="preserve">Twenty-day rolling volatility of VNINDEX (annualized) and market regimes, 2014–2025</w:t>
      </w:r>
    </w:p>
    <w:p>
      <w:pPr>
        <w:pStyle w:val="Compact"/>
      </w:pPr>
      <w:r>
        <w:rPr>
          <w:sz w:val="20"/>
          <w:szCs w:val="20"/>
        </w:rPr>
        <w:t xml:space="preserve">Notes: Shaded areas: three chronological crisis episodes; dashed and dotted horizontal lines: 25th and 75th percentiles of rolling volatility. The 2021 and 2025 spikes are not shaded because their drawdowns are below 25% (Section 3.2). Source: Authors’ calculations based on the HOSE index data (TradingView).</w:t>
      </w:r>
    </w:p>
    <w:p>
      <w:pPr>
        <w:pStyle w:val="heading1"/>
        <w:numPr>
          <w:ilvl w:val="0"/>
          <w:numId w:val="0"/>
        </w:numPr>
      </w:pPr>
      <w:r>
        <w:rPr>
          <w:rFonts w:ascii="Times New Roman" w:hAnsi="Times New Roman" w:cs="Times New Roman" w:eastAsia="Times New Roman"/>
          <w:b/>
          <w:sz w:val="24"/>
          <w:szCs w:val="24"/>
        </w:rPr>
        <w:t xml:space="preserve">4 Methodology</w:t>
      </w:r>
    </w:p>
    <w:p>
      <w:pPr>
        <w:pStyle w:val="heading20"/>
        <w:numPr>
          <w:ilvl w:val="0"/>
          <w:numId w:val="0"/>
        </w:numPr>
      </w:pPr>
      <w:r>
        <w:rPr>
          <w:rFonts w:ascii="Times New Roman" w:hAnsi="Times New Roman" w:cs="Times New Roman" w:eastAsia="Times New Roman"/>
          <w:b/>
          <w:sz w:val="24"/>
          <w:szCs w:val="24"/>
        </w:rPr>
        <w:t xml:space="preserve">4.1 The DCCA coefficient</w:t>
      </w:r>
    </w:p>
    <w:p>
      <w:pPr>
        <w:pStyle w:val="p1a"/>
        <w:spacing w:before="0" w:after="120" w:line="300" w:lineRule="auto"/>
        <w:jc w:val="both"/>
      </w:pPr>
      <w:r>
        <w:rPr>
          <w:rFonts w:ascii="Times New Roman" w:hAnsi="Times New Roman" w:cs="Times New Roman" w:eastAsia="Times New Roman"/>
          <w:sz w:val="24"/>
          <w:szCs w:val="24"/>
        </w:rPr>
        <w:t xml:space="preserve">The DCCA coefficient measures the correlation at timescale s after removing local trends (Podobnik and Stanley, 2008; Zebende, 2011). For return series x and y of length N, the profiles are</w:t>
      </w:r>
    </w:p>
    <w:p>
      <w:pPr>
        <w:pStyle w:val="BodyText"/>
        <w:spacing w:before="0" w:after="120" w:line="300" w:lineRule="auto"/>
      </w:pPr>
      <m:oMathPara>
        <m:oMathParaPr>
          <m:jc m:val="center"/>
        </m:oMathParaPr>
        <m:oMath>
          <m:sSub>
            <m:e>
              <m:r>
                <m:t>X</m:t>
              </m:r>
            </m:e>
            <m:sub>
              <m:r>
                <m:t>k</m:t>
              </m:r>
            </m:sub>
          </m:sSub>
          <m:r>
            <m:rPr>
              <m:sty m:val="p"/>
            </m:rPr>
            <m:t>=</m:t>
          </m:r>
          <m:nary>
            <m:naryPr>
              <m:chr m:val="∑"/>
              <m:limLoc m:val="undOvr"/>
              <m:subHide m:val="off"/>
              <m:supHide m:val="off"/>
            </m:naryPr>
            <m:sub>
              <m:r>
                <m:t>t</m:t>
              </m:r>
              <m:r>
                <m:rPr>
                  <m:sty m:val="p"/>
                </m:rPr>
                <m:t>=</m:t>
              </m:r>
              <m:r>
                <m:t>1</m:t>
              </m:r>
            </m:sub>
            <m:sup>
              <m:r>
                <m:t>k</m:t>
              </m:r>
            </m:sup>
            <m:e>
              <m:d>
                <m:dPr>
                  <m:begChr m:val="("/>
                  <m:endChr m:val=")"/>
                  <m:sepChr m:val=""/>
                  <m:grow/>
                </m:dPr>
                <m:e>
                  <m:sSub>
                    <m:e>
                      <m:r>
                        <m:t>x</m:t>
                      </m:r>
                    </m:e>
                    <m:sub>
                      <m:r>
                        <m:t>t</m:t>
                      </m:r>
                    </m:sub>
                  </m:sSub>
                  <m:r>
                    <m:rPr>
                      <m:sty m:val="p"/>
                    </m:rPr>
                    <m:t>−</m:t>
                  </m:r>
                  <m:acc>
                    <m:accPr>
                      <m:chr m:val="‾"/>
                    </m:accPr>
                    <m:e>
                      <m:r>
                        <m:t>x</m:t>
                      </m:r>
                    </m:e>
                  </m:acc>
                </m:e>
              </m:d>
            </m:e>
          </m:nary>
          <m:r>
            <m:rPr>
              <m:sty m:val="p"/>
            </m:rPr>
            <m:t>,</m:t>
          </m:r>
          <m:r>
            <m:t> </m:t>
          </m:r>
          <m:sSub>
            <m:e>
              <m:r>
                <m:t>Y</m:t>
              </m:r>
            </m:e>
            <m:sub>
              <m:r>
                <m:t>k</m:t>
              </m:r>
            </m:sub>
          </m:sSub>
          <m:r>
            <m:rPr>
              <m:sty m:val="p"/>
            </m:rPr>
            <m:t>=</m:t>
          </m:r>
          <m:nary>
            <m:naryPr>
              <m:chr m:val="∑"/>
              <m:limLoc m:val="undOvr"/>
              <m:subHide m:val="off"/>
              <m:supHide m:val="off"/>
            </m:naryPr>
            <m:sub>
              <m:r>
                <m:t>t</m:t>
              </m:r>
              <m:r>
                <m:rPr>
                  <m:sty m:val="p"/>
                </m:rPr>
                <m:t>=</m:t>
              </m:r>
              <m:r>
                <m:t>1</m:t>
              </m:r>
            </m:sub>
            <m:sup>
              <m:r>
                <m:t>k</m:t>
              </m:r>
            </m:sup>
            <m:e>
              <m:d>
                <m:dPr>
                  <m:begChr m:val="("/>
                  <m:endChr m:val=")"/>
                  <m:sepChr m:val=""/>
                  <m:grow/>
                </m:dPr>
                <m:e>
                  <m:sSub>
                    <m:e>
                      <m:r>
                        <m:t>y</m:t>
                      </m:r>
                    </m:e>
                    <m:sub>
                      <m:r>
                        <m:t>t</m:t>
                      </m:r>
                    </m:sub>
                  </m:sSub>
                  <m:r>
                    <m:rPr>
                      <m:sty m:val="p"/>
                    </m:rPr>
                    <m:t>−</m:t>
                  </m:r>
                  <m:acc>
                    <m:accPr>
                      <m:chr m:val="‾"/>
                    </m:accPr>
                    <m:e>
                      <m:r>
                        <m:t>y</m:t>
                      </m:r>
                    </m:e>
                  </m:acc>
                </m:e>
              </m:d>
            </m:e>
          </m:nary>
          <m:r>
            <m:rPr>
              <m:sty m:val="p"/>
            </m:rPr>
            <m:t>,</m:t>
          </m:r>
          <m:r>
            <m:t> </m:t>
          </m:r>
          <m:r>
            <m:t>k</m:t>
          </m:r>
          <m:r>
            <m:rPr>
              <m:sty m:val="p"/>
            </m:rPr>
            <m:t>=</m:t>
          </m:r>
          <m:r>
            <m:t>1</m:t>
          </m:r>
          <m:r>
            <m:rPr>
              <m:sty m:val="p"/>
            </m:rPr>
            <m:t>,</m:t>
          </m:r>
          <m:r>
            <m:rPr>
              <m:sty m:val="p"/>
            </m:rPr>
            <m:t>…</m:t>
          </m:r>
          <m:r>
            <m:rPr>
              <m:sty m:val="p"/>
            </m:rPr>
            <m:t>,</m:t>
          </m:r>
          <m:r>
            <m:t>N</m:t>
          </m:r>
          <m:r>
            <m:rPr>
              <m:sty m:val="p"/>
            </m:rPr>
            <m:t>.</m:t>
          </m:r>
          <m:r>
            <m:t>  </m:t>
          </m:r>
          <m:d>
            <m:dPr>
              <m:begChr m:val="("/>
              <m:endChr m:val=")"/>
              <m:sepChr m:val=""/>
              <m:grow/>
            </m:dPr>
            <m:e>
              <m:r>
                <m:t>3</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We split each profile into N</w:t>
      </w:r>
      <w:r>
        <w:rPr>
          <w:rFonts w:ascii="Times New Roman" w:hAnsi="Times New Roman" w:cs="Times New Roman" w:eastAsia="Times New Roman"/>
          <w:vertAlign w:val="subscript"/>
          <w:sz w:val="24"/>
          <w:szCs w:val="24"/>
        </w:rPr>
        <w:t xml:space="preserv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⌊N/s⌋ boxes of length s, starting from each end of the series (2N</w:t>
      </w:r>
      <w:r>
        <w:rPr>
          <w:rFonts w:ascii="Times New Roman" w:hAnsi="Times New Roman" w:cs="Times New Roman" w:eastAsia="Times New Roman"/>
          <w:vertAlign w:val="subscript"/>
          <w:sz w:val="24"/>
          <w:szCs w:val="24"/>
        </w:rPr>
        <w:t xml:space="preserv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boxes). In each box ν we fit a polynomial of order m (m = 1 unless stated otherwise) by ordinary least squares (OLS); the residuals ε</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ε</w:t>
      </w:r>
      <w:r>
        <w:rPr>
          <w:rFonts w:ascii="Times New Roman" w:hAnsi="Times New Roman" w:cs="Times New Roman" w:eastAsia="Times New Roman"/>
          <w:vertAlign w:val="subscript"/>
          <w:sz w:val="24"/>
          <w:szCs w:val="24"/>
        </w:rPr>
        <w:t xml:space="preserve">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 the detrended covariance</w:t>
      </w:r>
    </w:p>
    <w:p>
      <w:pPr>
        <w:pStyle w:val="BodyText"/>
        <w:spacing w:before="0" w:after="120" w:line="300" w:lineRule="auto"/>
      </w:pPr>
      <m:oMathPara>
        <m:oMathParaPr>
          <m:jc m:val="center"/>
        </m:oMathParaPr>
        <m:oMath>
          <m:sSubSup>
            <m:e>
              <m:r>
                <m:t>f</m:t>
              </m:r>
            </m:e>
            <m:sub>
              <m:r>
                <m:t>X</m:t>
              </m:r>
              <m:r>
                <m:t>Y</m:t>
              </m:r>
            </m:sub>
            <m:sup>
              <m:r>
                <m:t>2</m:t>
              </m:r>
            </m:sup>
          </m:sSubSup>
          <m:d>
            <m:dPr>
              <m:begChr m:val="("/>
              <m:endChr m:val=")"/>
              <m:sepChr m:val=""/>
              <m:grow/>
            </m:dPr>
            <m:e>
              <m:r>
                <m:t>s</m:t>
              </m:r>
              <m:r>
                <m:rPr>
                  <m:sty m:val="p"/>
                </m:rPr>
                <m:t>,</m:t>
              </m:r>
              <m:r>
                <m:t>ν</m:t>
              </m:r>
            </m:e>
          </m:d>
          <m:r>
            <m:rPr>
              <m:sty m:val="p"/>
            </m:rPr>
            <m:t>=</m:t>
          </m:r>
          <m:f>
            <m:fPr>
              <m:type m:val="bar"/>
            </m:fPr>
            <m:num>
              <m:r>
                <m:t>1</m:t>
              </m:r>
            </m:num>
            <m:den>
              <m:r>
                <m:t>s</m:t>
              </m:r>
            </m:den>
          </m:f>
          <m:nary>
            <m:naryPr>
              <m:chr m:val="∑"/>
              <m:limLoc m:val="undOvr"/>
              <m:subHide m:val="off"/>
              <m:supHide m:val="off"/>
            </m:naryPr>
            <m:sub>
              <m:r>
                <m:t>k</m:t>
              </m:r>
              <m:r>
                <m:rPr>
                  <m:sty m:val="p"/>
                </m:rPr>
                <m:t>=</m:t>
              </m:r>
              <m:r>
                <m:t>1</m:t>
              </m:r>
            </m:sub>
            <m:sup>
              <m:r>
                <m:t>s</m:t>
              </m:r>
            </m:sup>
            <m:e>
              <m:sSub>
                <m:e>
                  <m:r>
                    <m:t>ε</m:t>
                  </m:r>
                </m:e>
                <m:sub>
                  <m:r>
                    <m:t>X</m:t>
                  </m:r>
                </m:sub>
              </m:sSub>
            </m:e>
          </m:nary>
          <m:d>
            <m:dPr>
              <m:begChr m:val="("/>
              <m:endChr m:val=")"/>
              <m:sepChr m:val=""/>
              <m:grow/>
            </m:dPr>
            <m:e>
              <m:r>
                <m:t>k</m:t>
              </m:r>
              <m:r>
                <m:rPr>
                  <m:sty m:val="p"/>
                </m:rPr>
                <m:t>,</m:t>
              </m:r>
              <m:r>
                <m:t>ν</m:t>
              </m:r>
            </m:e>
          </m:d>
          <m:r>
            <m:t> </m:t>
          </m:r>
          <m:sSub>
            <m:e>
              <m:r>
                <m:t>ε</m:t>
              </m:r>
            </m:e>
            <m:sub>
              <m:r>
                <m:t>Y</m:t>
              </m:r>
            </m:sub>
          </m:sSub>
          <m:d>
            <m:dPr>
              <m:begChr m:val="("/>
              <m:endChr m:val=")"/>
              <m:sepChr m:val=""/>
              <m:grow/>
            </m:dPr>
            <m:e>
              <m:r>
                <m:t>k</m:t>
              </m:r>
              <m:r>
                <m:rPr>
                  <m:sty m:val="p"/>
                </m:rPr>
                <m:t>,</m:t>
              </m:r>
              <m:r>
                <m:t>ν</m:t>
              </m:r>
            </m:e>
          </m:d>
          <m:r>
            <m:rPr>
              <m:sty m:val="p"/>
            </m:rPr>
            <m:t>,</m:t>
          </m:r>
          <m:r>
            <m:t>  </m:t>
          </m:r>
          <m:sSubSup>
            <m:e>
              <m:r>
                <m:t>F</m:t>
              </m:r>
            </m:e>
            <m:sub>
              <m:r>
                <m:t>X</m:t>
              </m:r>
              <m:r>
                <m:t>Y</m:t>
              </m:r>
            </m:sub>
            <m:sup>
              <m:r>
                <m:t>2</m:t>
              </m:r>
            </m:sup>
          </m:sSubSup>
          <m:d>
            <m:dPr>
              <m:begChr m:val="("/>
              <m:endChr m:val=")"/>
              <m:sepChr m:val=""/>
              <m:grow/>
            </m:dPr>
            <m:e>
              <m:r>
                <m:t>s</m:t>
              </m:r>
            </m:e>
          </m:d>
          <m:r>
            <m:rPr>
              <m:sty m:val="p"/>
            </m:rPr>
            <m:t>=</m:t>
          </m:r>
          <m:f>
            <m:fPr>
              <m:type m:val="bar"/>
            </m:fPr>
            <m:num>
              <m:r>
                <m:t>1</m:t>
              </m:r>
            </m:num>
            <m:den>
              <m:r>
                <m:t>2</m:t>
              </m:r>
              <m:sSub>
                <m:e>
                  <m:r>
                    <m:t>N</m:t>
                  </m:r>
                </m:e>
                <m:sub>
                  <m:r>
                    <m:t>s</m:t>
                  </m:r>
                </m:sub>
              </m:sSub>
            </m:den>
          </m:f>
          <m:nary>
            <m:naryPr>
              <m:chr m:val="∑"/>
              <m:limLoc m:val="undOvr"/>
              <m:subHide m:val="off"/>
              <m:supHide m:val="off"/>
            </m:naryPr>
            <m:sub>
              <m:r>
                <m:t>ν</m:t>
              </m:r>
              <m:r>
                <m:rPr>
                  <m:sty m:val="p"/>
                </m:rPr>
                <m:t>=</m:t>
              </m:r>
              <m:r>
                <m:t>1</m:t>
              </m:r>
            </m:sub>
            <m:sup>
              <m:r>
                <m:t>2</m:t>
              </m:r>
              <m:sSub>
                <m:e>
                  <m:r>
                    <m:t>N</m:t>
                  </m:r>
                </m:e>
                <m:sub>
                  <m:r>
                    <m:t>s</m:t>
                  </m:r>
                </m:sub>
              </m:sSub>
            </m:sup>
            <m:e>
              <m:sSubSup>
                <m:e>
                  <m:r>
                    <m:t>f</m:t>
                  </m:r>
                </m:e>
                <m:sub>
                  <m:r>
                    <m:t>X</m:t>
                  </m:r>
                  <m:r>
                    <m:t>Y</m:t>
                  </m:r>
                </m:sub>
                <m:sup>
                  <m:r>
                    <m:t>2</m:t>
                  </m:r>
                </m:sup>
              </m:sSubSup>
            </m:e>
          </m:nary>
          <m:d>
            <m:dPr>
              <m:begChr m:val="("/>
              <m:endChr m:val=")"/>
              <m:sepChr m:val=""/>
              <m:grow/>
            </m:dPr>
            <m:e>
              <m:r>
                <m:t>s</m:t>
              </m:r>
              <m:r>
                <m:rPr>
                  <m:sty m:val="p"/>
                </m:rPr>
                <m:t>,</m:t>
              </m:r>
              <m:r>
                <m:t>ν</m:t>
              </m:r>
            </m:e>
          </m:d>
          <m:r>
            <m:rPr>
              <m:sty m:val="p"/>
            </m:rPr>
            <m:t>.</m:t>
          </m:r>
          <m:r>
            <m:t>  </m:t>
          </m:r>
          <m:d>
            <m:dPr>
              <m:begChr m:val="("/>
              <m:endChr m:val=")"/>
              <m:sepChr m:val=""/>
              <m:grow/>
            </m:dPr>
            <m:e>
              <m:r>
                <m:t>4</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F</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(s) = [F²</w:t>
      </w:r>
      <w:r>
        <w:rPr>
          <w:rFonts w:ascii="Times New Roman" w:hAnsi="Times New Roman" w:cs="Times New Roman" w:eastAsia="Times New Roman"/>
          <w:vertAlign w:val="subscript"/>
          <w:sz w:val="24"/>
          <w:szCs w:val="24"/>
        </w:rPr>
        <w:t xml:space="preserve">XX</w:t>
      </w:r>
      <w:r>
        <w:rPr>
          <w:rFonts w:ascii="Times New Roman" w:hAnsi="Times New Roman" w:cs="Times New Roman" w:eastAsia="Times New Roman"/>
          <w:sz w:val="24"/>
          <w:szCs w:val="24"/>
        </w:rPr>
        <w:t xml:space="preserve">(s)]</w:t>
      </w:r>
      <w:r>
        <w:rPr>
          <w:rFonts w:ascii="Times New Roman" w:hAnsi="Times New Roman" w:cs="Times New Roman" w:eastAsia="Times New Roman"/>
          <w:vertAlign w:val="superscript"/>
          <w:sz w:val="24"/>
          <w:szCs w:val="24"/>
        </w:rPr>
        <w:t xml:space="preserve">1/2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detrended fluctuation function (Peng et al., 1994), the DCCA coefficient is</w:t>
      </w:r>
    </w:p>
    <w:p>
      <w:pPr>
        <w:pStyle w:val="BodyText"/>
        <w:spacing w:before="0" w:after="120" w:line="300" w:lineRule="auto"/>
      </w:pPr>
      <m:oMathPara>
        <m:oMathParaPr>
          <m:jc m:val="center"/>
        </m:oMathParaPr>
        <m:oMath>
          <m:sSub>
            <m:e>
              <m:r>
                <m:t>ρ</m:t>
              </m:r>
            </m:e>
            <m:sub>
              <m:r>
                <m:t>X</m:t>
              </m:r>
              <m:r>
                <m:t>Y</m:t>
              </m:r>
            </m:sub>
          </m:sSub>
          <m:d>
            <m:dPr>
              <m:begChr m:val="("/>
              <m:endChr m:val=")"/>
              <m:sepChr m:val=""/>
              <m:grow/>
            </m:dPr>
            <m:e>
              <m:r>
                <m:t>s</m:t>
              </m:r>
            </m:e>
          </m:d>
          <m:r>
            <m:rPr>
              <m:sty m:val="p"/>
            </m:rPr>
            <m:t>=</m:t>
          </m:r>
          <m:f>
            <m:fPr>
              <m:type m:val="bar"/>
            </m:fPr>
            <m:num>
              <m:sSubSup>
                <m:e>
                  <m:r>
                    <m:t>F</m:t>
                  </m:r>
                </m:e>
                <m:sub>
                  <m:r>
                    <m:t>X</m:t>
                  </m:r>
                  <m:r>
                    <m:t>Y</m:t>
                  </m:r>
                </m:sub>
                <m:sup>
                  <m:r>
                    <m:t>2</m:t>
                  </m:r>
                </m:sup>
              </m:sSubSup>
              <m:d>
                <m:dPr>
                  <m:begChr m:val="("/>
                  <m:endChr m:val=")"/>
                  <m:sepChr m:val=""/>
                  <m:grow/>
                </m:dPr>
                <m:e>
                  <m:r>
                    <m:t>s</m:t>
                  </m:r>
                </m:e>
              </m:d>
            </m:num>
            <m:den>
              <m:sSub>
                <m:e>
                  <m:r>
                    <m:t>F</m:t>
                  </m:r>
                </m:e>
                <m:sub>
                  <m:r>
                    <m:t>X</m:t>
                  </m:r>
                </m:sub>
              </m:sSub>
              <m:d>
                <m:dPr>
                  <m:begChr m:val="("/>
                  <m:endChr m:val=")"/>
                  <m:sepChr m:val=""/>
                  <m:grow/>
                </m:dPr>
                <m:e>
                  <m:r>
                    <m:t>s</m:t>
                  </m:r>
                </m:e>
              </m:d>
              <m:r>
                <m:t> </m:t>
              </m:r>
              <m:sSub>
                <m:e>
                  <m:r>
                    <m:t>F</m:t>
                  </m:r>
                </m:e>
                <m:sub>
                  <m:r>
                    <m:t>Y</m:t>
                  </m:r>
                </m:sub>
              </m:sSub>
              <m:d>
                <m:dPr>
                  <m:begChr m:val="("/>
                  <m:endChr m:val=")"/>
                  <m:sepChr m:val=""/>
                  <m:grow/>
                </m:dPr>
                <m:e>
                  <m:r>
                    <m:t>s</m:t>
                  </m:r>
                </m:e>
              </m:d>
            </m:den>
          </m:f>
          <m:r>
            <m:rPr>
              <m:sty m:val="p"/>
            </m:rPr>
            <m:t>.</m:t>
          </m:r>
          <m:r>
            <m:t>  </m:t>
          </m:r>
          <m:d>
            <m:dPr>
              <m:begChr m:val="("/>
              <m:endChr m:val=")"/>
              <m:sepChr m:val=""/>
              <m:grow/>
            </m:dPr>
            <m:e>
              <m:r>
                <m:t>5</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Eq. (5) is an inner product of stacked residual vectors divided by their norms; therefore, |ρ</w:t>
      </w:r>
      <w:r>
        <w:rPr>
          <w:rFonts w:ascii="Times New Roman" w:hAnsi="Times New Roman" w:cs="Times New Roman" w:eastAsia="Times New Roman"/>
          <w:vertAlign w:val="subscript"/>
          <w:sz w:val="24"/>
          <w:szCs w:val="24"/>
        </w:rPr>
        <w:t xml:space="preserve">XY</w:t>
      </w:r>
      <w:r>
        <w:rPr>
          <w:rFonts w:ascii="Times New Roman" w:hAnsi="Times New Roman" w:cs="Times New Roman" w:eastAsia="Times New Roman"/>
          <w:sz w:val="24"/>
          <w:szCs w:val="24"/>
        </w:rPr>
        <w:t xml:space="preserve">(s)| ≤ 1 by the Cauchy–Schwarz inequality whenever both fluctuation functions are positive. Because profiles are linear in the series and OLS detrending is a linear projection, the residuals of a weighted sum of series are the same weighted sum of their residuals.</w:t>
      </w:r>
    </w:p>
    <w:p>
      <w:pPr>
        <w:pStyle w:val="heading20"/>
        <w:numPr>
          <w:ilvl w:val="0"/>
          <w:numId w:val="0"/>
        </w:numPr>
      </w:pPr>
      <w:r>
        <w:rPr>
          <w:rFonts w:ascii="Times New Roman" w:hAnsi="Times New Roman" w:cs="Times New Roman" w:eastAsia="Times New Roman"/>
          <w:b/>
          <w:sz w:val="24"/>
          <w:szCs w:val="24"/>
        </w:rPr>
        <w:t xml:space="preserve">4.2 The overlap-purged series and the part–whole identity</w:t>
      </w:r>
    </w:p>
    <w:p>
      <w:pPr>
        <w:pStyle w:val="p1a"/>
        <w:spacing w:before="0" w:after="120" w:line="300" w:lineRule="auto"/>
        <w:jc w:val="both"/>
      </w:pPr>
      <w:r>
        <w:rPr>
          <w:rFonts w:ascii="Times New Roman" w:hAnsi="Times New Roman" w:cs="Times New Roman" w:eastAsia="Times New Roman"/>
          <w:sz w:val="24"/>
          <w:szCs w:val="24"/>
        </w:rPr>
        <w:t xml:space="preserve">Let 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be the VN30 and VN100 returns, respectively, and w the free-float weight of VN30 in VN100. The overlap-purged mid-cap series is</w:t>
      </w:r>
    </w:p>
    <w:p>
      <w:pPr>
        <w:pStyle w:val="BodyText"/>
        <w:spacing w:before="0" w:after="120" w:line="300" w:lineRule="auto"/>
      </w:pPr>
      <m:oMathPara>
        <m:oMathParaPr>
          <m:jc m:val="center"/>
        </m:oMathParaPr>
        <m:oMath>
          <m:sSub>
            <m:e>
              <m:r>
                <m:t>M</m:t>
              </m:r>
            </m:e>
            <m:sub>
              <m:r>
                <m:t>t</m:t>
              </m:r>
            </m:sub>
          </m:sSub>
          <m:r>
            <m:rPr>
              <m:sty m:val="p"/>
            </m:rPr>
            <m:t>=</m:t>
          </m:r>
          <m:sSub>
            <m:e>
              <m:r>
                <m:t>P</m:t>
              </m:r>
            </m:e>
            <m:sub>
              <m:r>
                <m:rPr>
                  <m:sty m:val="p"/>
                </m:rPr>
                <m:t>c</m:t>
              </m:r>
              <m:r>
                <m:rPr>
                  <m:sty m:val="p"/>
                </m:rPr>
                <m:t>a</m:t>
              </m:r>
              <m:r>
                <m:rPr>
                  <m:sty m:val="p"/>
                </m:rPr>
                <m:t>p</m:t>
              </m:r>
              <m:r>
                <m:rPr>
                  <m:sty m:val="p"/>
                </m:rPr>
                <m:t>,</m:t>
              </m:r>
              <m:r>
                <m:t>t</m:t>
              </m:r>
            </m:sub>
          </m:sSub>
          <m:r>
            <m:rPr>
              <m:sty m:val="p"/>
            </m:rPr>
            <m:t>=</m:t>
          </m:r>
          <m:f>
            <m:fPr>
              <m:type m:val="bar"/>
            </m:fPr>
            <m:num>
              <m:sSub>
                <m:e>
                  <m:r>
                    <m:t>B</m:t>
                  </m:r>
                </m:e>
                <m:sub>
                  <m:r>
                    <m:t>t</m:t>
                  </m:r>
                </m:sub>
              </m:sSub>
              <m:r>
                <m:rPr>
                  <m:sty m:val="p"/>
                </m:rPr>
                <m:t>−</m:t>
              </m:r>
              <m:r>
                <m:t>w</m:t>
              </m:r>
              <m:sSub>
                <m:e>
                  <m:r>
                    <m:t>A</m:t>
                  </m:r>
                </m:e>
                <m:sub>
                  <m:r>
                    <m:t>t</m:t>
                  </m:r>
                </m:sub>
              </m:sSub>
            </m:num>
            <m:den>
              <m:r>
                <m:t>1</m:t>
              </m:r>
              <m:r>
                <m:rPr>
                  <m:sty m:val="p"/>
                </m:rPr>
                <m:t>−</m:t>
              </m:r>
              <m:r>
                <m:t>w</m:t>
              </m:r>
            </m:den>
          </m:f>
          <m:r>
            <m:rPr>
              <m:sty m:val="p"/>
            </m:rPr>
            <m:t>,</m:t>
          </m:r>
          <m:r>
            <m:t>  </m:t>
          </m:r>
          <m:d>
            <m:dPr>
              <m:begChr m:val="("/>
              <m:endChr m:val=")"/>
              <m:sepChr m:val=""/>
              <m:grow/>
            </m:dPr>
            <m:e>
              <m:r>
                <m:t>6</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w = 0.6826 from the HOSE factsheet of 31 May 2024 (free-float capitalizations of VND 1,316,288 billion and 1,928,303 billion, respectively), so that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w)M</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at every observation. On log returns,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differs from the arithmetic mid-cap return by a Jensen term of 3.6 × 10⁻⁶ per day.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a synthetic shadow series: replicating it requires about 315% long VN100 and 215% short VN30. We call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the coefficient of VN30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overlap-purged rather than economic (Section 6.3).</w:t>
      </w:r>
    </w:p>
    <w:p>
      <w:pPr>
        <w:pStyle w:val="BodyText"/>
        <w:spacing w:before="0" w:after="120" w:line="300" w:lineRule="auto"/>
        <w:jc w:val="both"/>
      </w:pPr>
      <w:r>
        <w:rPr>
          <w:rFonts w:ascii="Times New Roman" w:hAnsi="Times New Roman" w:cs="Times New Roman" w:eastAsia="Times New Roman"/>
          <w:bCs/>
          <w:b/>
          <w:sz w:val="24"/>
          <w:szCs w:val="24"/>
        </w:rPr>
        <w:t xml:space="preserve">Lemma 1 (scale-wise part–whole identity).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Let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w)M</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all t, with 0 &lt; w &lt; 1 and 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(s), 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(s) &gt; 0, and define the relative amplitude κ(s) = (1 − w)F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(s)/[wF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(s)]. Then, for every s and m,</w:t>
      </w:r>
    </w:p>
    <w:p>
      <w:pPr>
        <w:pStyle w:val="BodyText"/>
        <w:spacing w:before="0" w:after="120" w:line="300" w:lineRule="auto"/>
      </w:pPr>
      <m:oMathPara>
        <m:oMathParaPr>
          <m:jc m:val="center"/>
        </m:oMathParaPr>
        <m:oMath>
          <m:sSub>
            <m:e>
              <m:r>
                <m:t>ρ</m:t>
              </m:r>
            </m:e>
            <m:sub>
              <m:r>
                <m:t>A</m:t>
              </m:r>
              <m:r>
                <m:t>B</m:t>
              </m:r>
            </m:sub>
          </m:sSub>
          <m:d>
            <m:dPr>
              <m:begChr m:val="("/>
              <m:endChr m:val=")"/>
              <m:sepChr m:val=""/>
              <m:grow/>
            </m:dPr>
            <m:e>
              <m:r>
                <m:t>s</m:t>
              </m:r>
            </m:e>
          </m:d>
          <m:r>
            <m:rPr>
              <m:sty m:val="p"/>
            </m:rPr>
            <m:t>=</m:t>
          </m:r>
          <m:f>
            <m:fPr>
              <m:type m:val="bar"/>
            </m:fPr>
            <m:num>
              <m:r>
                <m:t>1</m:t>
              </m:r>
              <m:r>
                <m:rPr>
                  <m:sty m:val="p"/>
                </m:rPr>
                <m:t>+</m:t>
              </m:r>
              <m:r>
                <m:t>κ</m:t>
              </m:r>
              <m:d>
                <m:dPr>
                  <m:begChr m:val="("/>
                  <m:endChr m:val=")"/>
                  <m:sepChr m:val=""/>
                  <m:grow/>
                </m:dPr>
                <m:e>
                  <m:r>
                    <m:t>s</m:t>
                  </m:r>
                </m:e>
              </m:d>
              <m:r>
                <m:t> </m:t>
              </m:r>
              <m:sSub>
                <m:e>
                  <m:r>
                    <m:t>ρ</m:t>
                  </m:r>
                </m:e>
                <m:sub>
                  <m:r>
                    <m:t>A</m:t>
                  </m:r>
                  <m:r>
                    <m:t>M</m:t>
                  </m:r>
                </m:sub>
              </m:sSub>
              <m:d>
                <m:dPr>
                  <m:begChr m:val="("/>
                  <m:endChr m:val=")"/>
                  <m:sepChr m:val=""/>
                  <m:grow/>
                </m:dPr>
                <m:e>
                  <m:r>
                    <m:t>s</m:t>
                  </m:r>
                </m:e>
              </m:d>
            </m:num>
            <m:den>
              <m:rad>
                <m:radPr>
                  <m:degHide m:val="on"/>
                </m:radPr>
                <m:deg/>
                <m:e>
                  <m:r>
                    <m:t>1</m:t>
                  </m:r>
                  <m:r>
                    <m:rPr>
                      <m:sty m:val="p"/>
                    </m:rPr>
                    <m:t>+</m:t>
                  </m:r>
                  <m:r>
                    <m:t>κ</m:t>
                  </m:r>
                  <m:sSup>
                    <m:e>
                      <m:d>
                        <m:dPr>
                          <m:begChr m:val="("/>
                          <m:endChr m:val=")"/>
                          <m:sepChr m:val=""/>
                          <m:grow/>
                        </m:dPr>
                        <m:e>
                          <m:r>
                            <m:t>s</m:t>
                          </m:r>
                        </m:e>
                      </m:d>
                    </m:e>
                    <m:sup>
                      <m:r>
                        <m:t>2</m:t>
                      </m:r>
                    </m:sup>
                  </m:sSup>
                  <m:r>
                    <m:rPr>
                      <m:sty m:val="p"/>
                    </m:rPr>
                    <m:t>+</m:t>
                  </m:r>
                  <m:r>
                    <m:t>2</m:t>
                  </m:r>
                  <m:r>
                    <m:t>κ</m:t>
                  </m:r>
                  <m:d>
                    <m:dPr>
                      <m:begChr m:val="("/>
                      <m:endChr m:val=")"/>
                      <m:sepChr m:val=""/>
                      <m:grow/>
                    </m:dPr>
                    <m:e>
                      <m:r>
                        <m:t>s</m:t>
                      </m:r>
                    </m:e>
                  </m:d>
                  <m:r>
                    <m:t> </m:t>
                  </m:r>
                  <m:sSub>
                    <m:e>
                      <m:r>
                        <m:t>ρ</m:t>
                      </m:r>
                    </m:e>
                    <m:sub>
                      <m:r>
                        <m:t>A</m:t>
                      </m:r>
                      <m:r>
                        <m:t>M</m:t>
                      </m:r>
                    </m:sub>
                  </m:sSub>
                  <m:d>
                    <m:dPr>
                      <m:begChr m:val="("/>
                      <m:endChr m:val=")"/>
                      <m:sepChr m:val=""/>
                      <m:grow/>
                    </m:dPr>
                    <m:e>
                      <m:r>
                        <m:t>s</m:t>
                      </m:r>
                    </m:e>
                  </m:d>
                </m:e>
              </m:rad>
            </m:den>
          </m:f>
          <m:r>
            <m:rPr>
              <m:sty m:val="p"/>
            </m:rPr>
            <m:t>.</m:t>
          </m:r>
          <m:r>
            <m:t>  </m:t>
          </m:r>
          <m:d>
            <m:dPr>
              <m:begChr m:val="("/>
              <m:endChr m:val=")"/>
              <m:sepChr m:val=""/>
              <m:grow/>
            </m:dPr>
            <m:e>
              <m:r>
                <m:t>7</m:t>
              </m:r>
            </m:e>
          </m:d>
        </m:oMath>
      </m:oMathPara>
    </w:p>
    <w:p>
      <w:pPr>
        <w:pStyle w:val="FirstParagraph"/>
        <w:spacing w:before="0" w:after="120" w:line="300" w:lineRule="auto"/>
        <w:jc w:val="both"/>
      </w:pPr>
      <w:r>
        <w:rPr>
          <w:rFonts w:ascii="Times New Roman" w:hAnsi="Times New Roman" w:cs="Times New Roman" w:eastAsia="Times New Roman"/>
          <w:iCs/>
          <w:i/>
          <w:sz w:val="24"/>
          <w:szCs w:val="24"/>
        </w:rPr>
        <w:t xml:space="preserve">Proof.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residuals are linear in the series, so ε</w:t>
      </w:r>
      <w:r>
        <w:rPr>
          <w:rFonts w:ascii="Times New Roman" w:hAnsi="Times New Roman" w:cs="Times New Roman" w:eastAsia="Times New Roman"/>
          <w:vertAlign w:val="subscript"/>
          <w:sz w:val="24"/>
          <w:szCs w:val="24"/>
        </w:rPr>
        <w:t xml:space="preserve">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wε</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w)ε</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 every box. By bilinearity of Eq. (4), F²</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F²</w:t>
      </w:r>
      <w:r>
        <w:rPr>
          <w:rFonts w:ascii="Times New Roman" w:hAnsi="Times New Roman" w:cs="Times New Roman" w:eastAsia="Times New Roman"/>
          <w:vertAlign w:val="subscript"/>
          <w:sz w:val="24"/>
          <w:szCs w:val="24"/>
        </w:rPr>
        <w:t xml:space="preserve">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w²F²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w)²F²</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+ 2w(1 − w)ρ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substituting into Eq. (5) and dividing by wF²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gives Eq. (7). ∎</w:t>
      </w:r>
    </w:p>
    <w:p>
      <w:pPr>
        <w:pStyle w:val="BodyText"/>
        <w:spacing w:before="0" w:after="120" w:line="300" w:lineRule="auto"/>
        <w:jc w:val="both"/>
      </w:pPr>
      <w:r>
        <w:rPr>
          <w:rFonts w:ascii="Times New Roman" w:hAnsi="Times New Roman" w:cs="Times New Roman" w:eastAsia="Times New Roman"/>
          <w:sz w:val="24"/>
          <w:szCs w:val="24"/>
        </w:rPr>
        <w:t xml:space="preserve">With one box and no detrending, Eq. (7) is the classical part–whole correlation (Pearson, 1897; Cureton, 1966); therefore, the lemma adapts a known identity. It holds scale by scale for detrended coefficients, for the detrending moving-average cross-correlation (DMCA) coefficient (Kristoufek, 2014), and for any measure built from a bilinear covariance of linearly filtered series. Five corollaries follow; we fix the scale and suppress it in the notation.</w:t>
      </w:r>
    </w:p>
    <w:p>
      <w:pPr>
        <w:pStyle w:val="BodyText"/>
        <w:spacing w:before="0" w:after="120" w:line="300" w:lineRule="auto"/>
        <w:jc w:val="both"/>
      </w:pPr>
      <w:r>
        <w:rPr>
          <w:rFonts w:ascii="Times New Roman" w:hAnsi="Times New Roman" w:cs="Times New Roman" w:eastAsia="Times New Roman"/>
          <w:iCs/>
          <w:i/>
          <w:sz w:val="24"/>
          <w:szCs w:val="24"/>
        </w:rPr>
        <w:t xml:space="preserve">Corollary 1 (benchmark and bound).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Setting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gives the zero-correlation benchmark</w:t>
      </w:r>
    </w:p>
    <w:p>
      <w:pPr>
        <w:pStyle w:val="BodyText"/>
        <w:spacing w:before="0" w:after="120" w:line="300" w:lineRule="auto"/>
      </w:pPr>
      <m:oMathPara>
        <m:oMathParaPr>
          <m:jc m:val="center"/>
        </m:oMathParaPr>
        <m:oMath>
          <m:bar>
            <m:barPr>
              <m:pos m:val="bot"/>
            </m:barPr>
            <m:e>
              <m:r>
                <m:t>ρ</m:t>
              </m:r>
            </m:e>
          </m:bar>
          <m:r>
            <m:rPr>
              <m:sty m:val="p"/>
            </m:rPr>
            <m:t>=</m:t>
          </m:r>
          <m:f>
            <m:fPr>
              <m:type m:val="bar"/>
            </m:fPr>
            <m:num>
              <m:r>
                <m:t>1</m:t>
              </m:r>
            </m:num>
            <m:den>
              <m:rad>
                <m:radPr>
                  <m:degHide m:val="on"/>
                </m:radPr>
                <m:deg/>
                <m:e>
                  <m:r>
                    <m:t>1</m:t>
                  </m:r>
                  <m:r>
                    <m:rPr>
                      <m:sty m:val="p"/>
                    </m:rPr>
                    <m:t>+</m:t>
                  </m:r>
                  <m:sSup>
                    <m:e>
                      <m:r>
                        <m:t>κ</m:t>
                      </m:r>
                    </m:e>
                    <m:sup>
                      <m:r>
                        <m:t>2</m:t>
                      </m:r>
                    </m:sup>
                  </m:sSup>
                </m:e>
              </m:rad>
            </m:den>
          </m:f>
          <m:r>
            <m:rPr>
              <m:sty m:val="p"/>
            </m:rPr>
            <m:t>.</m:t>
          </m:r>
          <m:r>
            <m:t>  </m:t>
          </m:r>
          <m:d>
            <m:dPr>
              <m:begChr m:val="("/>
              <m:endChr m:val=")"/>
              <m:sepChr m:val=""/>
              <m:grow/>
            </m:dPr>
            <m:e>
              <m:r>
                <m:t>8</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Eq. (7) increases in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&gt; −κ; therefore, ρ̲ bounds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from below only when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For κ &lt; 1 the minimum over all admissible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w:t>
      </w:r>
    </w:p>
    <w:p>
      <w:pPr>
        <w:pStyle w:val="BodyText"/>
        <w:spacing w:before="0" w:after="120" w:line="300" w:lineRule="auto"/>
      </w:pPr>
      <m:oMathPara>
        <m:oMathParaPr>
          <m:jc m:val="center"/>
        </m:oMathParaPr>
        <m:oMath>
          <m:limLow>
            <m:e>
              <m:r>
                <m:rPr>
                  <m:sty m:val="p"/>
                </m:rPr>
                <m:t>min</m:t>
              </m:r>
            </m:e>
            <m:lim>
              <m:sSub>
                <m:e>
                  <m:r>
                    <m:t>ρ</m:t>
                  </m:r>
                </m:e>
                <m:sub>
                  <m:r>
                    <m:t>A</m:t>
                  </m:r>
                  <m:r>
                    <m:t>M</m:t>
                  </m:r>
                </m:sub>
              </m:sSub>
              <m:r>
                <m:rPr>
                  <m:sty m:val="p"/>
                </m:rPr>
                <m:t>∈</m:t>
              </m:r>
              <m:d>
                <m:dPr>
                  <m:begChr m:val="["/>
                  <m:endChr m:val="]"/>
                  <m:sepChr m:val=""/>
                  <m:grow/>
                </m:dPr>
                <m:e>
                  <m:r>
                    <m:rPr>
                      <m:sty m:val="p"/>
                    </m:rPr>
                    <m:t>−</m:t>
                  </m:r>
                  <m:r>
                    <m:t>1</m:t>
                  </m:r>
                  <m:r>
                    <m:rPr>
                      <m:sty m:val="p"/>
                    </m:rPr>
                    <m:t>,</m:t>
                  </m:r>
                  <m:r>
                    <m:t>1</m:t>
                  </m:r>
                </m:e>
              </m:d>
            </m:lim>
          </m:limLow>
          <m:sSub>
            <m:e>
              <m:r>
                <m:t>ρ</m:t>
              </m:r>
            </m:e>
            <m:sub>
              <m:r>
                <m:t>A</m:t>
              </m:r>
              <m:r>
                <m:t>B</m:t>
              </m:r>
            </m:sub>
          </m:sSub>
          <m:r>
            <m:rPr>
              <m:sty m:val="p"/>
            </m:rPr>
            <m:t>=</m:t>
          </m:r>
          <m:rad>
            <m:radPr>
              <m:degHide m:val="on"/>
            </m:radPr>
            <m:deg/>
            <m:e>
              <m:r>
                <m:t>1</m:t>
              </m:r>
              <m:r>
                <m:rPr>
                  <m:sty m:val="p"/>
                </m:rPr>
                <m:t>−</m:t>
              </m:r>
              <m:sSup>
                <m:e>
                  <m:r>
                    <m:t>κ</m:t>
                  </m:r>
                </m:e>
                <m:sup>
                  <m:r>
                    <m:t>2</m:t>
                  </m:r>
                </m:sup>
              </m:sSup>
            </m:e>
          </m:rad>
          <m:r>
            <m:rPr>
              <m:sty m:val="p"/>
            </m:rPr>
            <m:t>,</m:t>
          </m:r>
          <m:r>
            <m:t>  </m:t>
          </m:r>
          <m:r>
            <m:rPr>
              <m:nor/>
              <m:sty m:val="p"/>
            </m:rPr>
            <m:t>attained at </m:t>
          </m:r>
          <m:sSub>
            <m:e>
              <m:r>
                <m:t>ρ</m:t>
              </m:r>
            </m:e>
            <m:sub>
              <m:r>
                <m:t>A</m:t>
              </m:r>
              <m:r>
                <m:t>M</m:t>
              </m:r>
            </m:sub>
          </m:sSub>
          <m:r>
            <m:rPr>
              <m:sty m:val="p"/>
            </m:rPr>
            <m:t>=</m:t>
          </m:r>
          <m:r>
            <m:rPr>
              <m:sty m:val="p"/>
            </m:rPr>
            <m:t>−</m:t>
          </m:r>
          <m:r>
            <m:t>κ</m:t>
          </m:r>
          <m:r>
            <m:rPr>
              <m:sty m:val="p"/>
            </m:rPr>
            <m:t>;</m:t>
          </m:r>
          <m:r>
            <m:t>  </m:t>
          </m:r>
          <m:d>
            <m:dPr>
              <m:begChr m:val="("/>
              <m:endChr m:val=")"/>
              <m:sepChr m:val=""/>
              <m:grow/>
            </m:dPr>
            <m:e>
              <m:r>
                <m:t>9</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for κ ≥ 1, no positive bound exists.</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2 (sensitivity).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sensitivity of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to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w:t>
      </w:r>
    </w:p>
    <w:p>
      <w:pPr>
        <w:pStyle w:val="BodyText"/>
        <w:spacing w:before="0" w:after="120" w:line="300" w:lineRule="auto"/>
      </w:pPr>
      <m:oMathPara>
        <m:oMathParaPr>
          <m:jc m:val="center"/>
        </m:oMathParaPr>
        <m:oMath>
          <m:f>
            <m:fPr>
              <m:type m:val="bar"/>
            </m:fPr>
            <m:num>
              <m:r>
                <m:rPr>
                  <m:sty m:val="p"/>
                </m:rPr>
                <m:t>∂</m:t>
              </m:r>
              <m:sSub>
                <m:e>
                  <m:r>
                    <m:t>ρ</m:t>
                  </m:r>
                </m:e>
                <m:sub>
                  <m:r>
                    <m:t>A</m:t>
                  </m:r>
                  <m:r>
                    <m:t>B</m:t>
                  </m:r>
                </m:sub>
              </m:sSub>
            </m:num>
            <m:den>
              <m:r>
                <m:rPr>
                  <m:sty m:val="p"/>
                </m:rPr>
                <m:t>∂</m:t>
              </m:r>
              <m:sSub>
                <m:e>
                  <m:r>
                    <m:t>ρ</m:t>
                  </m:r>
                </m:e>
                <m:sub>
                  <m:r>
                    <m:t>A</m:t>
                  </m:r>
                  <m:r>
                    <m:t>M</m:t>
                  </m:r>
                </m:sub>
              </m:sSub>
            </m:den>
          </m:f>
          <m:r>
            <m:rPr>
              <m:sty m:val="p"/>
            </m:rPr>
            <m:t>=</m:t>
          </m:r>
          <m:f>
            <m:fPr>
              <m:type m:val="bar"/>
            </m:fPr>
            <m:num>
              <m:sSup>
                <m:e>
                  <m:r>
                    <m:t>κ</m:t>
                  </m:r>
                </m:e>
                <m:sup>
                  <m:r>
                    <m:t>2</m:t>
                  </m:r>
                </m:sup>
              </m:sSup>
              <m:r>
                <m:t> </m:t>
              </m:r>
              <m:d>
                <m:dPr>
                  <m:begChr m:val="("/>
                  <m:endChr m:val=")"/>
                  <m:sepChr m:val=""/>
                  <m:grow/>
                </m:dPr>
                <m:e>
                  <m:r>
                    <m:t>κ</m:t>
                  </m:r>
                  <m:r>
                    <m:rPr>
                      <m:sty m:val="p"/>
                    </m:rPr>
                    <m:t>+</m:t>
                  </m:r>
                  <m:sSub>
                    <m:e>
                      <m:r>
                        <m:t>ρ</m:t>
                      </m:r>
                    </m:e>
                    <m:sub>
                      <m:r>
                        <m:t>A</m:t>
                      </m:r>
                      <m:r>
                        <m:t>M</m:t>
                      </m:r>
                    </m:sub>
                  </m:sSub>
                </m:e>
              </m:d>
            </m:num>
            <m:den>
              <m:sSup>
                <m:e>
                  <m:d>
                    <m:dPr>
                      <m:begChr m:val="("/>
                      <m:endChr m:val=")"/>
                      <m:sepChr m:val=""/>
                      <m:grow/>
                    </m:dPr>
                    <m:e>
                      <m:r>
                        <m:t>1</m:t>
                      </m:r>
                      <m:r>
                        <m:rPr>
                          <m:sty m:val="p"/>
                        </m:rPr>
                        <m:t>+</m:t>
                      </m:r>
                      <m:sSup>
                        <m:e>
                          <m:r>
                            <m:t>κ</m:t>
                          </m:r>
                        </m:e>
                        <m:sup>
                          <m:r>
                            <m:t>2</m:t>
                          </m:r>
                        </m:sup>
                      </m:sSup>
                      <m:r>
                        <m:rPr>
                          <m:sty m:val="p"/>
                        </m:rPr>
                        <m:t>+</m:t>
                      </m:r>
                      <m:r>
                        <m:t>2</m:t>
                      </m:r>
                      <m:r>
                        <m:t>κ</m:t>
                      </m:r>
                      <m:sSub>
                        <m:e>
                          <m:r>
                            <m:t>ρ</m:t>
                          </m:r>
                        </m:e>
                        <m:sub>
                          <m:r>
                            <m:t>A</m:t>
                          </m:r>
                          <m:r>
                            <m:t>M</m:t>
                          </m:r>
                        </m:sub>
                      </m:sSub>
                    </m:e>
                  </m:d>
                </m:e>
                <m:sup>
                  <m:r>
                    <m:t>3</m:t>
                  </m:r>
                  <m:r>
                    <m:rPr>
                      <m:sty m:val="p"/>
                    </m:rPr>
                    <m:t>/</m:t>
                  </m:r>
                  <m:r>
                    <m:t>2</m:t>
                  </m:r>
                </m:sup>
              </m:sSup>
            </m:den>
          </m:f>
          <m:r>
            <m:rPr>
              <m:sty m:val="p"/>
            </m:rPr>
            <m:t>,</m:t>
          </m:r>
          <m:r>
            <m:t>  </m:t>
          </m:r>
          <m:d>
            <m:dPr>
              <m:begChr m:val="("/>
              <m:endChr m:val=")"/>
              <m:sepChr m:val=""/>
              <m:grow/>
            </m:dPr>
            <m:e>
              <m:r>
                <m:t>10</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which is small when the child dominates the parent; its inverse states how far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must move to change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by a given amount.</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3 (direction).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ρ²</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ρ²</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ρ²</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)(1 + 2κρ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)/(1 + κ² + 2κρ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 0; therefore, the overlap can only increase the coefficient.</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4 (dominance).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implies ρ̲/ρ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ρ̲, so the benchmark exceeds half of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whenever κ &lt; √3, that is, 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&lt; √3·w/(1 − w) = 3.73 at the factsheet weight; such a share carries no information.</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5 (attribution).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neither overlap nor dependence the coefficient is 0, with overlap only ρ̲, with dependence only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with both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The benchmark-first share ρ̲/ρ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the dependence-first share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depend on the order; the Shapley (1953) value averages the two orders into an additive split,</w:t>
      </w:r>
    </w:p>
    <w:p>
      <w:pPr>
        <w:pStyle w:val="BodyText"/>
        <w:spacing w:before="0" w:after="120" w:line="300" w:lineRule="auto"/>
      </w:pPr>
      <m:oMathPara>
        <m:oMathParaPr>
          <m:jc m:val="center"/>
        </m:oMathParaPr>
        <m:oMath>
          <m:sSub>
            <m:e>
              <m:r>
                <m:t>ϕ</m:t>
              </m:r>
            </m:e>
            <m:sub>
              <m:r>
                <m:rPr>
                  <m:sty m:val="p"/>
                </m:rPr>
                <m:t>o</m:t>
              </m:r>
              <m:r>
                <m:rPr>
                  <m:sty m:val="p"/>
                </m:rPr>
                <m:t>v</m:t>
              </m:r>
              <m:r>
                <m:rPr>
                  <m:sty m:val="p"/>
                </m:rPr>
                <m:t>e</m:t>
              </m:r>
              <m:r>
                <m:rPr>
                  <m:sty m:val="p"/>
                </m:rPr>
                <m:t>r</m:t>
              </m:r>
              <m:r>
                <m:rPr>
                  <m:sty m:val="p"/>
                </m:rPr>
                <m:t>l</m:t>
              </m:r>
              <m:r>
                <m:rPr>
                  <m:sty m:val="p"/>
                </m:rPr>
                <m:t>a</m:t>
              </m:r>
              <m:r>
                <m:rPr>
                  <m:sty m:val="p"/>
                </m:rPr>
                <m:t>p</m:t>
              </m:r>
            </m:sub>
          </m:sSub>
          <m:r>
            <m:rPr>
              <m:sty m:val="p"/>
            </m:rPr>
            <m:t>=</m:t>
          </m:r>
          <m:f>
            <m:fPr>
              <m:type m:val="lin"/>
            </m:fPr>
            <m:num>
              <m:r>
                <m:t>1</m:t>
              </m:r>
            </m:num>
            <m:den>
              <m:r>
                <m:t>2</m:t>
              </m:r>
            </m:den>
          </m:f>
          <m:d>
            <m:dPr>
              <m:begChr m:val="["/>
              <m:endChr m:val="]"/>
              <m:sepChr m:val=""/>
              <m:grow/>
            </m:dPr>
            <m:e>
              <m:bar>
                <m:barPr>
                  <m:pos m:val="bot"/>
                </m:barPr>
                <m:e>
                  <m:r>
                    <m:t>ρ</m:t>
                  </m:r>
                </m:e>
              </m:bar>
              <m:r>
                <m:rPr>
                  <m:sty m:val="p"/>
                </m:rPr>
                <m:t>+</m:t>
              </m:r>
              <m:d>
                <m:dPr>
                  <m:begChr m:val="("/>
                  <m:endChr m:val=")"/>
                  <m:sepChr m:val=""/>
                  <m:grow/>
                </m:dPr>
                <m:e>
                  <m:sSub>
                    <m:e>
                      <m:r>
                        <m:t>ρ</m:t>
                      </m:r>
                    </m:e>
                    <m:sub>
                      <m:r>
                        <m:t>A</m:t>
                      </m:r>
                      <m:r>
                        <m:t>B</m:t>
                      </m:r>
                    </m:sub>
                  </m:sSub>
                  <m:r>
                    <m:rPr>
                      <m:sty m:val="p"/>
                    </m:rPr>
                    <m:t>−</m:t>
                  </m:r>
                  <m:sSub>
                    <m:e>
                      <m:r>
                        <m:t>ρ</m:t>
                      </m:r>
                    </m:e>
                    <m:sub>
                      <m:r>
                        <m:t>A</m:t>
                      </m:r>
                      <m:r>
                        <m:t>M</m:t>
                      </m:r>
                    </m:sub>
                  </m:sSub>
                </m:e>
              </m:d>
            </m:e>
          </m:d>
          <m:r>
            <m:rPr>
              <m:sty m:val="p"/>
            </m:rPr>
            <m:t>,</m:t>
          </m:r>
          <m:r>
            <m:t>  </m:t>
          </m:r>
          <m:sSub>
            <m:e>
              <m:r>
                <m:t>ϕ</m:t>
              </m:r>
            </m:e>
            <m:sub>
              <m:r>
                <m:rPr>
                  <m:sty m:val="p"/>
                </m:rPr>
                <m:t>d</m:t>
              </m:r>
              <m:r>
                <m:rPr>
                  <m:sty m:val="p"/>
                </m:rPr>
                <m:t>e</m:t>
              </m:r>
              <m:r>
                <m:rPr>
                  <m:sty m:val="p"/>
                </m:rPr>
                <m:t>p</m:t>
              </m:r>
            </m:sub>
          </m:sSub>
          <m:r>
            <m:rPr>
              <m:sty m:val="p"/>
            </m:rPr>
            <m:t>=</m:t>
          </m:r>
          <m:f>
            <m:fPr>
              <m:type m:val="lin"/>
            </m:fPr>
            <m:num>
              <m:r>
                <m:t>1</m:t>
              </m:r>
            </m:num>
            <m:den>
              <m:r>
                <m:t>2</m:t>
              </m:r>
            </m:den>
          </m:f>
          <m:d>
            <m:dPr>
              <m:begChr m:val="["/>
              <m:endChr m:val="]"/>
              <m:sepChr m:val=""/>
              <m:grow/>
            </m:dPr>
            <m:e>
              <m:sSub>
                <m:e>
                  <m:r>
                    <m:t>ρ</m:t>
                  </m:r>
                </m:e>
                <m:sub>
                  <m:r>
                    <m:t>A</m:t>
                  </m:r>
                  <m:r>
                    <m:t>M</m:t>
                  </m:r>
                </m:sub>
              </m:sSub>
              <m:r>
                <m:rPr>
                  <m:sty m:val="p"/>
                </m:rPr>
                <m:t>+</m:t>
              </m:r>
              <m:d>
                <m:dPr>
                  <m:begChr m:val="("/>
                  <m:endChr m:val=")"/>
                  <m:sepChr m:val=""/>
                  <m:grow/>
                </m:dPr>
                <m:e>
                  <m:sSub>
                    <m:e>
                      <m:r>
                        <m:t>ρ</m:t>
                      </m:r>
                    </m:e>
                    <m:sub>
                      <m:r>
                        <m:t>A</m:t>
                      </m:r>
                      <m:r>
                        <m:t>B</m:t>
                      </m:r>
                    </m:sub>
                  </m:sSub>
                  <m:r>
                    <m:rPr>
                      <m:sty m:val="p"/>
                    </m:rPr>
                    <m:t>−</m:t>
                  </m:r>
                  <m:bar>
                    <m:barPr>
                      <m:pos m:val="bot"/>
                    </m:barPr>
                    <m:e>
                      <m:r>
                        <m:t>ρ</m:t>
                      </m:r>
                    </m:e>
                  </m:bar>
                </m:e>
              </m:d>
            </m:e>
          </m:d>
          <m:r>
            <m:rPr>
              <m:sty m:val="p"/>
            </m:rPr>
            <m:t>,</m:t>
          </m:r>
          <m:r>
            <m:t>  </m:t>
          </m:r>
          <m:sSub>
            <m:e>
              <m:r>
                <m:t>ϕ</m:t>
              </m:r>
            </m:e>
            <m:sub>
              <m:r>
                <m:rPr>
                  <m:sty m:val="p"/>
                </m:rPr>
                <m:t>o</m:t>
              </m:r>
              <m:r>
                <m:rPr>
                  <m:sty m:val="p"/>
                </m:rPr>
                <m:t>v</m:t>
              </m:r>
              <m:r>
                <m:rPr>
                  <m:sty m:val="p"/>
                </m:rPr>
                <m:t>e</m:t>
              </m:r>
              <m:r>
                <m:rPr>
                  <m:sty m:val="p"/>
                </m:rPr>
                <m:t>r</m:t>
              </m:r>
              <m:r>
                <m:rPr>
                  <m:sty m:val="p"/>
                </m:rPr>
                <m:t>l</m:t>
              </m:r>
              <m:r>
                <m:rPr>
                  <m:sty m:val="p"/>
                </m:rPr>
                <m:t>a</m:t>
              </m:r>
              <m:r>
                <m:rPr>
                  <m:sty m:val="p"/>
                </m:rPr>
                <m:t>p</m:t>
              </m:r>
            </m:sub>
          </m:sSub>
          <m:r>
            <m:rPr>
              <m:sty m:val="p"/>
            </m:rPr>
            <m:t>+</m:t>
          </m:r>
          <m:sSub>
            <m:e>
              <m:r>
                <m:t>ϕ</m:t>
              </m:r>
            </m:e>
            <m:sub>
              <m:r>
                <m:rPr>
                  <m:sty m:val="p"/>
                </m:rPr>
                <m:t>d</m:t>
              </m:r>
              <m:r>
                <m:rPr>
                  <m:sty m:val="p"/>
                </m:rPr>
                <m:t>e</m:t>
              </m:r>
              <m:r>
                <m:rPr>
                  <m:sty m:val="p"/>
                </m:rPr>
                <m:t>p</m:t>
              </m:r>
            </m:sub>
          </m:sSub>
          <m:r>
            <m:rPr>
              <m:sty m:val="p"/>
            </m:rPr>
            <m:t>=</m:t>
          </m:r>
          <m:sSub>
            <m:e>
              <m:r>
                <m:t>ρ</m:t>
              </m:r>
            </m:e>
            <m:sub>
              <m:r>
                <m:t>A</m:t>
              </m:r>
              <m:r>
                <m:t>B</m:t>
              </m:r>
            </m:sub>
          </m:sSub>
          <m:r>
            <m:rPr>
              <m:sty m:val="p"/>
            </m:rPr>
            <m:t>.</m:t>
          </m:r>
          <m:r>
            <m:t>  </m:t>
          </m:r>
          <m:d>
            <m:dPr>
              <m:begChr m:val="("/>
              <m:endChr m:val=")"/>
              <m:sepChr m:val=""/>
              <m:grow/>
            </m:dPr>
            <m:e>
              <m:r>
                <m:t>11</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We lead with the sensitivity, which requires no attribution convention, and report the Shapley overlap share φ_overlap/ρ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Eq. (7) reproduces the directly estimated VN30–VN100 coefficient at every scale and frequency to within 4.4 × 10⁻¹⁶. We compute all quantities scale by scale and average them over the reliable range (Section 4.4). Because M is a linear combination of A and B, the decomposition also follows from index-level moments alone (Box 1).</w:t>
      </w:r>
    </w:p>
    <w:p>
      <w:pPr>
        <w:pStyle w:val="tablecaption0"/>
      </w:pPr>
      <w:r>
        <w:rPr>
          <w:bCs/>
          <w:b/>
        </w:rPr>
        <w:t xml:space="preserve">Box 1</w:t>
      </w:r>
      <w:r>
        <w:t xml:space="preserve"> </w:t>
      </w:r>
      <w:r>
        <w:t xml:space="preserve">Decomposition of a nested correlation from index-level inputs</w:t>
      </w:r>
    </w:p>
    <w:tbl>
      <w:tblPr>
        <w:tblStyle w:val="TableGrid"/>
        <w:tblW w:type="pct" w:w="5000"/>
        <w:tblLook w:firstRow="1" w:lastRow="0" w:firstColumn="0" w:lastColumn="0" w:noHBand="0" w:noVBand="0" w:val="0020"/>
        <w:jc w:val="start"/>
      </w:tblPr>
      <w:tblGrid>
        <w:gridCol w:w="2934"/>
        <w:gridCol w:w="3099"/>
        <w:gridCol w:w="3327"/>
      </w:tblGrid>
      <w:tr>
        <w:trPr>
          <w:tblHeader w:val="true"/>
        </w:trPr>
        <w:tc>
          <w:tcPr>
            <w:tcW w:w="2934" w:type="dxa"/>
          </w:tcPr>
          <w:p>
            <w:pPr>
              <w:spacing w:before="0" w:after="0" w:line="240" w:lineRule="auto"/>
              <w:jc w:val="left"/>
            </w:pPr>
            <w:r>
              <w:rPr>
                <w:sz w:val="20"/>
                <w:szCs w:val="20"/>
              </w:rPr>
              <w:t xml:space="preserve">Step</w:t>
            </w:r>
          </w:p>
        </w:tc>
        <w:tc>
          <w:tcPr>
            <w:tcW w:w="3099" w:type="dxa"/>
          </w:tcPr>
          <w:p>
            <w:pPr>
              <w:spacing w:before="0" w:after="0" w:line="240" w:lineRule="auto"/>
              <w:jc w:val="left"/>
            </w:pPr>
            <w:r>
              <w:rPr>
                <w:sz w:val="20"/>
                <w:szCs w:val="20"/>
              </w:rPr>
              <w:t xml:space="preserve">Computation</w:t>
            </w:r>
          </w:p>
        </w:tc>
        <w:tc>
          <w:tcPr>
            <w:tcW w:w="3327" w:type="dxa"/>
          </w:tcPr>
          <w:p>
            <w:pPr>
              <w:spacing w:before="0" w:after="0" w:line="240" w:lineRule="auto"/>
              <w:jc w:val="left"/>
            </w:pPr>
            <w:r>
              <w:rPr>
                <w:sz w:val="20"/>
                <w:szCs w:val="20"/>
              </w:rPr>
              <w:t xml:space="preserve">VN30 in VN100, daily</w:t>
            </w:r>
          </w:p>
        </w:tc>
      </w:tr>
      <w:tr>
        <w:tc>
          <w:tcPr>
            <w:tcW w:w="2934" w:type="dxa"/>
          </w:tcPr>
          <w:p>
            <w:pPr>
              <w:spacing w:before="0" w:after="0" w:line="240" w:lineRule="auto"/>
              <w:jc w:val="left"/>
            </w:pPr>
            <w:r>
              <w:rPr>
                <w:sz w:val="20"/>
                <w:szCs w:val="20"/>
              </w:rPr>
              <w:t xml:space="preserve">1. Inputs</w:t>
            </w:r>
          </w:p>
        </w:tc>
        <w:tc>
          <w:tcPr>
            <w:tcW w:w="3099" w:type="dxa"/>
          </w:tcPr>
          <w:p>
            <w:pPr>
              <w:spacing w:before="0" w:after="0" w:line="240" w:lineRule="auto"/>
              <w:jc w:val="left"/>
            </w:pPr>
            <w:r>
              <w:rPr>
                <w:sz w:val="20"/>
                <w:szCs w:val="20"/>
              </w:rPr>
              <w:t xml:space="preserve">w; σ</w:t>
            </w:r>
            <w:r>
              <w:rPr>
                <w:vertAlign w:val="subscript"/>
                <w:sz w:val="20"/>
                <w:szCs w:val="20"/>
              </w:rPr>
              <w:t xml:space="preserve">A</w:t>
            </w:r>
            <w:r>
              <w:rPr>
                <w:sz w:val="20"/>
                <w:szCs w:val="20"/>
              </w:rPr>
              <w:t xml:space="preserve">, σ</w:t>
            </w:r>
            <w:r>
              <w:rPr>
                <w:vertAlign w:val="subscript"/>
                <w:sz w:val="20"/>
                <w:szCs w:val="20"/>
              </w:rPr>
              <w:t xml:space="preserve">B</w:t>
            </w:r>
            <w:r>
              <w:rPr>
                <w:sz w:val="20"/>
                <w:szCs w:val="20"/>
              </w:rPr>
              <w:t xml:space="preserve">; ρ</w:t>
            </w:r>
            <w:r>
              <w:rPr>
                <w:vertAlign w:val="subscript"/>
                <w:sz w:val="20"/>
                <w:szCs w:val="20"/>
              </w:rPr>
              <w:t xml:space="preserve">AB</w:t>
            </w:r>
          </w:p>
        </w:tc>
        <w:tc>
          <w:tcPr>
            <w:tcW w:w="3327" w:type="dxa"/>
          </w:tcPr>
          <w:p>
            <w:pPr>
              <w:spacing w:before="0" w:after="0" w:line="240" w:lineRule="auto"/>
              <w:jc w:val="left"/>
            </w:pPr>
            <w:r>
              <w:rPr>
                <w:sz w:val="20"/>
                <w:szCs w:val="20"/>
              </w:rPr>
              <w:t xml:space="preserve">w = 0.6826; σ</w:t>
            </w:r>
            <w:r>
              <w:rPr>
                <w:vertAlign w:val="subscript"/>
                <w:sz w:val="20"/>
                <w:szCs w:val="20"/>
              </w:rPr>
              <w:t xml:space="preserve">A</w:t>
            </w:r>
            <w:r>
              <w:rPr>
                <w:sz w:val="20"/>
                <w:szCs w:val="20"/>
              </w:rPr>
              <w:t xml:space="preserve"> </w:t>
            </w:r>
            <w:r>
              <w:rPr>
                <w:sz w:val="20"/>
                <w:szCs w:val="20"/>
              </w:rPr>
              <w:t xml:space="preserve">= 0.0121, σ</w:t>
            </w:r>
            <w:r>
              <w:rPr>
                <w:vertAlign w:val="subscript"/>
                <w:sz w:val="20"/>
                <w:szCs w:val="20"/>
              </w:rPr>
              <w:t xml:space="preserve">B</w:t>
            </w:r>
            <w:r>
              <w:rPr>
                <w:sz w:val="20"/>
                <w:szCs w:val="20"/>
              </w:rPr>
              <w:t xml:space="preserve"> </w:t>
            </w:r>
            <w:r>
              <w:rPr>
                <w:sz w:val="20"/>
                <w:szCs w:val="20"/>
              </w:rPr>
              <w:t xml:space="preserve">= 0.0119; ρ</w:t>
            </w:r>
            <w:r>
              <w:rPr>
                <w:vertAlign w:val="subscript"/>
                <w:sz w:val="20"/>
                <w:szCs w:val="20"/>
              </w:rPr>
              <w:t xml:space="preserve">AB</w:t>
            </w:r>
            <w:r>
              <w:rPr>
                <w:sz w:val="20"/>
                <w:szCs w:val="20"/>
              </w:rPr>
              <w:t xml:space="preserve"> </w:t>
            </w:r>
            <w:r>
              <w:rPr>
                <w:sz w:val="20"/>
                <w:szCs w:val="20"/>
              </w:rPr>
              <w:t xml:space="preserve">= 0.9885</w:t>
            </w:r>
          </w:p>
        </w:tc>
      </w:tr>
      <w:tr>
        <w:tc>
          <w:tcPr>
            <w:tcW w:w="2934" w:type="dxa"/>
          </w:tcPr>
          <w:p>
            <w:pPr>
              <w:spacing w:before="0" w:after="0" w:line="240" w:lineRule="auto"/>
              <w:jc w:val="left"/>
            </w:pPr>
            <w:r>
              <w:rPr>
                <w:sz w:val="20"/>
                <w:szCs w:val="20"/>
              </w:rPr>
              <w:t xml:space="preserve">2. Volatility of remaining constituents</w:t>
            </w:r>
          </w:p>
        </w:tc>
        <w:tc>
          <w:tcPr>
            <w:tcW w:w="3099" w:type="dxa"/>
          </w:tcPr>
          <w:p>
            <w:pPr>
              <w:spacing w:before="0" w:after="0" w:line="240" w:lineRule="auto"/>
              <w:jc w:val="left"/>
            </w:pPr>
            <w:r>
              <w:rPr>
                <w:sz w:val="20"/>
                <w:szCs w:val="20"/>
              </w:rPr>
              <w:t xml:space="preserve">σ</w:t>
            </w:r>
            <w:r>
              <w:rPr>
                <w:vertAlign w:val="subscript"/>
                <w:sz w:val="20"/>
                <w:szCs w:val="20"/>
              </w:rPr>
              <w:t xml:space="preserve">M</w:t>
            </w:r>
            <w:r>
              <w:rPr>
                <w:sz w:val="20"/>
                <w:szCs w:val="20"/>
              </w:rPr>
              <w:t xml:space="preserve"> </w:t>
            </w:r>
            <w:r>
              <w:rPr>
                <w:sz w:val="20"/>
                <w:szCs w:val="20"/>
              </w:rPr>
              <w:t xml:space="preserve">= (σ²</w:t>
            </w:r>
            <w:r>
              <w:rPr>
                <w:vertAlign w:val="subscript"/>
                <w:sz w:val="20"/>
                <w:szCs w:val="20"/>
              </w:rPr>
              <w:t xml:space="preserve">B</w:t>
            </w:r>
            <w:r>
              <w:rPr>
                <w:sz w:val="20"/>
                <w:szCs w:val="20"/>
              </w:rPr>
              <w:t xml:space="preserve"> </w:t>
            </w:r>
            <w:r>
              <w:rPr>
                <w:sz w:val="20"/>
                <w:szCs w:val="20"/>
              </w:rPr>
              <w:t xml:space="preserve">− 2wρ</w:t>
            </w:r>
            <w:r>
              <w:rPr>
                <w:vertAlign w:val="subscript"/>
                <w:sz w:val="20"/>
                <w:szCs w:val="20"/>
              </w:rPr>
              <w:t xml:space="preserve">AB</w:t>
            </w:r>
            <w:r>
              <w:rPr>
                <w:sz w:val="20"/>
                <w:szCs w:val="20"/>
              </w:rPr>
              <w:t xml:space="preserve"> </w:t>
            </w:r>
            <w:r>
              <w:rPr>
                <w:sz w:val="20"/>
                <w:szCs w:val="20"/>
              </w:rPr>
              <w:t xml:space="preserve">σ</w:t>
            </w:r>
            <w:r>
              <w:rPr>
                <w:vertAlign w:val="subscript"/>
                <w:sz w:val="20"/>
                <w:szCs w:val="20"/>
              </w:rPr>
              <w:t xml:space="preserve">A</w:t>
            </w:r>
            <w:r>
              <w:rPr>
                <w:sz w:val="20"/>
                <w:szCs w:val="20"/>
              </w:rPr>
              <w:t xml:space="preserve"> </w:t>
            </w:r>
            <w:r>
              <w:rPr>
                <w:sz w:val="20"/>
                <w:szCs w:val="20"/>
              </w:rPr>
              <w:t xml:space="preserve">σ</w:t>
            </w:r>
            <w:r>
              <w:rPr>
                <w:vertAlign w:val="subscript"/>
                <w:sz w:val="20"/>
                <w:szCs w:val="20"/>
              </w:rPr>
              <w:t xml:space="preserve">B</w:t>
            </w:r>
            <w:r>
              <w:rPr>
                <w:sz w:val="20"/>
                <w:szCs w:val="20"/>
              </w:rPr>
              <w:t xml:space="preserve"> </w:t>
            </w:r>
            <w:r>
              <w:rPr>
                <w:sz w:val="20"/>
                <w:szCs w:val="20"/>
              </w:rPr>
              <w:t xml:space="preserve">+ w²σ²</w:t>
            </w:r>
            <w:r>
              <w:rPr>
                <w:vertAlign w:val="subscript"/>
                <w:sz w:val="20"/>
                <w:szCs w:val="20"/>
              </w:rPr>
              <w:t xml:space="preserve">A</w:t>
            </w:r>
            <w:r>
              <w:rPr>
                <w:sz w:val="20"/>
                <w:szCs w:val="20"/>
              </w:rPr>
              <w:t xml:space="preserve">)</w:t>
            </w:r>
            <w:r>
              <w:rPr>
                <w:vertAlign w:val="superscript"/>
                <w:sz w:val="20"/>
                <w:szCs w:val="20"/>
              </w:rPr>
              <w:t xml:space="preserve">1/2</w:t>
            </w:r>
            <w:r>
              <w:rPr>
                <w:sz w:val="20"/>
                <w:szCs w:val="20"/>
              </w:rPr>
              <w:t xml:space="preserve">/(1 − w)</w:t>
            </w:r>
          </w:p>
        </w:tc>
        <w:tc>
          <w:tcPr>
            <w:tcW w:w="3327" w:type="dxa"/>
          </w:tcPr>
          <w:p>
            <w:pPr>
              <w:spacing w:before="0" w:after="0" w:line="240" w:lineRule="auto"/>
              <w:jc w:val="left"/>
            </w:pPr>
            <w:r>
              <w:rPr>
                <w:sz w:val="20"/>
                <w:szCs w:val="20"/>
              </w:rPr>
              <w:t xml:space="preserve">σ</w:t>
            </w:r>
            <w:r>
              <w:rPr>
                <w:vertAlign w:val="subscript"/>
                <w:sz w:val="20"/>
                <w:szCs w:val="20"/>
              </w:rPr>
              <w:t xml:space="preserve">M</w:t>
            </w:r>
            <w:r>
              <w:rPr>
                <w:sz w:val="20"/>
                <w:szCs w:val="20"/>
              </w:rPr>
              <w:t xml:space="preserve"> </w:t>
            </w:r>
            <w:r>
              <w:rPr>
                <w:sz w:val="20"/>
                <w:szCs w:val="20"/>
              </w:rPr>
              <w:t xml:space="preserve">= 0.0124</w:t>
            </w:r>
          </w:p>
        </w:tc>
      </w:tr>
      <w:tr>
        <w:tc>
          <w:tcPr>
            <w:tcW w:w="2934" w:type="dxa"/>
          </w:tcPr>
          <w:p>
            <w:pPr>
              <w:spacing w:before="0" w:after="0" w:line="240" w:lineRule="auto"/>
              <w:jc w:val="left"/>
            </w:pPr>
            <w:r>
              <w:rPr>
                <w:sz w:val="20"/>
                <w:szCs w:val="20"/>
              </w:rPr>
              <w:t xml:space="preserve">3. Relative amplitude</w:t>
            </w:r>
          </w:p>
        </w:tc>
        <w:tc>
          <w:tcPr>
            <w:tcW w:w="3099" w:type="dxa"/>
          </w:tcPr>
          <w:p>
            <w:pPr>
              <w:spacing w:before="0" w:after="0" w:line="240" w:lineRule="auto"/>
              <w:jc w:val="left"/>
            </w:pPr>
            <w:r>
              <w:rPr>
                <w:sz w:val="20"/>
                <w:szCs w:val="20"/>
              </w:rPr>
              <w:t xml:space="preserve">κ = (1 − w)σ</w:t>
            </w:r>
            <w:r>
              <w:rPr>
                <w:vertAlign w:val="subscript"/>
                <w:sz w:val="20"/>
                <w:szCs w:val="20"/>
              </w:rPr>
              <w:t xml:space="preserve">M</w:t>
            </w:r>
            <w:r>
              <w:rPr>
                <w:sz w:val="20"/>
                <w:szCs w:val="20"/>
              </w:rPr>
              <w:t xml:space="preserve">/(wσ</w:t>
            </w:r>
            <w:r>
              <w:rPr>
                <w:vertAlign w:val="subscript"/>
                <w:sz w:val="20"/>
                <w:szCs w:val="20"/>
              </w:rPr>
              <w:t xml:space="preserve">A</w:t>
            </w:r>
            <w:r>
              <w:rPr>
                <w:sz w:val="20"/>
                <w:szCs w:val="20"/>
              </w:rPr>
              <w:t xml:space="preserve">)</w:t>
            </w:r>
          </w:p>
        </w:tc>
        <w:tc>
          <w:tcPr>
            <w:tcW w:w="3327" w:type="dxa"/>
          </w:tcPr>
          <w:p>
            <w:pPr>
              <w:spacing w:before="0" w:after="0" w:line="240" w:lineRule="auto"/>
              <w:jc w:val="left"/>
            </w:pPr>
            <w:r>
              <w:rPr>
                <w:sz w:val="20"/>
                <w:szCs w:val="20"/>
              </w:rPr>
              <w:t xml:space="preserve">κ = 0.475</w:t>
            </w:r>
          </w:p>
        </w:tc>
      </w:tr>
      <w:tr>
        <w:tc>
          <w:tcPr>
            <w:tcW w:w="2934" w:type="dxa"/>
          </w:tcPr>
          <w:p>
            <w:pPr>
              <w:spacing w:before="0" w:after="0" w:line="240" w:lineRule="auto"/>
              <w:jc w:val="left"/>
            </w:pPr>
            <w:r>
              <w:rPr>
                <w:sz w:val="20"/>
                <w:szCs w:val="20"/>
              </w:rPr>
              <w:t xml:space="preserve">4. Benchmark and bound</w:t>
            </w:r>
          </w:p>
        </w:tc>
        <w:tc>
          <w:tcPr>
            <w:tcW w:w="3099" w:type="dxa"/>
          </w:tcPr>
          <w:p>
            <w:pPr>
              <w:spacing w:before="0" w:after="0" w:line="240" w:lineRule="auto"/>
              <w:jc w:val="left"/>
            </w:pPr>
            <w:r>
              <w:rPr>
                <w:sz w:val="20"/>
                <w:szCs w:val="20"/>
              </w:rPr>
              <w:t xml:space="preserve">ρ̲ = (1 + κ²)</w:t>
            </w:r>
            <w:r>
              <w:rPr>
                <w:vertAlign w:val="superscript"/>
                <w:sz w:val="20"/>
                <w:szCs w:val="20"/>
              </w:rPr>
              <w:t xml:space="preserve">−1/2</w:t>
            </w:r>
            <w:r>
              <w:rPr>
                <w:sz w:val="20"/>
                <w:szCs w:val="20"/>
              </w:rPr>
              <w:t xml:space="preserve">; bound (1 − κ²)</w:t>
            </w:r>
            <w:r>
              <w:rPr>
                <w:vertAlign w:val="superscript"/>
                <w:sz w:val="20"/>
                <w:szCs w:val="20"/>
              </w:rPr>
              <w:t xml:space="preserve">1/2</w:t>
            </w:r>
          </w:p>
        </w:tc>
        <w:tc>
          <w:tcPr>
            <w:tcW w:w="3327" w:type="dxa"/>
          </w:tcPr>
          <w:p>
            <w:pPr>
              <w:spacing w:before="0" w:after="0" w:line="240" w:lineRule="auto"/>
              <w:jc w:val="left"/>
            </w:pPr>
            <w:r>
              <w:rPr>
                <w:sz w:val="20"/>
                <w:szCs w:val="20"/>
              </w:rPr>
              <w:t xml:space="preserve">ρ̲ = 0.903; bound 0.880</w:t>
            </w:r>
          </w:p>
        </w:tc>
      </w:tr>
      <w:tr>
        <w:tc>
          <w:tcPr>
            <w:tcW w:w="2934" w:type="dxa"/>
          </w:tcPr>
          <w:p>
            <w:pPr>
              <w:spacing w:before="0" w:after="0" w:line="240" w:lineRule="auto"/>
              <w:jc w:val="left"/>
            </w:pPr>
            <w:r>
              <w:rPr>
                <w:sz w:val="20"/>
                <w:szCs w:val="20"/>
              </w:rPr>
              <w:t xml:space="preserve">5. Purged coefficient</w:t>
            </w:r>
          </w:p>
        </w:tc>
        <w:tc>
          <w:tcPr>
            <w:tcW w:w="3099" w:type="dxa"/>
          </w:tcPr>
          <w:p>
            <w:pPr>
              <w:spacing w:before="0" w:after="0" w:line="240" w:lineRule="auto"/>
              <w:jc w:val="left"/>
            </w:pPr>
            <w:r>
              <w:rPr>
                <w:sz w:val="20"/>
                <w:szCs w:val="20"/>
              </w:rPr>
              <w:t xml:space="preserve">ρ</w:t>
            </w:r>
            <w:r>
              <w:rPr>
                <w:vertAlign w:val="subscript"/>
                <w:sz w:val="20"/>
                <w:szCs w:val="20"/>
              </w:rPr>
              <w:t xml:space="preserve">AM</w:t>
            </w:r>
            <w:r>
              <w:rPr>
                <w:sz w:val="20"/>
                <w:szCs w:val="20"/>
              </w:rPr>
              <w:t xml:space="preserve"> </w:t>
            </w:r>
            <w:r>
              <w:rPr>
                <w:sz w:val="20"/>
                <w:szCs w:val="20"/>
              </w:rPr>
              <w:t xml:space="preserve">= (ρ</w:t>
            </w:r>
            <w:r>
              <w:rPr>
                <w:vertAlign w:val="subscript"/>
                <w:sz w:val="20"/>
                <w:szCs w:val="20"/>
              </w:rPr>
              <w:t xml:space="preserve">AB</w:t>
            </w:r>
            <w:r>
              <w:rPr>
                <w:sz w:val="20"/>
                <w:szCs w:val="20"/>
              </w:rPr>
              <w:t xml:space="preserve"> </w:t>
            </w:r>
            <w:r>
              <w:rPr>
                <w:sz w:val="20"/>
                <w:szCs w:val="20"/>
              </w:rPr>
              <w:t xml:space="preserve">σ</w:t>
            </w:r>
            <w:r>
              <w:rPr>
                <w:vertAlign w:val="subscript"/>
                <w:sz w:val="20"/>
                <w:szCs w:val="20"/>
              </w:rPr>
              <w:t xml:space="preserve">B</w:t>
            </w:r>
            <w:r>
              <w:rPr>
                <w:sz w:val="20"/>
                <w:szCs w:val="20"/>
              </w:rPr>
              <w:t xml:space="preserve"> </w:t>
            </w:r>
            <w:r>
              <w:rPr>
                <w:sz w:val="20"/>
                <w:szCs w:val="20"/>
              </w:rPr>
              <w:t xml:space="preserve">− wσ</w:t>
            </w:r>
            <w:r>
              <w:rPr>
                <w:vertAlign w:val="subscript"/>
                <w:sz w:val="20"/>
                <w:szCs w:val="20"/>
              </w:rPr>
              <w:t xml:space="preserve">A</w:t>
            </w:r>
            <w:r>
              <w:rPr>
                <w:sz w:val="20"/>
                <w:szCs w:val="20"/>
              </w:rPr>
              <w:t xml:space="preserve">)/[(1 − w)σ</w:t>
            </w:r>
            <w:r>
              <w:rPr>
                <w:vertAlign w:val="subscript"/>
                <w:sz w:val="20"/>
                <w:szCs w:val="20"/>
              </w:rPr>
              <w:t xml:space="preserve">M</w:t>
            </w:r>
            <w:r>
              <w:rPr>
                <w:sz w:val="20"/>
                <w:szCs w:val="20"/>
              </w:rPr>
              <w:t xml:space="preserve">]</w:t>
            </w:r>
          </w:p>
        </w:tc>
        <w:tc>
          <w:tcPr>
            <w:tcW w:w="3327" w:type="dxa"/>
          </w:tcPr>
          <w:p>
            <w:pPr>
              <w:spacing w:before="0" w:after="0" w:line="240" w:lineRule="auto"/>
              <w:jc w:val="left"/>
            </w:pPr>
            <w:r>
              <w:rPr>
                <w:sz w:val="20"/>
                <w:szCs w:val="20"/>
              </w:rPr>
              <w:t xml:space="preserve">ρ</w:t>
            </w:r>
            <w:r>
              <w:rPr>
                <w:vertAlign w:val="subscript"/>
                <w:sz w:val="20"/>
                <w:szCs w:val="20"/>
              </w:rPr>
              <w:t xml:space="preserve">AM</w:t>
            </w:r>
            <w:r>
              <w:rPr>
                <w:sz w:val="20"/>
                <w:szCs w:val="20"/>
              </w:rPr>
              <w:t xml:space="preserve"> </w:t>
            </w:r>
            <w:r>
              <w:rPr>
                <w:sz w:val="20"/>
                <w:szCs w:val="20"/>
              </w:rPr>
              <w:t xml:space="preserve">= 0.889</w:t>
            </w:r>
          </w:p>
        </w:tc>
      </w:tr>
      <w:tr>
        <w:tc>
          <w:tcPr>
            <w:tcW w:w="2934" w:type="dxa"/>
          </w:tcPr>
          <w:p>
            <w:pPr>
              <w:spacing w:before="0" w:after="0" w:line="240" w:lineRule="auto"/>
              <w:jc w:val="left"/>
            </w:pPr>
            <w:r>
              <w:rPr>
                <w:sz w:val="20"/>
                <w:szCs w:val="20"/>
              </w:rPr>
              <w:t xml:space="preserve">6. Sensitivity</w:t>
            </w:r>
          </w:p>
        </w:tc>
        <w:tc>
          <w:tcPr>
            <w:tcW w:w="3099" w:type="dxa"/>
          </w:tcPr>
          <w:p>
            <w:pPr>
              <w:spacing w:before="0" w:after="0" w:line="240" w:lineRule="auto"/>
              <w:jc w:val="left"/>
            </w:pPr>
            <w:r>
              <w:rPr>
                <w:sz w:val="20"/>
                <w:szCs w:val="20"/>
              </w:rPr>
              <w:t xml:space="preserve">Eq. (10)</w:t>
            </w:r>
          </w:p>
        </w:tc>
        <w:tc>
          <w:tcPr>
            <w:tcW w:w="3327" w:type="dxa"/>
          </w:tcPr>
          <w:p>
            <w:pPr>
              <w:spacing w:before="0" w:after="0" w:line="240" w:lineRule="auto"/>
              <w:jc w:val="left"/>
            </w:pPr>
            <w:r>
              <w:rPr>
                <w:sz w:val="20"/>
                <w:szCs w:val="20"/>
              </w:rPr>
              <w:t xml:space="preserve">0.103 (inverse 9.7)</w:t>
            </w:r>
          </w:p>
        </w:tc>
      </w:tr>
    </w:tbl>
    <w:p>
      <w:pPr>
        <w:pStyle w:val="Compact"/>
      </w:pPr>
      <w:r>
        <w:rPr>
          <w:sz w:val="20"/>
          <w:szCs w:val="20"/>
        </w:rPr>
        <w:t xml:space="preserve">Notes: Pearson moments of daily log returns, February 2014 to December 2025. Steps 2 and 5 reproduce the volatility and correlation of the directly constructed overlap-purged series P</w:t>
      </w:r>
      <w:r>
        <w:rPr>
          <w:vertAlign w:val="subscript"/>
          <w:sz w:val="20"/>
          <w:szCs w:val="20"/>
        </w:rPr>
        <w:t xml:space="preserve">cap</w:t>
      </w:r>
      <w:r>
        <w:rPr>
          <w:sz w:val="20"/>
          <w:szCs w:val="20"/>
        </w:rPr>
        <w:t xml:space="preserve"> </w:t>
      </w:r>
      <w:r>
        <w:rPr>
          <w:sz w:val="20"/>
          <w:szCs w:val="20"/>
        </w:rPr>
        <w:t xml:space="preserve">exactly; subscripts A, B, and M: child, parent, and remaining constituents. Source: Authors’ calculations.</w:t>
      </w:r>
    </w:p>
    <w:p>
      <w:pPr>
        <w:pStyle w:val="heading20"/>
        <w:numPr>
          <w:ilvl w:val="0"/>
          <w:numId w:val="0"/>
        </w:numPr>
      </w:pPr>
      <w:r>
        <w:rPr>
          <w:rFonts w:ascii="Times New Roman" w:hAnsi="Times New Roman" w:cs="Times New Roman" w:eastAsia="Times New Roman"/>
          <w:b/>
          <w:sz w:val="24"/>
          <w:szCs w:val="24"/>
        </w:rPr>
        <w:t xml:space="preserve">4.3 Weight uncertainty</w:t>
      </w:r>
    </w:p>
    <w:p>
      <w:pPr>
        <w:pStyle w:val="p1a"/>
        <w:spacing w:before="0" w:after="120" w:line="300" w:lineRule="auto"/>
        <w:jc w:val="both"/>
      </w:pPr>
      <w:r>
        <w:rPr>
          <w:rFonts w:ascii="Times New Roman" w:hAnsi="Times New Roman" w:cs="Times New Roman" w:eastAsia="Times New Roman"/>
          <w:sz w:val="24"/>
          <w:szCs w:val="24"/>
        </w:rPr>
        <w:t xml:space="preserve">Capitalization drifts between semi-annual reviews. If the true weight w</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differs from w, the purged series becomes</w:t>
      </w:r>
    </w:p>
    <w:p>
      <w:pPr>
        <w:pStyle w:val="BodyText"/>
        <w:spacing w:before="0" w:after="120" w:line="300" w:lineRule="auto"/>
      </w:pPr>
      <m:oMathPara>
        <m:oMathParaPr>
          <m:jc m:val="center"/>
        </m:oMathParaPr>
        <m:oMath>
          <m:sSub>
            <m:e>
              <m:acc>
                <m:accPr>
                  <m:chr m:val="̂"/>
                </m:accPr>
                <m:e>
                  <m:r>
                    <m:t>M</m:t>
                  </m:r>
                </m:e>
              </m:acc>
            </m:e>
            <m:sub>
              <m:r>
                <m:t>t</m:t>
              </m:r>
            </m:sub>
          </m:sSub>
          <m:r>
            <m:rPr>
              <m:sty m:val="p"/>
            </m:rPr>
            <m:t>=</m:t>
          </m:r>
          <m:f>
            <m:fPr>
              <m:type m:val="bar"/>
            </m:fPr>
            <m:num>
              <m:r>
                <m:t>1</m:t>
              </m:r>
              <m:r>
                <m:rPr>
                  <m:sty m:val="p"/>
                </m:rPr>
                <m:t>−</m:t>
              </m:r>
              <m:sSub>
                <m:e>
                  <m:r>
                    <m:t>w</m:t>
                  </m:r>
                </m:e>
                <m:sub>
                  <m:r>
                    <m:t>t</m:t>
                  </m:r>
                </m:sub>
              </m:sSub>
            </m:num>
            <m:den>
              <m:r>
                <m:t>1</m:t>
              </m:r>
              <m:r>
                <m:rPr>
                  <m:sty m:val="p"/>
                </m:rPr>
                <m:t>−</m:t>
              </m:r>
              <m:r>
                <m:t>w</m:t>
              </m:r>
            </m:den>
          </m:f>
          <m:sSub>
            <m:e>
              <m:r>
                <m:t>M</m:t>
              </m:r>
            </m:e>
            <m:sub>
              <m:r>
                <m:t>t</m:t>
              </m:r>
            </m:sub>
          </m:sSub>
          <m:r>
            <m:rPr>
              <m:sty m:val="p"/>
            </m:rPr>
            <m:t>+</m:t>
          </m:r>
          <m:f>
            <m:fPr>
              <m:type m:val="bar"/>
            </m:fPr>
            <m:num>
              <m:sSub>
                <m:e>
                  <m:r>
                    <m:t>w</m:t>
                  </m:r>
                </m:e>
                <m:sub>
                  <m:r>
                    <m:t>t</m:t>
                  </m:r>
                </m:sub>
              </m:sSub>
              <m:r>
                <m:rPr>
                  <m:sty m:val="p"/>
                </m:rPr>
                <m:t>−</m:t>
              </m:r>
              <m:r>
                <m:t>w</m:t>
              </m:r>
            </m:num>
            <m:den>
              <m:r>
                <m:t>1</m:t>
              </m:r>
              <m:r>
                <m:rPr>
                  <m:sty m:val="p"/>
                </m:rPr>
                <m:t>−</m:t>
              </m:r>
              <m:r>
                <m:t>w</m:t>
              </m:r>
            </m:den>
          </m:f>
          <m:sSub>
            <m:e>
              <m:r>
                <m:t>A</m:t>
              </m:r>
            </m:e>
            <m:sub>
              <m:r>
                <m:t>t</m:t>
              </m:r>
            </m:sub>
          </m:sSub>
          <m:r>
            <m:rPr>
              <m:sty m:val="p"/>
            </m:rPr>
            <m:t>,</m:t>
          </m:r>
          <m:r>
            <m:t>  </m:t>
          </m:r>
          <m:d>
            <m:dPr>
              <m:begChr m:val="("/>
              <m:endChr m:val=")"/>
              <m:sepChr m:val=""/>
              <m:grow/>
            </m:dPr>
            <m:e>
              <m:r>
                <m:t>12</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so large-cap returns leak into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 proportion to the weight error w</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VN30 are disjoint only at the exact weight. With a single factsheet snapshot we cannot rebuild the weight path, so each bootstrap replicate draws w from U(0.60, 0.75), allowing drift in either direction, and recomputes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every statistic. Table S2 evaluates each quantity on a weight grid. The benchmark and sensitivity depend on the data only through κ and are less exposed to weight error than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w:t>
      </w:r>
    </w:p>
    <w:p>
      <w:pPr>
        <w:pStyle w:val="heading20"/>
        <w:numPr>
          <w:ilvl w:val="0"/>
          <w:numId w:val="0"/>
        </w:numPr>
      </w:pPr>
      <w:r>
        <w:rPr>
          <w:rFonts w:ascii="Times New Roman" w:hAnsi="Times New Roman" w:cs="Times New Roman" w:eastAsia="Times New Roman"/>
          <w:b/>
          <w:sz w:val="24"/>
          <w:szCs w:val="24"/>
        </w:rPr>
        <w:t xml:space="preserve">4.4 Reliability thresholds and inference</w:t>
      </w:r>
    </w:p>
    <w:p>
      <w:pPr>
        <w:pStyle w:val="p1a"/>
        <w:spacing w:before="0" w:after="120" w:line="300" w:lineRule="auto"/>
        <w:jc w:val="both"/>
      </w:pPr>
      <w:r>
        <w:rPr>
          <w:rFonts w:ascii="Times New Roman" w:hAnsi="Times New Roman" w:cs="Times New Roman" w:eastAsia="Times New Roman"/>
          <w:sz w:val="24"/>
          <w:szCs w:val="24"/>
        </w:rPr>
        <w:t xml:space="preserve">The DCCA coefficient becomes noisy at large scales, where the boxes are few. For each sample size, we simulate Gaussian white-noise pairs with correlations of −0.3, 0, 0.3, 0.5, 0.7, and 0.9 (1,002 per frequency) and set s</w:t>
      </w:r>
      <w:r>
        <w:rPr>
          <w:rFonts w:ascii="Times New Roman" w:hAnsi="Times New Roman" w:cs="Times New Roman" w:eastAsia="Times New Roman"/>
          <w:vertAlign w:val="subscript"/>
          <w:sz w:val="24"/>
          <w:szCs w:val="24"/>
        </w:rPr>
        <w:t xml:space="preserve">rel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to the largest scale before the worst-case mean absolute error on 40 log-spaced scales first exceeds 0.05. We fixed the grid and tolerance in advance. A GARCH(1,1)-t(5) calibration (generalized autoregressive conditional heteroscedasticity with Student-t errors; 300 simulations) checks heavy tails.</w:t>
      </w:r>
    </w:p>
    <w:p>
      <w:pPr>
        <w:pStyle w:val="BodyText"/>
        <w:spacing w:before="0" w:after="120" w:line="300" w:lineRule="auto"/>
        <w:jc w:val="both"/>
      </w:pPr>
      <w:r>
        <w:rPr>
          <w:rFonts w:ascii="Times New Roman" w:hAnsi="Times New Roman" w:cs="Times New Roman" w:eastAsia="Times New Roman"/>
          <w:sz w:val="24"/>
          <w:szCs w:val="24"/>
        </w:rPr>
        <w:t xml:space="preserve">Because the coefficients at different scales come from the same series, all inference uses the stationary block bootstrap (Politis and Romano, 1994) with mean blocks of approximately 20 trading days, recomputing every curve and statistic in each replicate. We use 499 replicates for the DCCA statistics in Tables 4–6 and for the decomposition, hedge-effectiveness, and tail-dependence statistics; 399 for the like-for-like gap under weight uncertainty; 199 for the trimmed-bar checks of Section 5.4 and Tables S7 and S15 and the 30-minute block-length checks of Table S6; and 999 for the factor-model, lead–lag, and materiality (Table S14) statistics and for the Forbes–Rigobon tests under VN30 quartiles, across weights, and with 2021 added. The remaining Forbes–Rigobon and relative-error statistics use 1,999 replicates.</w:t>
      </w:r>
    </w:p>
    <w:p>
      <w:pPr>
        <w:pStyle w:val="BodyText"/>
        <w:spacing w:before="0" w:after="120" w:line="300" w:lineRule="auto"/>
        <w:jc w:val="both"/>
      </w:pPr>
      <w:r>
        <w:rPr>
          <w:rFonts w:ascii="Times New Roman" w:hAnsi="Times New Roman" w:cs="Times New Roman" w:eastAsia="Times New Roman"/>
          <w:sz w:val="24"/>
          <w:szCs w:val="24"/>
        </w:rPr>
        <w:t xml:space="preserve">Intervals are 95% percentile intervals, capped at ±1 for correlations. With B = 499 replicates, percentile p-values cannot fall below 0.004 (reported as p &lt; 0.005): p = 2 min{k₋ + 1, k₊ + 1}/(B + 1), where k₋ and k₊ count replicates at or below and at or above zero. With 19 tests, the smallest attainable Holm-adjusted value is 0.076. One-sided Forbes–Rigobon p-values use the re-centered bootstrap distribution, and p-values for Δβ and the residual-variance ratio are studentized. Because of the resolution limit, slope tests also use studentized p-values, 2Φ(−|β̂|/se</w:t>
      </w:r>
      <w:r>
        <w:rPr>
          <w:rFonts w:ascii="Times New Roman" w:hAnsi="Times New Roman" w:cs="Times New Roman" w:eastAsia="Times New Roman"/>
          <w:vertAlign w:val="subscript"/>
          <w:sz w:val="24"/>
          <w:szCs w:val="24"/>
        </w:rPr>
        <w:t xml:space="preserve">boot</w:t>
      </w:r>
      <w:r>
        <w:rPr>
          <w:rFonts w:ascii="Times New Roman" w:hAnsi="Times New Roman" w:cs="Times New Roman" w:eastAsia="Times New Roman"/>
          <w:sz w:val="24"/>
          <w:szCs w:val="24"/>
        </w:rPr>
        <w:t xml:space="preserve">), adjusted by the Holm (1979) and Benjamini and Hochberg (1995) procedures in two families: the original 19 reliable-range tests and the eight broad-market tests of H</w:t>
      </w:r>
      <w:r>
        <w:rPr>
          <w:rFonts w:ascii="Times New Roman" w:hAnsi="Times New Roman" w:cs="Times New Roman" w:eastAsia="Times New Roman"/>
          <w:vertAlign w:val="subscript"/>
          <w:sz w:val="24"/>
          <w:szCs w:val="24"/>
        </w:rPr>
        <w:t xml:space="preserve">2</w:t>
      </w:r>
      <w:r>
        <w:rPr>
          <w:rFonts w:ascii="Times New Roman" w:hAnsi="Times New Roman" w:cs="Times New Roman" w:eastAsia="Times New Roman"/>
          <w:sz w:val="24"/>
          <w:szCs w:val="24"/>
        </w:rPr>
        <w:t xml:space="preserve">. We test equivalence of the VN30–VN100 slope to zero with two one-sided tests (TOST; Schuirmann, 1987) and a margin of 0.001 per unit of ln s. Over the 4.5 units of the M30 reliable range, such a slope moves the coefficient by less than a tenth of the 0.05 tolerance.</w:t>
      </w:r>
    </w:p>
    <w:p>
      <w:pPr>
        <w:pStyle w:val="heading20"/>
        <w:numPr>
          <w:ilvl w:val="0"/>
          <w:numId w:val="0"/>
        </w:numPr>
      </w:pPr>
      <w:r>
        <w:rPr>
          <w:rFonts w:ascii="Times New Roman" w:hAnsi="Times New Roman" w:cs="Times New Roman" w:eastAsia="Times New Roman"/>
          <w:b/>
          <w:sz w:val="24"/>
          <w:szCs w:val="24"/>
        </w:rPr>
        <w:t xml:space="preserve">4.5 Scaling regressions and slope channels</w:t>
      </w:r>
    </w:p>
    <w:p>
      <w:pPr>
        <w:pStyle w:val="p1a"/>
        <w:spacing w:before="0" w:after="120" w:line="300" w:lineRule="auto"/>
        <w:jc w:val="both"/>
      </w:pPr>
      <w:r>
        <w:rPr>
          <w:rFonts w:ascii="Times New Roman" w:hAnsi="Times New Roman" w:cs="Times New Roman" w:eastAsia="Times New Roman"/>
          <w:sz w:val="24"/>
          <w:szCs w:val="24"/>
        </w:rPr>
        <w:t xml:space="preserve">We measure horizon dependence by the slope β of</w:t>
      </w:r>
    </w:p>
    <w:p>
      <w:pPr>
        <w:pStyle w:val="BodyText"/>
        <w:spacing w:before="0" w:after="120" w:line="300" w:lineRule="auto"/>
      </w:pPr>
      <m:oMathPara>
        <m:oMathParaPr>
          <m:jc m:val="center"/>
        </m:oMathParaPr>
        <m:oMath>
          <m:sSub>
            <m:e>
              <m:r>
                <m:t>ρ</m:t>
              </m:r>
            </m:e>
            <m:sub>
              <m:r>
                <m:t>X</m:t>
              </m:r>
              <m:r>
                <m:t>Y</m:t>
              </m:r>
            </m:sub>
          </m:sSub>
          <m:d>
            <m:dPr>
              <m:begChr m:val="("/>
              <m:endChr m:val=")"/>
              <m:sepChr m:val=""/>
              <m:grow/>
            </m:dPr>
            <m:e>
              <m:r>
                <m:t>s</m:t>
              </m:r>
            </m:e>
          </m:d>
          <m:r>
            <m:rPr>
              <m:sty m:val="p"/>
            </m:rPr>
            <m:t>=</m:t>
          </m:r>
          <m:r>
            <m:t>α</m:t>
          </m:r>
          <m:r>
            <m:rPr>
              <m:sty m:val="p"/>
            </m:rPr>
            <m:t>+</m:t>
          </m:r>
          <m:r>
            <m:t>β</m:t>
          </m:r>
          <m:r>
            <m:rPr>
              <m:sty m:val="p"/>
            </m:rPr>
            <m:t>ln</m:t>
          </m:r>
          <m:r>
            <m:t>s</m:t>
          </m:r>
          <m:r>
            <m:rPr>
              <m:sty m:val="p"/>
            </m:rPr>
            <m:t>+</m:t>
          </m:r>
          <m:r>
            <m:t>u</m:t>
          </m:r>
          <m:d>
            <m:dPr>
              <m:begChr m:val="("/>
              <m:endChr m:val=")"/>
              <m:sepChr m:val=""/>
              <m:grow/>
            </m:dPr>
            <m:e>
              <m:r>
                <m:t>s</m:t>
              </m:r>
            </m:e>
          </m:d>
          <m:r>
            <m:rPr>
              <m:sty m:val="p"/>
            </m:rPr>
            <m:t>,</m:t>
          </m:r>
          <m:r>
            <m:t>  </m:t>
          </m:r>
          <m:d>
            <m:dPr>
              <m:begChr m:val="("/>
              <m:endChr m:val=")"/>
              <m:sepChr m:val=""/>
              <m:grow/>
            </m:dPr>
            <m:e>
              <m:r>
                <m:t>13</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over s ≤ s</w:t>
      </w:r>
      <w:r>
        <w:rPr>
          <w:rFonts w:ascii="Times New Roman" w:hAnsi="Times New Roman" w:cs="Times New Roman" w:eastAsia="Times New Roman"/>
          <w:vertAlign w:val="subscript"/>
          <w:sz w:val="24"/>
          <w:szCs w:val="24"/>
        </w:rPr>
        <w:t xml:space="preserve">rel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(full-range slopes in Table S1). For the nested pair, Eq. (7) splits the slope into a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channel and a κ channel,</w:t>
      </w:r>
    </w:p>
    <w:p>
      <w:pPr>
        <w:pStyle w:val="BodyText"/>
        <w:spacing w:before="0" w:after="120" w:line="300" w:lineRule="auto"/>
      </w:pPr>
      <m:oMathPara>
        <m:oMathParaPr>
          <m:jc m:val="center"/>
        </m:oMathParaPr>
        <m:oMath>
          <m:f>
            <m:fPr>
              <m:type m:val="bar"/>
            </m:fPr>
            <m:num>
              <m:r>
                <m:t>d</m:t>
              </m:r>
              <m:sSub>
                <m:e>
                  <m:r>
                    <m:t>ρ</m:t>
                  </m:r>
                </m:e>
                <m:sub>
                  <m:r>
                    <m:t>A</m:t>
                  </m:r>
                  <m:r>
                    <m:t>B</m:t>
                  </m:r>
                </m:sub>
              </m:sSub>
            </m:num>
            <m:den>
              <m:r>
                <m:t>d</m:t>
              </m:r>
              <m:r>
                <m:rPr>
                  <m:sty m:val="p"/>
                </m:rPr>
                <m:t>ln</m:t>
              </m:r>
              <m:r>
                <m:t>s</m:t>
              </m:r>
            </m:den>
          </m:f>
          <m:r>
            <m:rPr>
              <m:sty m:val="p"/>
            </m:rPr>
            <m:t>=</m:t>
          </m:r>
          <m:f>
            <m:fPr>
              <m:type m:val="bar"/>
            </m:fPr>
            <m:num>
              <m:r>
                <m:rPr>
                  <m:sty m:val="p"/>
                </m:rPr>
                <m:t>∂</m:t>
              </m:r>
              <m:sSub>
                <m:e>
                  <m:r>
                    <m:t>ρ</m:t>
                  </m:r>
                </m:e>
                <m:sub>
                  <m:r>
                    <m:t>A</m:t>
                  </m:r>
                  <m:r>
                    <m:t>B</m:t>
                  </m:r>
                </m:sub>
              </m:sSub>
            </m:num>
            <m:den>
              <m:r>
                <m:rPr>
                  <m:sty m:val="p"/>
                </m:rPr>
                <m:t>∂</m:t>
              </m:r>
              <m:sSub>
                <m:e>
                  <m:r>
                    <m:t>ρ</m:t>
                  </m:r>
                </m:e>
                <m:sub>
                  <m:r>
                    <m:t>A</m:t>
                  </m:r>
                  <m:r>
                    <m:t>M</m:t>
                  </m:r>
                </m:sub>
              </m:sSub>
            </m:den>
          </m:f>
          <m:f>
            <m:fPr>
              <m:type m:val="bar"/>
            </m:fPr>
            <m:num>
              <m:r>
                <m:t>d</m:t>
              </m:r>
              <m:sSub>
                <m:e>
                  <m:r>
                    <m:t>ρ</m:t>
                  </m:r>
                </m:e>
                <m:sub>
                  <m:r>
                    <m:t>A</m:t>
                  </m:r>
                  <m:r>
                    <m:t>M</m:t>
                  </m:r>
                </m:sub>
              </m:sSub>
            </m:num>
            <m:den>
              <m:r>
                <m:t>d</m:t>
              </m:r>
              <m:r>
                <m:rPr>
                  <m:sty m:val="p"/>
                </m:rPr>
                <m:t>ln</m:t>
              </m:r>
              <m:r>
                <m:t>s</m:t>
              </m:r>
            </m:den>
          </m:f>
          <m:r>
            <m:rPr>
              <m:sty m:val="p"/>
            </m:rPr>
            <m:t>+</m:t>
          </m:r>
          <m:f>
            <m:fPr>
              <m:type m:val="bar"/>
            </m:fPr>
            <m:num>
              <m:r>
                <m:rPr>
                  <m:sty m:val="p"/>
                </m:rPr>
                <m:t>∂</m:t>
              </m:r>
              <m:sSub>
                <m:e>
                  <m:r>
                    <m:t>ρ</m:t>
                  </m:r>
                </m:e>
                <m:sub>
                  <m:r>
                    <m:t>A</m:t>
                  </m:r>
                  <m:r>
                    <m:t>B</m:t>
                  </m:r>
                </m:sub>
              </m:sSub>
            </m:num>
            <m:den>
              <m:r>
                <m:rPr>
                  <m:sty m:val="p"/>
                </m:rPr>
                <m:t>∂</m:t>
              </m:r>
              <m:r>
                <m:t>κ</m:t>
              </m:r>
            </m:den>
          </m:f>
          <m:f>
            <m:fPr>
              <m:type m:val="bar"/>
            </m:fPr>
            <m:num>
              <m:r>
                <m:t>d</m:t>
              </m:r>
              <m:r>
                <m:t>κ</m:t>
              </m:r>
            </m:num>
            <m:den>
              <m:r>
                <m:t>d</m:t>
              </m:r>
              <m:r>
                <m:rPr>
                  <m:sty m:val="p"/>
                </m:rPr>
                <m:t>ln</m:t>
              </m:r>
              <m:r>
                <m:t>s</m:t>
              </m:r>
            </m:den>
          </m:f>
          <m:r>
            <m:rPr>
              <m:sty m:val="p"/>
            </m:rPr>
            <m:t>,</m:t>
          </m:r>
          <m:r>
            <m:t>  </m:t>
          </m:r>
          <m:f>
            <m:fPr>
              <m:type m:val="bar"/>
            </m:fPr>
            <m:num>
              <m:r>
                <m:rPr>
                  <m:sty m:val="p"/>
                </m:rPr>
                <m:t>∂</m:t>
              </m:r>
              <m:sSub>
                <m:e>
                  <m:r>
                    <m:t>ρ</m:t>
                  </m:r>
                </m:e>
                <m:sub>
                  <m:r>
                    <m:t>A</m:t>
                  </m:r>
                  <m:r>
                    <m:t>B</m:t>
                  </m:r>
                </m:sub>
              </m:sSub>
            </m:num>
            <m:den>
              <m:r>
                <m:rPr>
                  <m:sty m:val="p"/>
                </m:rPr>
                <m:t>∂</m:t>
              </m:r>
              <m:r>
                <m:t>κ</m:t>
              </m:r>
            </m:den>
          </m:f>
          <m:r>
            <m:rPr>
              <m:sty m:val="p"/>
            </m:rPr>
            <m:t>=</m:t>
          </m:r>
          <m:r>
            <m:rPr>
              <m:sty m:val="p"/>
            </m:rPr>
            <m:t>−</m:t>
          </m:r>
          <m:f>
            <m:fPr>
              <m:type m:val="bar"/>
            </m:fPr>
            <m:num>
              <m:r>
                <m:t>κ</m:t>
              </m:r>
              <m:d>
                <m:dPr>
                  <m:begChr m:val="("/>
                  <m:endChr m:val=")"/>
                  <m:sepChr m:val=""/>
                  <m:grow/>
                </m:dPr>
                <m:e>
                  <m:r>
                    <m:t>1</m:t>
                  </m:r>
                  <m:r>
                    <m:rPr>
                      <m:sty m:val="p"/>
                    </m:rPr>
                    <m:t>−</m:t>
                  </m:r>
                  <m:sSubSup>
                    <m:e>
                      <m:r>
                        <m:t>ρ</m:t>
                      </m:r>
                    </m:e>
                    <m:sub>
                      <m:r>
                        <m:t>A</m:t>
                      </m:r>
                      <m:r>
                        <m:t>M</m:t>
                      </m:r>
                    </m:sub>
                    <m:sup>
                      <m:r>
                        <m:t>2</m:t>
                      </m:r>
                    </m:sup>
                  </m:sSubSup>
                </m:e>
              </m:d>
            </m:num>
            <m:den>
              <m:sSup>
                <m:e>
                  <m:d>
                    <m:dPr>
                      <m:begChr m:val="("/>
                      <m:endChr m:val=")"/>
                      <m:sepChr m:val=""/>
                      <m:grow/>
                    </m:dPr>
                    <m:e>
                      <m:r>
                        <m:t>1</m:t>
                      </m:r>
                      <m:r>
                        <m:rPr>
                          <m:sty m:val="p"/>
                        </m:rPr>
                        <m:t>+</m:t>
                      </m:r>
                      <m:sSup>
                        <m:e>
                          <m:r>
                            <m:t>κ</m:t>
                          </m:r>
                        </m:e>
                        <m:sup>
                          <m:r>
                            <m:t>2</m:t>
                          </m:r>
                        </m:sup>
                      </m:sSup>
                      <m:r>
                        <m:rPr>
                          <m:sty m:val="p"/>
                        </m:rPr>
                        <m:t>+</m:t>
                      </m:r>
                      <m:r>
                        <m:t>2</m:t>
                      </m:r>
                      <m:r>
                        <m:t>κ</m:t>
                      </m:r>
                      <m:sSub>
                        <m:e>
                          <m:r>
                            <m:t>ρ</m:t>
                          </m:r>
                        </m:e>
                        <m:sub>
                          <m:r>
                            <m:t>A</m:t>
                          </m:r>
                          <m:r>
                            <m:t>M</m:t>
                          </m:r>
                        </m:sub>
                      </m:sSub>
                    </m:e>
                  </m:d>
                </m:e>
                <m:sup>
                  <m:r>
                    <m:t>3</m:t>
                  </m:r>
                  <m:r>
                    <m:rPr>
                      <m:sty m:val="p"/>
                    </m:rPr>
                    <m:t>/</m:t>
                  </m:r>
                  <m:r>
                    <m:t>2</m:t>
                  </m:r>
                </m:sup>
              </m:sSup>
            </m:den>
          </m:f>
          <m:r>
            <m:rPr>
              <m:sty m:val="p"/>
            </m:rPr>
            <m:t>,</m:t>
          </m:r>
          <m:r>
            <m:t>  </m:t>
          </m:r>
          <m:d>
            <m:dPr>
              <m:begChr m:val="("/>
              <m:endChr m:val=")"/>
              <m:sepChr m:val=""/>
              <m:grow/>
            </m:dPr>
            <m:e>
              <m:r>
                <m:t>14</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so horizon dependence in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reaches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damped by the sensitivity of Eq. (10).</w:t>
      </w:r>
    </w:p>
    <w:p>
      <w:pPr>
        <w:pStyle w:val="heading20"/>
        <w:numPr>
          <w:ilvl w:val="0"/>
          <w:numId w:val="0"/>
        </w:numPr>
      </w:pPr>
      <w:r>
        <w:rPr>
          <w:rFonts w:ascii="Times New Roman" w:hAnsi="Times New Roman" w:cs="Times New Roman" w:eastAsia="Times New Roman"/>
          <w:b/>
          <w:sz w:val="24"/>
          <w:szCs w:val="24"/>
        </w:rPr>
        <w:t xml:space="preserve">4.6 Volatility conditioning and contagion tests</w:t>
      </w:r>
    </w:p>
    <w:p>
      <w:pPr>
        <w:pStyle w:val="p1a"/>
        <w:spacing w:before="0" w:after="120" w:line="300" w:lineRule="auto"/>
        <w:jc w:val="both"/>
      </w:pPr>
      <w:r>
        <w:rPr>
          <w:rFonts w:ascii="Times New Roman" w:hAnsi="Times New Roman" w:cs="Times New Roman" w:eastAsia="Times New Roman"/>
          <w:sz w:val="24"/>
          <w:szCs w:val="24"/>
        </w:rPr>
        <w:t xml:space="preserve">If y</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α + βx</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ε</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Var(ε</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the correlation [1 +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/(β²σ²</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w:t>
      </w:r>
      <w:r>
        <w:rPr>
          <w:rFonts w:ascii="Times New Roman" w:hAnsi="Times New Roman" w:cs="Times New Roman" w:eastAsia="Times New Roman"/>
          <w:vertAlign w:val="superscript"/>
          <w:sz w:val="24"/>
          <w:szCs w:val="24"/>
        </w:rPr>
        <w:t xml:space="preserve">−1/2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increases with the variance of x even when β and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are constant. Forbes and Rigobon (2002) adjust the crisis correlation as</w:t>
      </w:r>
    </w:p>
    <w:p>
      <w:pPr>
        <w:pStyle w:val="BodyText"/>
        <w:spacing w:before="0" w:after="120" w:line="300" w:lineRule="auto"/>
      </w:pPr>
      <m:oMathPara>
        <m:oMathParaPr>
          <m:jc m:val="center"/>
        </m:oMathParaPr>
        <m:oMath>
          <m:sSup>
            <m:e>
              <m:r>
                <m:t>ρ</m:t>
              </m:r>
            </m:e>
            <m:sup>
              <m:r>
                <m:rPr>
                  <m:sty m:val="p"/>
                </m:rPr>
                <m:t>*</m:t>
              </m:r>
            </m:sup>
          </m:sSup>
          <m:r>
            <m:rPr>
              <m:sty m:val="p"/>
            </m:rPr>
            <m:t>=</m:t>
          </m:r>
          <m:f>
            <m:fPr>
              <m:type m:val="bar"/>
            </m:fPr>
            <m:num>
              <m:sSub>
                <m:e>
                  <m:r>
                    <m:t>ρ</m:t>
                  </m:r>
                </m:e>
                <m:sub>
                  <m:r>
                    <m:rPr>
                      <m:sty m:val="p"/>
                    </m:rPr>
                    <m:t>h</m:t>
                  </m:r>
                  <m:r>
                    <m:rPr>
                      <m:sty m:val="p"/>
                    </m:rPr>
                    <m:t>i</m:t>
                  </m:r>
                  <m:r>
                    <m:rPr>
                      <m:sty m:val="p"/>
                    </m:rPr>
                    <m:t>g</m:t>
                  </m:r>
                  <m:r>
                    <m:rPr>
                      <m:sty m:val="p"/>
                    </m:rPr>
                    <m:t>h</m:t>
                  </m:r>
                </m:sub>
              </m:sSub>
            </m:num>
            <m:den>
              <m:rad>
                <m:radPr>
                  <m:degHide m:val="on"/>
                </m:radPr>
                <m:deg/>
                <m:e>
                  <m:r>
                    <m:t>1</m:t>
                  </m:r>
                  <m:r>
                    <m:rPr>
                      <m:sty m:val="p"/>
                    </m:rPr>
                    <m:t>+</m:t>
                  </m:r>
                  <m:r>
                    <m:t>δ</m:t>
                  </m:r>
                  <m:r>
                    <m:t> </m:t>
                  </m:r>
                  <m:d>
                    <m:dPr>
                      <m:begChr m:val="("/>
                      <m:endChr m:val=")"/>
                      <m:sepChr m:val=""/>
                      <m:grow/>
                    </m:dPr>
                    <m:e>
                      <m:r>
                        <m:t>1</m:t>
                      </m:r>
                      <m:r>
                        <m:rPr>
                          <m:sty m:val="p"/>
                        </m:rPr>
                        <m:t>−</m:t>
                      </m:r>
                      <m:sSubSup>
                        <m:e>
                          <m:r>
                            <m:t>ρ</m:t>
                          </m:r>
                        </m:e>
                        <m:sub>
                          <m:r>
                            <m:rPr>
                              <m:sty m:val="p"/>
                            </m:rPr>
                            <m:t>h</m:t>
                          </m:r>
                          <m:r>
                            <m:rPr>
                              <m:sty m:val="p"/>
                            </m:rPr>
                            <m:t>i</m:t>
                          </m:r>
                          <m:r>
                            <m:rPr>
                              <m:sty m:val="p"/>
                            </m:rPr>
                            <m:t>g</m:t>
                          </m:r>
                          <m:r>
                            <m:rPr>
                              <m:sty m:val="p"/>
                            </m:rPr>
                            <m:t>h</m:t>
                          </m:r>
                        </m:sub>
                        <m:sup>
                          <m:r>
                            <m:t>2</m:t>
                          </m:r>
                        </m:sup>
                      </m:sSubSup>
                    </m:e>
                  </m:d>
                </m:e>
              </m:rad>
            </m:den>
          </m:f>
          <m:r>
            <m:rPr>
              <m:sty m:val="p"/>
            </m:rPr>
            <m:t>,</m:t>
          </m:r>
          <m:r>
            <m:t>  </m:t>
          </m:r>
          <m:r>
            <m:t>δ</m:t>
          </m:r>
          <m:r>
            <m:rPr>
              <m:sty m:val="p"/>
            </m:rPr>
            <m:t>=</m:t>
          </m:r>
          <m:f>
            <m:fPr>
              <m:type m:val="bar"/>
            </m:fPr>
            <m:num>
              <m:sSubSup>
                <m:e>
                  <m:r>
                    <m:t>σ</m:t>
                  </m:r>
                </m:e>
                <m:sub>
                  <m:r>
                    <m:t>x</m:t>
                  </m:r>
                  <m:r>
                    <m:rPr>
                      <m:sty m:val="p"/>
                    </m:rPr>
                    <m:t>,</m:t>
                  </m:r>
                  <m:r>
                    <m:rPr>
                      <m:sty m:val="p"/>
                    </m:rPr>
                    <m:t>h</m:t>
                  </m:r>
                  <m:r>
                    <m:rPr>
                      <m:sty m:val="p"/>
                    </m:rPr>
                    <m:t>i</m:t>
                  </m:r>
                  <m:r>
                    <m:rPr>
                      <m:sty m:val="p"/>
                    </m:rPr>
                    <m:t>g</m:t>
                  </m:r>
                  <m:r>
                    <m:rPr>
                      <m:sty m:val="p"/>
                    </m:rPr>
                    <m:t>h</m:t>
                  </m:r>
                </m:sub>
                <m:sup>
                  <m:r>
                    <m:t>2</m:t>
                  </m:r>
                </m:sup>
              </m:sSubSup>
              <m:r>
                <m:rPr>
                  <m:sty m:val="p"/>
                </m:rPr>
                <m:t>−</m:t>
              </m:r>
              <m:sSubSup>
                <m:e>
                  <m:r>
                    <m:t>σ</m:t>
                  </m:r>
                </m:e>
                <m:sub>
                  <m:r>
                    <m:t>x</m:t>
                  </m:r>
                  <m:r>
                    <m:rPr>
                      <m:sty m:val="p"/>
                    </m:rPr>
                    <m:t>,</m:t>
                  </m:r>
                  <m:r>
                    <m:rPr>
                      <m:sty m:val="p"/>
                    </m:rPr>
                    <m:t>l</m:t>
                  </m:r>
                  <m:r>
                    <m:rPr>
                      <m:sty m:val="p"/>
                    </m:rPr>
                    <m:t>o</m:t>
                  </m:r>
                  <m:r>
                    <m:rPr>
                      <m:sty m:val="p"/>
                    </m:rPr>
                    <m:t>w</m:t>
                  </m:r>
                </m:sub>
                <m:sup>
                  <m:r>
                    <m:t>2</m:t>
                  </m:r>
                </m:sup>
              </m:sSubSup>
            </m:num>
            <m:den>
              <m:sSubSup>
                <m:e>
                  <m:r>
                    <m:t>σ</m:t>
                  </m:r>
                </m:e>
                <m:sub>
                  <m:r>
                    <m:t>x</m:t>
                  </m:r>
                  <m:r>
                    <m:rPr>
                      <m:sty m:val="p"/>
                    </m:rPr>
                    <m:t>,</m:t>
                  </m:r>
                  <m:r>
                    <m:rPr>
                      <m:sty m:val="p"/>
                    </m:rPr>
                    <m:t>l</m:t>
                  </m:r>
                  <m:r>
                    <m:rPr>
                      <m:sty m:val="p"/>
                    </m:rPr>
                    <m:t>o</m:t>
                  </m:r>
                  <m:r>
                    <m:rPr>
                      <m:sty m:val="p"/>
                    </m:rPr>
                    <m:t>w</m:t>
                  </m:r>
                </m:sub>
                <m:sup>
                  <m:r>
                    <m:t>2</m:t>
                  </m:r>
                </m:sup>
              </m:sSubSup>
            </m:den>
          </m:f>
          <m:r>
            <m:rPr>
              <m:sty m:val="p"/>
            </m:rPr>
            <m:t>,</m:t>
          </m:r>
          <m:r>
            <m:t>  </m:t>
          </m:r>
          <m:d>
            <m:dPr>
              <m:begChr m:val="("/>
              <m:endChr m:val=")"/>
              <m:sepChr m:val=""/>
              <m:grow/>
            </m:dPr>
            <m:e>
              <m:r>
                <m:t>15</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y =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x = VN30. The adjustment assumes constant β and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if crises raise idiosyncratic variance, ρ* is biased toward no contagion (Corsetti et al., 2005). We therefore also test, regime by regime, for changes in the residual variance and in the loading β; a change in β is contagion in their sense, and β is the structural parameter of Rigobon (2003). Regimes are chronological episodes, VNINDEX volatility quartiles, or VN30 volatility quartiles; the last sorts on the conditioning variable rather than on a series containing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The statistics are Pearson moments of daily returns, bootstrapped within regimes. We do not test nested pairs because the parent contains the conditioning index.</w:t>
      </w:r>
    </w:p>
    <w:p>
      <w:pPr>
        <w:pStyle w:val="heading20"/>
        <w:numPr>
          <w:ilvl w:val="0"/>
          <w:numId w:val="0"/>
        </w:numPr>
      </w:pPr>
      <w:r>
        <w:rPr>
          <w:rFonts w:ascii="Times New Roman" w:hAnsi="Times New Roman" w:cs="Times New Roman" w:eastAsia="Times New Roman"/>
          <w:b/>
          <w:sz w:val="24"/>
          <w:szCs w:val="24"/>
        </w:rPr>
        <w:t xml:space="preserve">4.7 Portfolio variance: in-sample misstatement and out-of-sample evaluation</w:t>
      </w:r>
    </w:p>
    <w:p>
      <w:pPr>
        <w:pStyle w:val="p1a"/>
        <w:spacing w:before="0" w:after="120" w:line="300" w:lineRule="auto"/>
        <w:jc w:val="both"/>
      </w:pPr>
      <w:r>
        <w:rPr>
          <w:rFonts w:ascii="Times New Roman" w:hAnsi="Times New Roman" w:cs="Times New Roman" w:eastAsia="Times New Roman"/>
          <w:sz w:val="24"/>
          <w:szCs w:val="24"/>
        </w:rPr>
        <w:t xml:space="preserve">For an equally weighted two-asset position, replacing the regime correlation ρ</w:t>
      </w:r>
      <w:r>
        <w:rPr>
          <w:rFonts w:ascii="Times New Roman" w:hAnsi="Times New Roman" w:cs="Times New Roman" w:eastAsia="Times New Roman"/>
          <w:vertAlign w:val="subscript"/>
          <w:sz w:val="24"/>
          <w:szCs w:val="24"/>
        </w:rPr>
        <w:t xml:space="preserv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by the static correlation ρ</w:t>
      </w:r>
      <w:r>
        <w:rPr>
          <w:rFonts w:ascii="Times New Roman" w:hAnsi="Times New Roman" w:cs="Times New Roman" w:eastAsia="Times New Roman"/>
          <w:vertAlign w:val="subscript"/>
          <w:sz w:val="24"/>
          <w:szCs w:val="24"/>
        </w:rPr>
        <w:t xml:space="preserv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changes the portfolio variance by the relative error (RE)</w:t>
      </w:r>
    </w:p>
    <w:p>
      <w:pPr>
        <w:pStyle w:val="BodyText"/>
        <w:spacing w:before="0" w:after="120" w:line="300" w:lineRule="auto"/>
      </w:pPr>
      <m:oMathPara>
        <m:oMathParaPr>
          <m:jc m:val="center"/>
        </m:oMathParaPr>
        <m:oMath>
          <m:r>
            <m:rPr>
              <m:sty m:val="p"/>
            </m:rPr>
            <m:t>R</m:t>
          </m:r>
          <m:r>
            <m:rPr>
              <m:sty m:val="p"/>
            </m:rPr>
            <m:t>E</m:t>
          </m:r>
          <m:r>
            <m:rPr>
              <m:sty m:val="p"/>
            </m:rPr>
            <m:t>=</m:t>
          </m:r>
          <m:f>
            <m:fPr>
              <m:type m:val="bar"/>
            </m:fPr>
            <m:num>
              <m:sSub>
                <m:e>
                  <m:r>
                    <m:t>ρ</m:t>
                  </m:r>
                </m:e>
                <m:sub>
                  <m:r>
                    <m:rPr>
                      <m:sty m:val="p"/>
                    </m:rPr>
                    <m:t>s</m:t>
                  </m:r>
                  <m:r>
                    <m:rPr>
                      <m:sty m:val="p"/>
                    </m:rPr>
                    <m:t>t</m:t>
                  </m:r>
                </m:sub>
              </m:sSub>
              <m:r>
                <m:rPr>
                  <m:sty m:val="p"/>
                </m:rPr>
                <m:t>−</m:t>
              </m:r>
              <m:sSub>
                <m:e>
                  <m:r>
                    <m:t>ρ</m:t>
                  </m:r>
                </m:e>
                <m:sub>
                  <m:r>
                    <m:t>r</m:t>
                  </m:r>
                </m:sub>
              </m:sSub>
            </m:num>
            <m:den>
              <m:f>
                <m:fPr>
                  <m:type m:val="lin"/>
                </m:fPr>
                <m:num>
                  <m:r>
                    <m:t>1</m:t>
                  </m:r>
                </m:num>
                <m:den>
                  <m:r>
                    <m:t>2</m:t>
                  </m:r>
                </m:den>
              </m:f>
              <m:d>
                <m:dPr>
                  <m:begChr m:val="("/>
                  <m:endChr m:val=")"/>
                  <m:sepChr m:val=""/>
                  <m:grow/>
                </m:dPr>
                <m:e>
                  <m:sSub>
                    <m:e>
                      <m:r>
                        <m:t>σ</m:t>
                      </m:r>
                    </m:e>
                    <m:sub>
                      <m:r>
                        <m:t>1</m:t>
                      </m:r>
                    </m:sub>
                  </m:sSub>
                  <m:r>
                    <m:rPr>
                      <m:sty m:val="p"/>
                    </m:rPr>
                    <m:t>/</m:t>
                  </m:r>
                  <m:sSub>
                    <m:e>
                      <m:r>
                        <m:t>σ</m:t>
                      </m:r>
                    </m:e>
                    <m:sub>
                      <m:r>
                        <m:t>2</m:t>
                      </m:r>
                    </m:sub>
                  </m:sSub>
                  <m:r>
                    <m:rPr>
                      <m:sty m:val="p"/>
                    </m:rPr>
                    <m:t>+</m:t>
                  </m:r>
                  <m:sSub>
                    <m:e>
                      <m:r>
                        <m:t>σ</m:t>
                      </m:r>
                    </m:e>
                    <m:sub>
                      <m:r>
                        <m:t>2</m:t>
                      </m:r>
                    </m:sub>
                  </m:sSub>
                  <m:r>
                    <m:rPr>
                      <m:sty m:val="p"/>
                    </m:rPr>
                    <m:t>/</m:t>
                  </m:r>
                  <m:sSub>
                    <m:e>
                      <m:r>
                        <m:t>σ</m:t>
                      </m:r>
                    </m:e>
                    <m:sub>
                      <m:r>
                        <m:t>1</m:t>
                      </m:r>
                    </m:sub>
                  </m:sSub>
                </m:e>
              </m:d>
              <m:r>
                <m:rPr>
                  <m:sty m:val="p"/>
                </m:rPr>
                <m:t>+</m:t>
              </m:r>
              <m:sSub>
                <m:e>
                  <m:r>
                    <m:t>ρ</m:t>
                  </m:r>
                </m:e>
                <m:sub>
                  <m:r>
                    <m:t>r</m:t>
                  </m:r>
                </m:sub>
              </m:sSub>
            </m:den>
          </m:f>
          <m:r>
            <m:rPr>
              <m:sty m:val="p"/>
            </m:rPr>
            <m:t>,</m:t>
          </m:r>
          <m:r>
            <m:t>  </m:t>
          </m:r>
          <m:d>
            <m:dPr>
              <m:begChr m:val="("/>
              <m:endChr m:val=")"/>
              <m:sepChr m:val=""/>
              <m:grow/>
            </m:dPr>
            <m:e>
              <m:r>
                <m:t>16</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regime volatilities σ₁ and σ₂, so only the correlation differs. We obtain intervals by jointly resampling the full sample and re-estimating ρ</w:t>
      </w:r>
      <w:r>
        <w:rPr>
          <w:rFonts w:ascii="Times New Roman" w:hAnsi="Times New Roman" w:cs="Times New Roman" w:eastAsia="Times New Roman"/>
          <w:vertAlign w:val="subscript"/>
          <w:sz w:val="24"/>
          <w:szCs w:val="24"/>
        </w:rPr>
        <w:t xml:space="preserve">st</w:t>
      </w:r>
      <w:r>
        <w:rPr>
          <w:rFonts w:ascii="Times New Roman" w:hAnsi="Times New Roman" w:cs="Times New Roman" w:eastAsia="Times New Roman"/>
          <w:sz w:val="24"/>
          <w:szCs w:val="24"/>
        </w:rPr>
        <w:t xml:space="preserve">, and compare |RE| with the bootstrap relative standard error of the regime variance. Because these regimes are ex post, we also estimate correlations for 2014–2022 and evaluate forecasts for 2023–2025. Forecasts share one-step-ahead RiskMetrics variances (λ = 0.94; J.P. Morgan/Reuters, 1996) and differ only in the correlation: static, EWMA with the same λ, or a regime correlation chosen in real time from lagged rolling volatility with thresholds fixed in the estimation window. Losses are QLIKE (Patton, 2011) and squared error, compared by the Diebold and Mariano (1995) test with a Newey and West (1987) variance (five lags).</w:t>
      </w:r>
    </w:p>
    <w:p>
      <w:pPr>
        <w:pStyle w:val="heading1"/>
        <w:numPr>
          <w:ilvl w:val="0"/>
          <w:numId w:val="0"/>
        </w:numPr>
      </w:pPr>
      <w:r>
        <w:rPr>
          <w:rFonts w:ascii="Times New Roman" w:hAnsi="Times New Roman" w:cs="Times New Roman" w:eastAsia="Times New Roman"/>
          <w:b/>
          <w:sz w:val="24"/>
          <w:szCs w:val="24"/>
        </w:rPr>
        <w:t xml:space="preserve">5 Results</w:t>
      </w:r>
    </w:p>
    <w:p>
      <w:pPr>
        <w:pStyle w:val="heading20"/>
        <w:numPr>
          <w:ilvl w:val="0"/>
          <w:numId w:val="0"/>
        </w:numPr>
      </w:pPr>
      <w:r>
        <w:rPr>
          <w:rFonts w:ascii="Times New Roman" w:hAnsi="Times New Roman" w:cs="Times New Roman" w:eastAsia="Times New Roman"/>
          <w:b/>
          <w:sz w:val="24"/>
          <w:szCs w:val="24"/>
        </w:rPr>
        <w:t xml:space="preserve">5.1 Summary statistics and reliability</w:t>
      </w:r>
    </w:p>
    <w:p>
      <w:pPr>
        <w:pStyle w:val="p1a"/>
        <w:spacing w:before="0" w:after="120" w:line="300" w:lineRule="auto"/>
        <w:jc w:val="both"/>
      </w:pPr>
      <w:r>
        <w:rPr>
          <w:rFonts w:ascii="Times New Roman" w:hAnsi="Times New Roman" w:cs="Times New Roman" w:eastAsia="Times New Roman"/>
          <w:sz w:val="24"/>
          <w:szCs w:val="24"/>
        </w:rPr>
        <w:t xml:space="preserve">Table 2 presents descriptive statistics and Table 3 presents reliability thresholds.</w:t>
      </w:r>
    </w:p>
    <w:p>
      <w:pPr>
        <w:pStyle w:val="tablecaption0"/>
      </w:pPr>
      <w:r>
        <w:rPr>
          <w:bCs/>
          <w:b/>
        </w:rPr>
        <w:t xml:space="preserve">Table 2</w:t>
      </w:r>
      <w:r>
        <w:t xml:space="preserve"> </w:t>
      </w:r>
      <w:r>
        <w:t xml:space="preserve">Descriptive statistics of log returns</w:t>
      </w:r>
    </w:p>
    <w:tbl>
      <w:tblPr>
        <w:tblStyle w:val="TableGrid"/>
        <w:tblW w:type="pct" w:w="5000"/>
        <w:tblLook w:firstRow="1" w:lastRow="0" w:firstColumn="0" w:lastColumn="0" w:noHBand="0" w:noVBand="0" w:val="0020"/>
        <w:jc w:val="start"/>
      </w:tblPr>
      <w:tblGrid>
        <w:gridCol w:w="1186"/>
        <w:gridCol w:w="929"/>
        <w:gridCol w:w="1057"/>
        <w:gridCol w:w="1057"/>
        <w:gridCol w:w="1444"/>
        <w:gridCol w:w="929"/>
        <w:gridCol w:w="929"/>
        <w:gridCol w:w="1830"/>
      </w:tblGrid>
      <w:tr>
        <w:trPr>
          <w:tblHeader w:val="true"/>
        </w:trPr>
        <w:tc>
          <w:tcPr>
            <w:tcW w:w="1186" w:type="dxa"/>
          </w:tcPr>
          <w:p>
            <w:pPr>
              <w:spacing w:before="0" w:after="0" w:line="240" w:lineRule="auto"/>
              <w:jc w:val="left"/>
            </w:pPr>
            <w:r>
              <w:rPr>
                <w:sz w:val="20"/>
                <w:szCs w:val="20"/>
              </w:rPr>
              <w:t xml:space="preserve">Series</w:t>
            </w:r>
          </w:p>
        </w:tc>
        <w:tc>
          <w:tcPr>
            <w:tcW w:w="929" w:type="dxa"/>
          </w:tcPr>
          <w:p>
            <w:pPr>
              <w:spacing w:before="0" w:after="0" w:line="240" w:lineRule="auto"/>
              <w:jc w:val="left"/>
            </w:pPr>
            <w:r>
              <w:rPr>
                <w:sz w:val="20"/>
                <w:szCs w:val="20"/>
              </w:rPr>
              <w:t xml:space="preserve">Freq.</w:t>
            </w:r>
          </w:p>
        </w:tc>
        <w:tc>
          <w:tcPr>
            <w:tcW w:w="1057" w:type="dxa"/>
          </w:tcPr>
          <w:p>
            <w:pPr>
              <w:spacing w:before="0" w:after="0" w:line="240" w:lineRule="auto"/>
              <w:jc w:val="left"/>
            </w:pPr>
            <w:r>
              <w:rPr>
                <w:sz w:val="20"/>
                <w:szCs w:val="20"/>
              </w:rPr>
              <w:t xml:space="preserve">N</w:t>
            </w:r>
          </w:p>
        </w:tc>
        <w:tc>
          <w:tcPr>
            <w:tcW w:w="1057" w:type="dxa"/>
          </w:tcPr>
          <w:p>
            <w:pPr>
              <w:spacing w:before="0" w:after="0" w:line="240" w:lineRule="auto"/>
              <w:jc w:val="left"/>
            </w:pPr>
            <w:r>
              <w:rPr>
                <w:sz w:val="20"/>
                <w:szCs w:val="20"/>
              </w:rPr>
              <w:t xml:space="preserve">Mean</w:t>
            </w:r>
          </w:p>
        </w:tc>
        <w:tc>
          <w:tcPr>
            <w:tcW w:w="1444" w:type="dxa"/>
          </w:tcPr>
          <w:p>
            <w:pPr>
              <w:spacing w:before="0" w:after="0" w:line="240" w:lineRule="auto"/>
              <w:jc w:val="left"/>
            </w:pPr>
            <w:r>
              <w:rPr>
                <w:sz w:val="20"/>
                <w:szCs w:val="20"/>
              </w:rPr>
              <w:t xml:space="preserve">Std. dev.</w:t>
            </w:r>
          </w:p>
        </w:tc>
        <w:tc>
          <w:tcPr>
            <w:tcW w:w="929" w:type="dxa"/>
          </w:tcPr>
          <w:p>
            <w:pPr>
              <w:spacing w:before="0" w:after="0" w:line="240" w:lineRule="auto"/>
              <w:jc w:val="left"/>
            </w:pPr>
            <w:r>
              <w:rPr>
                <w:sz w:val="20"/>
                <w:szCs w:val="20"/>
              </w:rPr>
              <w:t xml:space="preserve">Skew.</w:t>
            </w:r>
          </w:p>
        </w:tc>
        <w:tc>
          <w:tcPr>
            <w:tcW w:w="929" w:type="dxa"/>
          </w:tcPr>
          <w:p>
            <w:pPr>
              <w:spacing w:before="0" w:after="0" w:line="240" w:lineRule="auto"/>
              <w:jc w:val="left"/>
            </w:pPr>
            <w:r>
              <w:rPr>
                <w:sz w:val="20"/>
                <w:szCs w:val="20"/>
              </w:rPr>
              <w:t xml:space="preserve">Kurt.</w:t>
            </w:r>
          </w:p>
        </w:tc>
        <w:tc>
          <w:tcPr>
            <w:tcW w:w="1830" w:type="dxa"/>
          </w:tcPr>
          <w:p>
            <w:pPr>
              <w:spacing w:before="0" w:after="0" w:line="240" w:lineRule="auto"/>
              <w:jc w:val="left"/>
            </w:pPr>
            <w:r>
              <w:rPr>
                <w:sz w:val="20"/>
                <w:szCs w:val="20"/>
              </w:rPr>
              <w:t xml:space="preserve">Jarque–Bera</w:t>
            </w:r>
          </w:p>
        </w:tc>
      </w:tr>
      <w:tr>
        <w:tc>
          <w:tcPr>
            <w:tcW w:w="1186" w:type="dxa"/>
          </w:tcPr>
          <w:p>
            <w:pPr>
              <w:spacing w:before="0" w:after="0" w:line="240" w:lineRule="auto"/>
              <w:jc w:val="left"/>
            </w:pPr>
            <w:r>
              <w:rPr>
                <w:sz w:val="20"/>
                <w:szCs w:val="20"/>
              </w:rPr>
              <w:t xml:space="preserve">VN30</w:t>
            </w:r>
          </w:p>
        </w:tc>
        <w:tc>
          <w:tcPr>
            <w:tcW w:w="929" w:type="dxa"/>
          </w:tcPr>
          <w:p>
            <w:pPr>
              <w:spacing w:before="0" w:after="0" w:line="240" w:lineRule="auto"/>
              <w:jc w:val="left"/>
            </w:pPr>
            <w:r>
              <w:rPr>
                <w:sz w:val="20"/>
                <w:szCs w:val="20"/>
              </w:rPr>
              <w:t xml:space="preserve">1D</w:t>
            </w:r>
          </w:p>
        </w:tc>
        <w:tc>
          <w:tcPr>
            <w:tcW w:w="1057" w:type="dxa"/>
          </w:tcPr>
          <w:p>
            <w:pPr>
              <w:spacing w:before="0" w:after="0" w:line="240" w:lineRule="auto"/>
              <w:jc w:val="left"/>
            </w:pPr>
            <w:r>
              <w:rPr>
                <w:sz w:val="20"/>
                <w:szCs w:val="20"/>
              </w:rPr>
              <w:t xml:space="preserve">2,963</w:t>
            </w:r>
          </w:p>
        </w:tc>
        <w:tc>
          <w:tcPr>
            <w:tcW w:w="1057" w:type="dxa"/>
          </w:tcPr>
          <w:p>
            <w:pPr>
              <w:spacing w:before="0" w:after="0" w:line="240" w:lineRule="auto"/>
              <w:jc w:val="left"/>
            </w:pPr>
            <w:r>
              <w:rPr>
                <w:sz w:val="20"/>
                <w:szCs w:val="20"/>
              </w:rPr>
              <w:t xml:space="preserve">0.0004</w:t>
            </w:r>
          </w:p>
        </w:tc>
        <w:tc>
          <w:tcPr>
            <w:tcW w:w="1444" w:type="dxa"/>
          </w:tcPr>
          <w:p>
            <w:pPr>
              <w:spacing w:before="0" w:after="0" w:line="240" w:lineRule="auto"/>
              <w:jc w:val="left"/>
            </w:pPr>
            <w:r>
              <w:rPr>
                <w:sz w:val="20"/>
                <w:szCs w:val="20"/>
              </w:rPr>
              <w:t xml:space="preserve">0.0121</w:t>
            </w:r>
          </w:p>
        </w:tc>
        <w:tc>
          <w:tcPr>
            <w:tcW w:w="929" w:type="dxa"/>
          </w:tcPr>
          <w:p>
            <w:pPr>
              <w:spacing w:before="0" w:after="0" w:line="240" w:lineRule="auto"/>
              <w:jc w:val="left"/>
            </w:pPr>
            <w:r>
              <w:rPr>
                <w:sz w:val="20"/>
                <w:szCs w:val="20"/>
              </w:rPr>
              <w:t xml:space="preserve">−0.83</w:t>
            </w:r>
          </w:p>
        </w:tc>
        <w:tc>
          <w:tcPr>
            <w:tcW w:w="929" w:type="dxa"/>
          </w:tcPr>
          <w:p>
            <w:pPr>
              <w:spacing w:before="0" w:after="0" w:line="240" w:lineRule="auto"/>
              <w:jc w:val="left"/>
            </w:pPr>
            <w:r>
              <w:rPr>
                <w:sz w:val="20"/>
                <w:szCs w:val="20"/>
              </w:rPr>
              <w:t xml:space="preserve">7.81</w:t>
            </w:r>
          </w:p>
        </w:tc>
        <w:tc>
          <w:tcPr>
            <w:tcW w:w="1830" w:type="dxa"/>
          </w:tcPr>
          <w:p>
            <w:pPr>
              <w:spacing w:before="0" w:after="0" w:line="240" w:lineRule="auto"/>
              <w:jc w:val="left"/>
            </w:pPr>
            <w:r>
              <w:rPr>
                <w:sz w:val="20"/>
                <w:szCs w:val="20"/>
              </w:rPr>
              <w:t xml:space="preserve">3,202***</w:t>
            </w:r>
          </w:p>
        </w:tc>
      </w:tr>
      <w:tr>
        <w:tc>
          <w:tcPr>
            <w:tcW w:w="1186" w:type="dxa"/>
          </w:tcPr>
          <w:p>
            <w:pPr>
              <w:spacing w:before="0" w:after="0" w:line="240" w:lineRule="auto"/>
              <w:jc w:val="left"/>
            </w:pPr>
            <w:r>
              <w:rPr>
                <w:sz w:val="20"/>
                <w:szCs w:val="20"/>
              </w:rPr>
              <w:t xml:space="preserve">VN30</w:t>
            </w:r>
          </w:p>
        </w:tc>
        <w:tc>
          <w:tcPr>
            <w:tcW w:w="929" w:type="dxa"/>
          </w:tcPr>
          <w:p>
            <w:pPr>
              <w:spacing w:before="0" w:after="0" w:line="240" w:lineRule="auto"/>
              <w:jc w:val="left"/>
            </w:pPr>
            <w:r>
              <w:rPr>
                <w:sz w:val="20"/>
                <w:szCs w:val="20"/>
              </w:rPr>
              <w:t xml:space="preserve">M30</w:t>
            </w:r>
          </w:p>
        </w:tc>
        <w:tc>
          <w:tcPr>
            <w:tcW w:w="1057" w:type="dxa"/>
          </w:tcPr>
          <w:p>
            <w:pPr>
              <w:spacing w:before="0" w:after="0" w:line="240" w:lineRule="auto"/>
              <w:jc w:val="left"/>
            </w:pPr>
            <w:r>
              <w:rPr>
                <w:sz w:val="20"/>
                <w:szCs w:val="20"/>
              </w:rPr>
              <w:t xml:space="preserve">21,942</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0.0039</w:t>
            </w:r>
          </w:p>
        </w:tc>
        <w:tc>
          <w:tcPr>
            <w:tcW w:w="929" w:type="dxa"/>
          </w:tcPr>
          <w:p>
            <w:pPr>
              <w:spacing w:before="0" w:after="0" w:line="240" w:lineRule="auto"/>
              <w:jc w:val="left"/>
            </w:pPr>
            <w:r>
              <w:rPr>
                <w:sz w:val="20"/>
                <w:szCs w:val="20"/>
              </w:rPr>
              <w:t xml:space="preserve">−1.62</w:t>
            </w:r>
          </w:p>
        </w:tc>
        <w:tc>
          <w:tcPr>
            <w:tcW w:w="929" w:type="dxa"/>
          </w:tcPr>
          <w:p>
            <w:pPr>
              <w:spacing w:before="0" w:after="0" w:line="240" w:lineRule="auto"/>
              <w:jc w:val="left"/>
            </w:pPr>
            <w:r>
              <w:rPr>
                <w:sz w:val="20"/>
                <w:szCs w:val="20"/>
              </w:rPr>
              <w:t xml:space="preserve">36.16</w:t>
            </w:r>
          </w:p>
        </w:tc>
        <w:tc>
          <w:tcPr>
            <w:tcW w:w="1830" w:type="dxa"/>
          </w:tcPr>
          <w:p>
            <w:pPr>
              <w:spacing w:before="0" w:after="0" w:line="240" w:lineRule="auto"/>
              <w:jc w:val="left"/>
            </w:pPr>
            <w:r>
              <w:rPr>
                <w:sz w:val="20"/>
                <w:szCs w:val="20"/>
              </w:rPr>
              <w:t xml:space="preserve">1,014,769***</w:t>
            </w:r>
          </w:p>
        </w:tc>
      </w:tr>
      <w:tr>
        <w:tc>
          <w:tcPr>
            <w:tcW w:w="1186" w:type="dxa"/>
          </w:tcPr>
          <w:p>
            <w:pPr>
              <w:spacing w:before="0" w:after="0" w:line="240" w:lineRule="auto"/>
              <w:jc w:val="left"/>
            </w:pPr>
            <w:r>
              <w:rPr>
                <w:sz w:val="20"/>
                <w:szCs w:val="20"/>
              </w:rPr>
              <w:t xml:space="preserve">VN30</w:t>
            </w:r>
          </w:p>
        </w:tc>
        <w:tc>
          <w:tcPr>
            <w:tcW w:w="929" w:type="dxa"/>
          </w:tcPr>
          <w:p>
            <w:pPr>
              <w:spacing w:before="0" w:after="0" w:line="240" w:lineRule="auto"/>
              <w:jc w:val="left"/>
            </w:pPr>
            <w:r>
              <w:rPr>
                <w:sz w:val="20"/>
                <w:szCs w:val="20"/>
              </w:rPr>
              <w:t xml:space="preserve">H1</w:t>
            </w:r>
          </w:p>
        </w:tc>
        <w:tc>
          <w:tcPr>
            <w:tcW w:w="1057" w:type="dxa"/>
          </w:tcPr>
          <w:p>
            <w:pPr>
              <w:spacing w:before="0" w:after="0" w:line="240" w:lineRule="auto"/>
              <w:jc w:val="left"/>
            </w:pPr>
            <w:r>
              <w:rPr>
                <w:sz w:val="20"/>
                <w:szCs w:val="20"/>
              </w:rPr>
              <w:t xml:space="preserve">13,523</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0.0051</w:t>
            </w:r>
          </w:p>
        </w:tc>
        <w:tc>
          <w:tcPr>
            <w:tcW w:w="929" w:type="dxa"/>
          </w:tcPr>
          <w:p>
            <w:pPr>
              <w:spacing w:before="0" w:after="0" w:line="240" w:lineRule="auto"/>
              <w:jc w:val="left"/>
            </w:pPr>
            <w:r>
              <w:rPr>
                <w:sz w:val="20"/>
                <w:szCs w:val="20"/>
              </w:rPr>
              <w:t xml:space="preserve">−1.33</w:t>
            </w:r>
          </w:p>
        </w:tc>
        <w:tc>
          <w:tcPr>
            <w:tcW w:w="929" w:type="dxa"/>
          </w:tcPr>
          <w:p>
            <w:pPr>
              <w:spacing w:before="0" w:after="0" w:line="240" w:lineRule="auto"/>
              <w:jc w:val="left"/>
            </w:pPr>
            <w:r>
              <w:rPr>
                <w:sz w:val="20"/>
                <w:szCs w:val="20"/>
              </w:rPr>
              <w:t xml:space="preserve">18.20</w:t>
            </w:r>
          </w:p>
        </w:tc>
        <w:tc>
          <w:tcPr>
            <w:tcW w:w="1830" w:type="dxa"/>
          </w:tcPr>
          <w:p>
            <w:pPr>
              <w:spacing w:before="0" w:after="0" w:line="240" w:lineRule="auto"/>
              <w:jc w:val="left"/>
            </w:pPr>
            <w:r>
              <w:rPr>
                <w:sz w:val="20"/>
                <w:szCs w:val="20"/>
              </w:rPr>
              <w:t xml:space="preserve">134,167***</w:t>
            </w:r>
          </w:p>
        </w:tc>
      </w:tr>
      <w:tr>
        <w:tc>
          <w:tcPr>
            <w:tcW w:w="1186" w:type="dxa"/>
          </w:tcPr>
          <w:p>
            <w:pPr>
              <w:spacing w:before="0" w:after="0" w:line="240" w:lineRule="auto"/>
              <w:jc w:val="left"/>
            </w:pPr>
            <w:r>
              <w:rPr>
                <w:sz w:val="20"/>
                <w:szCs w:val="20"/>
              </w:rPr>
              <w:t xml:space="preserve">VN30</w:t>
            </w:r>
          </w:p>
        </w:tc>
        <w:tc>
          <w:tcPr>
            <w:tcW w:w="929" w:type="dxa"/>
          </w:tcPr>
          <w:p>
            <w:pPr>
              <w:spacing w:before="0" w:after="0" w:line="240" w:lineRule="auto"/>
              <w:jc w:val="left"/>
            </w:pPr>
            <w:r>
              <w:rPr>
                <w:sz w:val="20"/>
                <w:szCs w:val="20"/>
              </w:rPr>
              <w:t xml:space="preserve">H4</w:t>
            </w:r>
          </w:p>
        </w:tc>
        <w:tc>
          <w:tcPr>
            <w:tcW w:w="1057" w:type="dxa"/>
          </w:tcPr>
          <w:p>
            <w:pPr>
              <w:spacing w:before="0" w:after="0" w:line="240" w:lineRule="auto"/>
              <w:jc w:val="left"/>
            </w:pPr>
            <w:r>
              <w:rPr>
                <w:sz w:val="20"/>
                <w:szCs w:val="20"/>
              </w:rPr>
              <w:t xml:space="preserve">5,410</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0.0084</w:t>
            </w:r>
          </w:p>
        </w:tc>
        <w:tc>
          <w:tcPr>
            <w:tcW w:w="929" w:type="dxa"/>
          </w:tcPr>
          <w:p>
            <w:pPr>
              <w:spacing w:before="0" w:after="0" w:line="240" w:lineRule="auto"/>
              <w:jc w:val="left"/>
            </w:pPr>
            <w:r>
              <w:rPr>
                <w:sz w:val="20"/>
                <w:szCs w:val="20"/>
              </w:rPr>
              <w:t xml:space="preserve">−1.17</w:t>
            </w:r>
          </w:p>
        </w:tc>
        <w:tc>
          <w:tcPr>
            <w:tcW w:w="929" w:type="dxa"/>
          </w:tcPr>
          <w:p>
            <w:pPr>
              <w:spacing w:before="0" w:after="0" w:line="240" w:lineRule="auto"/>
              <w:jc w:val="left"/>
            </w:pPr>
            <w:r>
              <w:rPr>
                <w:sz w:val="20"/>
                <w:szCs w:val="20"/>
              </w:rPr>
              <w:t xml:space="preserve">11.23</w:t>
            </w:r>
          </w:p>
        </w:tc>
        <w:tc>
          <w:tcPr>
            <w:tcW w:w="1830" w:type="dxa"/>
          </w:tcPr>
          <w:p>
            <w:pPr>
              <w:spacing w:before="0" w:after="0" w:line="240" w:lineRule="auto"/>
              <w:jc w:val="left"/>
            </w:pPr>
            <w:r>
              <w:rPr>
                <w:sz w:val="20"/>
                <w:szCs w:val="20"/>
              </w:rPr>
              <w:t xml:space="preserve">16,490***</w:t>
            </w:r>
          </w:p>
        </w:tc>
      </w:tr>
      <w:tr>
        <w:tc>
          <w:tcPr>
            <w:tcW w:w="1186" w:type="dxa"/>
          </w:tcPr>
          <w:p>
            <w:pPr>
              <w:spacing w:before="0" w:after="0" w:line="240" w:lineRule="auto"/>
              <w:jc w:val="left"/>
            </w:pPr>
            <w:r>
              <w:rPr>
                <w:sz w:val="20"/>
                <w:szCs w:val="20"/>
              </w:rPr>
              <w:t xml:space="preserve">VN100</w:t>
            </w:r>
          </w:p>
        </w:tc>
        <w:tc>
          <w:tcPr>
            <w:tcW w:w="929" w:type="dxa"/>
          </w:tcPr>
          <w:p>
            <w:pPr>
              <w:spacing w:before="0" w:after="0" w:line="240" w:lineRule="auto"/>
              <w:jc w:val="left"/>
            </w:pPr>
            <w:r>
              <w:rPr>
                <w:sz w:val="20"/>
                <w:szCs w:val="20"/>
              </w:rPr>
              <w:t xml:space="preserve">1D</w:t>
            </w:r>
          </w:p>
        </w:tc>
        <w:tc>
          <w:tcPr>
            <w:tcW w:w="1057" w:type="dxa"/>
          </w:tcPr>
          <w:p>
            <w:pPr>
              <w:spacing w:before="0" w:after="0" w:line="240" w:lineRule="auto"/>
              <w:jc w:val="left"/>
            </w:pPr>
            <w:r>
              <w:rPr>
                <w:sz w:val="20"/>
                <w:szCs w:val="20"/>
              </w:rPr>
              <w:t xml:space="preserve">2,963</w:t>
            </w:r>
          </w:p>
        </w:tc>
        <w:tc>
          <w:tcPr>
            <w:tcW w:w="1057" w:type="dxa"/>
          </w:tcPr>
          <w:p>
            <w:pPr>
              <w:spacing w:before="0" w:after="0" w:line="240" w:lineRule="auto"/>
              <w:jc w:val="left"/>
            </w:pPr>
            <w:r>
              <w:rPr>
                <w:sz w:val="20"/>
                <w:szCs w:val="20"/>
              </w:rPr>
              <w:t xml:space="preserve">0.0004</w:t>
            </w:r>
          </w:p>
        </w:tc>
        <w:tc>
          <w:tcPr>
            <w:tcW w:w="1444" w:type="dxa"/>
          </w:tcPr>
          <w:p>
            <w:pPr>
              <w:spacing w:before="0" w:after="0" w:line="240" w:lineRule="auto"/>
              <w:jc w:val="left"/>
            </w:pPr>
            <w:r>
              <w:rPr>
                <w:sz w:val="20"/>
                <w:szCs w:val="20"/>
              </w:rPr>
              <w:t xml:space="preserve">0.0119</w:t>
            </w:r>
          </w:p>
        </w:tc>
        <w:tc>
          <w:tcPr>
            <w:tcW w:w="929" w:type="dxa"/>
          </w:tcPr>
          <w:p>
            <w:pPr>
              <w:spacing w:before="0" w:after="0" w:line="240" w:lineRule="auto"/>
              <w:jc w:val="left"/>
            </w:pPr>
            <w:r>
              <w:rPr>
                <w:sz w:val="20"/>
                <w:szCs w:val="20"/>
              </w:rPr>
              <w:t xml:space="preserve">−0.96</w:t>
            </w:r>
          </w:p>
        </w:tc>
        <w:tc>
          <w:tcPr>
            <w:tcW w:w="929" w:type="dxa"/>
          </w:tcPr>
          <w:p>
            <w:pPr>
              <w:spacing w:before="0" w:after="0" w:line="240" w:lineRule="auto"/>
              <w:jc w:val="left"/>
            </w:pPr>
            <w:r>
              <w:rPr>
                <w:sz w:val="20"/>
                <w:szCs w:val="20"/>
              </w:rPr>
              <w:t xml:space="preserve">8.21</w:t>
            </w:r>
          </w:p>
        </w:tc>
        <w:tc>
          <w:tcPr>
            <w:tcW w:w="1830" w:type="dxa"/>
          </w:tcPr>
          <w:p>
            <w:pPr>
              <w:spacing w:before="0" w:after="0" w:line="240" w:lineRule="auto"/>
              <w:jc w:val="left"/>
            </w:pPr>
            <w:r>
              <w:rPr>
                <w:sz w:val="20"/>
                <w:szCs w:val="20"/>
              </w:rPr>
              <w:t xml:space="preserve">3,804***</w:t>
            </w:r>
          </w:p>
        </w:tc>
      </w:tr>
      <w:tr>
        <w:tc>
          <w:tcPr>
            <w:tcW w:w="1186" w:type="dxa"/>
          </w:tcPr>
          <w:p>
            <w:pPr>
              <w:spacing w:before="0" w:after="0" w:line="240" w:lineRule="auto"/>
              <w:jc w:val="left"/>
            </w:pPr>
            <w:r>
              <w:rPr>
                <w:sz w:val="20"/>
                <w:szCs w:val="20"/>
              </w:rPr>
              <w:t xml:space="preserve">VN100</w:t>
            </w:r>
          </w:p>
        </w:tc>
        <w:tc>
          <w:tcPr>
            <w:tcW w:w="929" w:type="dxa"/>
          </w:tcPr>
          <w:p>
            <w:pPr>
              <w:spacing w:before="0" w:after="0" w:line="240" w:lineRule="auto"/>
              <w:jc w:val="left"/>
            </w:pPr>
            <w:r>
              <w:rPr>
                <w:sz w:val="20"/>
                <w:szCs w:val="20"/>
              </w:rPr>
              <w:t xml:space="preserve">M30</w:t>
            </w:r>
          </w:p>
        </w:tc>
        <w:tc>
          <w:tcPr>
            <w:tcW w:w="1057" w:type="dxa"/>
          </w:tcPr>
          <w:p>
            <w:pPr>
              <w:spacing w:before="0" w:after="0" w:line="240" w:lineRule="auto"/>
              <w:jc w:val="left"/>
            </w:pPr>
            <w:r>
              <w:rPr>
                <w:sz w:val="20"/>
                <w:szCs w:val="20"/>
              </w:rPr>
              <w:t xml:space="preserve">21,942</w:t>
            </w:r>
          </w:p>
        </w:tc>
        <w:tc>
          <w:tcPr>
            <w:tcW w:w="1057" w:type="dxa"/>
          </w:tcPr>
          <w:p>
            <w:pPr>
              <w:spacing w:before="0" w:after="0" w:line="240" w:lineRule="auto"/>
              <w:jc w:val="left"/>
            </w:pPr>
            <w:r>
              <w:rPr>
                <w:sz w:val="20"/>
                <w:szCs w:val="20"/>
              </w:rPr>
              <w:t xml:space="preserve">0.0000</w:t>
            </w:r>
          </w:p>
        </w:tc>
        <w:tc>
          <w:tcPr>
            <w:tcW w:w="1444" w:type="dxa"/>
          </w:tcPr>
          <w:p>
            <w:pPr>
              <w:spacing w:before="0" w:after="0" w:line="240" w:lineRule="auto"/>
              <w:jc w:val="left"/>
            </w:pPr>
            <w:r>
              <w:rPr>
                <w:sz w:val="20"/>
                <w:szCs w:val="20"/>
              </w:rPr>
              <w:t xml:space="preserve">0.0038</w:t>
            </w:r>
          </w:p>
        </w:tc>
        <w:tc>
          <w:tcPr>
            <w:tcW w:w="929" w:type="dxa"/>
          </w:tcPr>
          <w:p>
            <w:pPr>
              <w:spacing w:before="0" w:after="0" w:line="240" w:lineRule="auto"/>
              <w:jc w:val="left"/>
            </w:pPr>
            <w:r>
              <w:rPr>
                <w:sz w:val="20"/>
                <w:szCs w:val="20"/>
              </w:rPr>
              <w:t xml:space="preserve">−1.83</w:t>
            </w:r>
          </w:p>
        </w:tc>
        <w:tc>
          <w:tcPr>
            <w:tcW w:w="929" w:type="dxa"/>
          </w:tcPr>
          <w:p>
            <w:pPr>
              <w:spacing w:before="0" w:after="0" w:line="240" w:lineRule="auto"/>
              <w:jc w:val="left"/>
            </w:pPr>
            <w:r>
              <w:rPr>
                <w:sz w:val="20"/>
                <w:szCs w:val="20"/>
              </w:rPr>
              <w:t xml:space="preserve">37.63</w:t>
            </w:r>
          </w:p>
        </w:tc>
        <w:tc>
          <w:tcPr>
            <w:tcW w:w="1830" w:type="dxa"/>
          </w:tcPr>
          <w:p>
            <w:pPr>
              <w:spacing w:before="0" w:after="0" w:line="240" w:lineRule="auto"/>
              <w:jc w:val="left"/>
            </w:pPr>
            <w:r>
              <w:rPr>
                <w:sz w:val="20"/>
                <w:szCs w:val="20"/>
              </w:rPr>
              <w:t xml:space="preserve">1,108,959***</w:t>
            </w:r>
          </w:p>
        </w:tc>
      </w:tr>
      <w:tr>
        <w:tc>
          <w:tcPr>
            <w:tcW w:w="1186" w:type="dxa"/>
          </w:tcPr>
          <w:p>
            <w:pPr>
              <w:spacing w:before="0" w:after="0" w:line="240" w:lineRule="auto"/>
              <w:jc w:val="left"/>
            </w:pPr>
            <w:r>
              <w:rPr>
                <w:sz w:val="20"/>
                <w:szCs w:val="20"/>
              </w:rPr>
              <w:t xml:space="preserve">VN100</w:t>
            </w:r>
          </w:p>
        </w:tc>
        <w:tc>
          <w:tcPr>
            <w:tcW w:w="929" w:type="dxa"/>
          </w:tcPr>
          <w:p>
            <w:pPr>
              <w:spacing w:before="0" w:after="0" w:line="240" w:lineRule="auto"/>
              <w:jc w:val="left"/>
            </w:pPr>
            <w:r>
              <w:rPr>
                <w:sz w:val="20"/>
                <w:szCs w:val="20"/>
              </w:rPr>
              <w:t xml:space="preserve">H1</w:t>
            </w:r>
          </w:p>
        </w:tc>
        <w:tc>
          <w:tcPr>
            <w:tcW w:w="1057" w:type="dxa"/>
          </w:tcPr>
          <w:p>
            <w:pPr>
              <w:spacing w:before="0" w:after="0" w:line="240" w:lineRule="auto"/>
              <w:jc w:val="left"/>
            </w:pPr>
            <w:r>
              <w:rPr>
                <w:sz w:val="20"/>
                <w:szCs w:val="20"/>
              </w:rPr>
              <w:t xml:space="preserve">13,523</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0.0050</w:t>
            </w:r>
          </w:p>
        </w:tc>
        <w:tc>
          <w:tcPr>
            <w:tcW w:w="929" w:type="dxa"/>
          </w:tcPr>
          <w:p>
            <w:pPr>
              <w:spacing w:before="0" w:after="0" w:line="240" w:lineRule="auto"/>
              <w:jc w:val="left"/>
            </w:pPr>
            <w:r>
              <w:rPr>
                <w:sz w:val="20"/>
                <w:szCs w:val="20"/>
              </w:rPr>
              <w:t xml:space="preserve">−1.50</w:t>
            </w:r>
          </w:p>
        </w:tc>
        <w:tc>
          <w:tcPr>
            <w:tcW w:w="929" w:type="dxa"/>
          </w:tcPr>
          <w:p>
            <w:pPr>
              <w:spacing w:before="0" w:after="0" w:line="240" w:lineRule="auto"/>
              <w:jc w:val="left"/>
            </w:pPr>
            <w:r>
              <w:rPr>
                <w:sz w:val="20"/>
                <w:szCs w:val="20"/>
              </w:rPr>
              <w:t xml:space="preserve">19.36</w:t>
            </w:r>
          </w:p>
        </w:tc>
        <w:tc>
          <w:tcPr>
            <w:tcW w:w="1830" w:type="dxa"/>
          </w:tcPr>
          <w:p>
            <w:pPr>
              <w:spacing w:before="0" w:after="0" w:line="240" w:lineRule="auto"/>
              <w:jc w:val="left"/>
            </w:pPr>
            <w:r>
              <w:rPr>
                <w:sz w:val="20"/>
                <w:szCs w:val="20"/>
              </w:rPr>
              <w:t xml:space="preserve">155,896***</w:t>
            </w:r>
          </w:p>
        </w:tc>
      </w:tr>
      <w:tr>
        <w:tc>
          <w:tcPr>
            <w:tcW w:w="1186" w:type="dxa"/>
          </w:tcPr>
          <w:p>
            <w:pPr>
              <w:spacing w:before="0" w:after="0" w:line="240" w:lineRule="auto"/>
              <w:jc w:val="left"/>
            </w:pPr>
            <w:r>
              <w:rPr>
                <w:sz w:val="20"/>
                <w:szCs w:val="20"/>
              </w:rPr>
              <w:t xml:space="preserve">VN100</w:t>
            </w:r>
          </w:p>
        </w:tc>
        <w:tc>
          <w:tcPr>
            <w:tcW w:w="929" w:type="dxa"/>
          </w:tcPr>
          <w:p>
            <w:pPr>
              <w:spacing w:before="0" w:after="0" w:line="240" w:lineRule="auto"/>
              <w:jc w:val="left"/>
            </w:pPr>
            <w:r>
              <w:rPr>
                <w:sz w:val="20"/>
                <w:szCs w:val="20"/>
              </w:rPr>
              <w:t xml:space="preserve">H4</w:t>
            </w:r>
          </w:p>
        </w:tc>
        <w:tc>
          <w:tcPr>
            <w:tcW w:w="1057" w:type="dxa"/>
          </w:tcPr>
          <w:p>
            <w:pPr>
              <w:spacing w:before="0" w:after="0" w:line="240" w:lineRule="auto"/>
              <w:jc w:val="left"/>
            </w:pPr>
            <w:r>
              <w:rPr>
                <w:sz w:val="20"/>
                <w:szCs w:val="20"/>
              </w:rPr>
              <w:t xml:space="preserve">5,410</w:t>
            </w:r>
          </w:p>
        </w:tc>
        <w:tc>
          <w:tcPr>
            <w:tcW w:w="1057" w:type="dxa"/>
          </w:tcPr>
          <w:p>
            <w:pPr>
              <w:spacing w:before="0" w:after="0" w:line="240" w:lineRule="auto"/>
              <w:jc w:val="left"/>
            </w:pPr>
            <w:r>
              <w:rPr>
                <w:sz w:val="20"/>
                <w:szCs w:val="20"/>
              </w:rPr>
              <w:t xml:space="preserve">0.0002</w:t>
            </w:r>
          </w:p>
        </w:tc>
        <w:tc>
          <w:tcPr>
            <w:tcW w:w="1444" w:type="dxa"/>
          </w:tcPr>
          <w:p>
            <w:pPr>
              <w:spacing w:before="0" w:after="0" w:line="240" w:lineRule="auto"/>
              <w:jc w:val="left"/>
            </w:pPr>
            <w:r>
              <w:rPr>
                <w:sz w:val="20"/>
                <w:szCs w:val="20"/>
              </w:rPr>
              <w:t xml:space="preserve">0.0082</w:t>
            </w:r>
          </w:p>
        </w:tc>
        <w:tc>
          <w:tcPr>
            <w:tcW w:w="929" w:type="dxa"/>
          </w:tcPr>
          <w:p>
            <w:pPr>
              <w:spacing w:before="0" w:after="0" w:line="240" w:lineRule="auto"/>
              <w:jc w:val="left"/>
            </w:pPr>
            <w:r>
              <w:rPr>
                <w:sz w:val="20"/>
                <w:szCs w:val="20"/>
              </w:rPr>
              <w:t xml:space="preserve">−1.30</w:t>
            </w:r>
          </w:p>
        </w:tc>
        <w:tc>
          <w:tcPr>
            <w:tcW w:w="929" w:type="dxa"/>
          </w:tcPr>
          <w:p>
            <w:pPr>
              <w:spacing w:before="0" w:after="0" w:line="240" w:lineRule="auto"/>
              <w:jc w:val="left"/>
            </w:pPr>
            <w:r>
              <w:rPr>
                <w:sz w:val="20"/>
                <w:szCs w:val="20"/>
              </w:rPr>
              <w:t xml:space="preserve">11.76</w:t>
            </w:r>
          </w:p>
        </w:tc>
        <w:tc>
          <w:tcPr>
            <w:tcW w:w="1830" w:type="dxa"/>
          </w:tcPr>
          <w:p>
            <w:pPr>
              <w:spacing w:before="0" w:after="0" w:line="240" w:lineRule="auto"/>
              <w:jc w:val="left"/>
            </w:pPr>
            <w:r>
              <w:rPr>
                <w:sz w:val="20"/>
                <w:szCs w:val="20"/>
              </w:rPr>
              <w:t xml:space="preserve">18,833***</w:t>
            </w:r>
          </w:p>
        </w:tc>
      </w:tr>
      <w:tr>
        <w:tc>
          <w:tcPr>
            <w:tcW w:w="1186" w:type="dxa"/>
          </w:tcPr>
          <w:p>
            <w:pPr>
              <w:spacing w:before="0" w:after="0" w:line="240" w:lineRule="auto"/>
              <w:jc w:val="left"/>
            </w:pPr>
            <w:r>
              <w:rPr>
                <w:sz w:val="20"/>
                <w:szCs w:val="20"/>
              </w:rPr>
              <w:t xml:space="preserve">VNINDEX</w:t>
            </w:r>
          </w:p>
        </w:tc>
        <w:tc>
          <w:tcPr>
            <w:tcW w:w="929" w:type="dxa"/>
          </w:tcPr>
          <w:p>
            <w:pPr>
              <w:spacing w:before="0" w:after="0" w:line="240" w:lineRule="auto"/>
              <w:jc w:val="left"/>
            </w:pPr>
            <w:r>
              <w:rPr>
                <w:sz w:val="20"/>
                <w:szCs w:val="20"/>
              </w:rPr>
              <w:t xml:space="preserve">1D</w:t>
            </w:r>
          </w:p>
        </w:tc>
        <w:tc>
          <w:tcPr>
            <w:tcW w:w="1057" w:type="dxa"/>
          </w:tcPr>
          <w:p>
            <w:pPr>
              <w:spacing w:before="0" w:after="0" w:line="240" w:lineRule="auto"/>
              <w:jc w:val="left"/>
            </w:pPr>
            <w:r>
              <w:rPr>
                <w:sz w:val="20"/>
                <w:szCs w:val="20"/>
              </w:rPr>
              <w:t xml:space="preserve">2,963</w:t>
            </w:r>
          </w:p>
        </w:tc>
        <w:tc>
          <w:tcPr>
            <w:tcW w:w="1057" w:type="dxa"/>
          </w:tcPr>
          <w:p>
            <w:pPr>
              <w:spacing w:before="0" w:after="0" w:line="240" w:lineRule="auto"/>
              <w:jc w:val="left"/>
            </w:pPr>
            <w:r>
              <w:rPr>
                <w:sz w:val="20"/>
                <w:szCs w:val="20"/>
              </w:rPr>
              <w:t xml:space="preserve">0.0004</w:t>
            </w:r>
          </w:p>
        </w:tc>
        <w:tc>
          <w:tcPr>
            <w:tcW w:w="1444" w:type="dxa"/>
          </w:tcPr>
          <w:p>
            <w:pPr>
              <w:spacing w:before="0" w:after="0" w:line="240" w:lineRule="auto"/>
              <w:jc w:val="left"/>
            </w:pPr>
            <w:r>
              <w:rPr>
                <w:sz w:val="20"/>
                <w:szCs w:val="20"/>
              </w:rPr>
              <w:t xml:space="preserve">0.0115</w:t>
            </w:r>
          </w:p>
        </w:tc>
        <w:tc>
          <w:tcPr>
            <w:tcW w:w="929" w:type="dxa"/>
          </w:tcPr>
          <w:p>
            <w:pPr>
              <w:spacing w:before="0" w:after="0" w:line="240" w:lineRule="auto"/>
              <w:jc w:val="left"/>
            </w:pPr>
            <w:r>
              <w:rPr>
                <w:sz w:val="20"/>
                <w:szCs w:val="20"/>
              </w:rPr>
              <w:t xml:space="preserve">−0.98</w:t>
            </w:r>
          </w:p>
        </w:tc>
        <w:tc>
          <w:tcPr>
            <w:tcW w:w="929" w:type="dxa"/>
          </w:tcPr>
          <w:p>
            <w:pPr>
              <w:spacing w:before="0" w:after="0" w:line="240" w:lineRule="auto"/>
              <w:jc w:val="left"/>
            </w:pPr>
            <w:r>
              <w:rPr>
                <w:sz w:val="20"/>
                <w:szCs w:val="20"/>
              </w:rPr>
              <w:t xml:space="preserve">8.27</w:t>
            </w:r>
          </w:p>
        </w:tc>
        <w:tc>
          <w:tcPr>
            <w:tcW w:w="1830" w:type="dxa"/>
          </w:tcPr>
          <w:p>
            <w:pPr>
              <w:spacing w:before="0" w:after="0" w:line="240" w:lineRule="auto"/>
              <w:jc w:val="left"/>
            </w:pPr>
            <w:r>
              <w:rPr>
                <w:sz w:val="20"/>
                <w:szCs w:val="20"/>
              </w:rPr>
              <w:t xml:space="preserve">3,898***</w:t>
            </w:r>
          </w:p>
        </w:tc>
      </w:tr>
      <w:tr>
        <w:tc>
          <w:tcPr>
            <w:tcW w:w="1186" w:type="dxa"/>
          </w:tcPr>
          <w:p>
            <w:pPr>
              <w:spacing w:before="0" w:after="0" w:line="240" w:lineRule="auto"/>
              <w:jc w:val="left"/>
            </w:pPr>
            <w:r>
              <w:rPr>
                <w:sz w:val="20"/>
                <w:szCs w:val="20"/>
              </w:rPr>
              <w:t xml:space="preserve">VNINDEX</w:t>
            </w:r>
          </w:p>
        </w:tc>
        <w:tc>
          <w:tcPr>
            <w:tcW w:w="929" w:type="dxa"/>
          </w:tcPr>
          <w:p>
            <w:pPr>
              <w:spacing w:before="0" w:after="0" w:line="240" w:lineRule="auto"/>
              <w:jc w:val="left"/>
            </w:pPr>
            <w:r>
              <w:rPr>
                <w:sz w:val="20"/>
                <w:szCs w:val="20"/>
              </w:rPr>
              <w:t xml:space="preserve">M30</w:t>
            </w:r>
          </w:p>
        </w:tc>
        <w:tc>
          <w:tcPr>
            <w:tcW w:w="1057" w:type="dxa"/>
          </w:tcPr>
          <w:p>
            <w:pPr>
              <w:spacing w:before="0" w:after="0" w:line="240" w:lineRule="auto"/>
              <w:jc w:val="left"/>
            </w:pPr>
            <w:r>
              <w:rPr>
                <w:sz w:val="20"/>
                <w:szCs w:val="20"/>
              </w:rPr>
              <w:t xml:space="preserve">21,942</w:t>
            </w:r>
          </w:p>
        </w:tc>
        <w:tc>
          <w:tcPr>
            <w:tcW w:w="1057" w:type="dxa"/>
          </w:tcPr>
          <w:p>
            <w:pPr>
              <w:spacing w:before="0" w:after="0" w:line="240" w:lineRule="auto"/>
              <w:jc w:val="left"/>
            </w:pPr>
            <w:r>
              <w:rPr>
                <w:sz w:val="20"/>
                <w:szCs w:val="20"/>
              </w:rPr>
              <w:t xml:space="preserve">0.0000</w:t>
            </w:r>
          </w:p>
        </w:tc>
        <w:tc>
          <w:tcPr>
            <w:tcW w:w="1444" w:type="dxa"/>
          </w:tcPr>
          <w:p>
            <w:pPr>
              <w:spacing w:before="0" w:after="0" w:line="240" w:lineRule="auto"/>
              <w:jc w:val="left"/>
            </w:pPr>
            <w:r>
              <w:rPr>
                <w:sz w:val="20"/>
                <w:szCs w:val="20"/>
              </w:rPr>
              <w:t xml:space="preserve">0.0037</w:t>
            </w:r>
          </w:p>
        </w:tc>
        <w:tc>
          <w:tcPr>
            <w:tcW w:w="929" w:type="dxa"/>
          </w:tcPr>
          <w:p>
            <w:pPr>
              <w:spacing w:before="0" w:after="0" w:line="240" w:lineRule="auto"/>
              <w:jc w:val="left"/>
            </w:pPr>
            <w:r>
              <w:rPr>
                <w:sz w:val="20"/>
                <w:szCs w:val="20"/>
              </w:rPr>
              <w:t xml:space="preserve">−2.04</w:t>
            </w:r>
          </w:p>
        </w:tc>
        <w:tc>
          <w:tcPr>
            <w:tcW w:w="929" w:type="dxa"/>
          </w:tcPr>
          <w:p>
            <w:pPr>
              <w:spacing w:before="0" w:after="0" w:line="240" w:lineRule="auto"/>
              <w:jc w:val="left"/>
            </w:pPr>
            <w:r>
              <w:rPr>
                <w:sz w:val="20"/>
                <w:szCs w:val="20"/>
              </w:rPr>
              <w:t xml:space="preserve">40.64</w:t>
            </w:r>
          </w:p>
        </w:tc>
        <w:tc>
          <w:tcPr>
            <w:tcW w:w="1830" w:type="dxa"/>
          </w:tcPr>
          <w:p>
            <w:pPr>
              <w:spacing w:before="0" w:after="0" w:line="240" w:lineRule="auto"/>
              <w:jc w:val="left"/>
            </w:pPr>
            <w:r>
              <w:rPr>
                <w:sz w:val="20"/>
                <w:szCs w:val="20"/>
              </w:rPr>
              <w:t xml:space="preserve">1,310,762***</w:t>
            </w:r>
          </w:p>
        </w:tc>
      </w:tr>
      <w:tr>
        <w:tc>
          <w:tcPr>
            <w:tcW w:w="1186" w:type="dxa"/>
          </w:tcPr>
          <w:p>
            <w:pPr>
              <w:spacing w:before="0" w:after="0" w:line="240" w:lineRule="auto"/>
              <w:jc w:val="left"/>
            </w:pPr>
            <w:r>
              <w:rPr>
                <w:sz w:val="20"/>
                <w:szCs w:val="20"/>
              </w:rPr>
              <w:t xml:space="preserve">VNINDEX</w:t>
            </w:r>
          </w:p>
        </w:tc>
        <w:tc>
          <w:tcPr>
            <w:tcW w:w="929" w:type="dxa"/>
          </w:tcPr>
          <w:p>
            <w:pPr>
              <w:spacing w:before="0" w:after="0" w:line="240" w:lineRule="auto"/>
              <w:jc w:val="left"/>
            </w:pPr>
            <w:r>
              <w:rPr>
                <w:sz w:val="20"/>
                <w:szCs w:val="20"/>
              </w:rPr>
              <w:t xml:space="preserve">H1</w:t>
            </w:r>
          </w:p>
        </w:tc>
        <w:tc>
          <w:tcPr>
            <w:tcW w:w="1057" w:type="dxa"/>
          </w:tcPr>
          <w:p>
            <w:pPr>
              <w:spacing w:before="0" w:after="0" w:line="240" w:lineRule="auto"/>
              <w:jc w:val="left"/>
            </w:pPr>
            <w:r>
              <w:rPr>
                <w:sz w:val="20"/>
                <w:szCs w:val="20"/>
              </w:rPr>
              <w:t xml:space="preserve">13,523</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0.0049</w:t>
            </w:r>
          </w:p>
        </w:tc>
        <w:tc>
          <w:tcPr>
            <w:tcW w:w="929" w:type="dxa"/>
          </w:tcPr>
          <w:p>
            <w:pPr>
              <w:spacing w:before="0" w:after="0" w:line="240" w:lineRule="auto"/>
              <w:jc w:val="left"/>
            </w:pPr>
            <w:r>
              <w:rPr>
                <w:sz w:val="20"/>
                <w:szCs w:val="20"/>
              </w:rPr>
              <w:t xml:space="preserve">−1.56</w:t>
            </w:r>
          </w:p>
        </w:tc>
        <w:tc>
          <w:tcPr>
            <w:tcW w:w="929" w:type="dxa"/>
          </w:tcPr>
          <w:p>
            <w:pPr>
              <w:spacing w:before="0" w:after="0" w:line="240" w:lineRule="auto"/>
              <w:jc w:val="left"/>
            </w:pPr>
            <w:r>
              <w:rPr>
                <w:sz w:val="20"/>
                <w:szCs w:val="20"/>
              </w:rPr>
              <w:t xml:space="preserve">19.54</w:t>
            </w:r>
          </w:p>
        </w:tc>
        <w:tc>
          <w:tcPr>
            <w:tcW w:w="1830" w:type="dxa"/>
          </w:tcPr>
          <w:p>
            <w:pPr>
              <w:spacing w:before="0" w:after="0" w:line="240" w:lineRule="auto"/>
              <w:jc w:val="left"/>
            </w:pPr>
            <w:r>
              <w:rPr>
                <w:sz w:val="20"/>
                <w:szCs w:val="20"/>
              </w:rPr>
              <w:t xml:space="preserve">159,748***</w:t>
            </w:r>
          </w:p>
        </w:tc>
      </w:tr>
      <w:tr>
        <w:tc>
          <w:tcPr>
            <w:tcW w:w="1186" w:type="dxa"/>
          </w:tcPr>
          <w:p>
            <w:pPr>
              <w:spacing w:before="0" w:after="0" w:line="240" w:lineRule="auto"/>
              <w:jc w:val="left"/>
            </w:pPr>
            <w:r>
              <w:rPr>
                <w:sz w:val="20"/>
                <w:szCs w:val="20"/>
              </w:rPr>
              <w:t xml:space="preserve">VNINDEX</w:t>
            </w:r>
          </w:p>
        </w:tc>
        <w:tc>
          <w:tcPr>
            <w:tcW w:w="929" w:type="dxa"/>
          </w:tcPr>
          <w:p>
            <w:pPr>
              <w:spacing w:before="0" w:after="0" w:line="240" w:lineRule="auto"/>
              <w:jc w:val="left"/>
            </w:pPr>
            <w:r>
              <w:rPr>
                <w:sz w:val="20"/>
                <w:szCs w:val="20"/>
              </w:rPr>
              <w:t xml:space="preserve">H4</w:t>
            </w:r>
          </w:p>
        </w:tc>
        <w:tc>
          <w:tcPr>
            <w:tcW w:w="1057" w:type="dxa"/>
          </w:tcPr>
          <w:p>
            <w:pPr>
              <w:spacing w:before="0" w:after="0" w:line="240" w:lineRule="auto"/>
              <w:jc w:val="left"/>
            </w:pPr>
            <w:r>
              <w:rPr>
                <w:sz w:val="20"/>
                <w:szCs w:val="20"/>
              </w:rPr>
              <w:t xml:space="preserve">5,410</w:t>
            </w:r>
          </w:p>
        </w:tc>
        <w:tc>
          <w:tcPr>
            <w:tcW w:w="1057" w:type="dxa"/>
          </w:tcPr>
          <w:p>
            <w:pPr>
              <w:spacing w:before="0" w:after="0" w:line="240" w:lineRule="auto"/>
              <w:jc w:val="left"/>
            </w:pPr>
            <w:r>
              <w:rPr>
                <w:sz w:val="20"/>
                <w:szCs w:val="20"/>
              </w:rPr>
              <w:t xml:space="preserve">0.0002</w:t>
            </w:r>
          </w:p>
        </w:tc>
        <w:tc>
          <w:tcPr>
            <w:tcW w:w="1444" w:type="dxa"/>
          </w:tcPr>
          <w:p>
            <w:pPr>
              <w:spacing w:before="0" w:after="0" w:line="240" w:lineRule="auto"/>
              <w:jc w:val="left"/>
            </w:pPr>
            <w:r>
              <w:rPr>
                <w:sz w:val="20"/>
                <w:szCs w:val="20"/>
              </w:rPr>
              <w:t xml:space="preserve">0.0080</w:t>
            </w:r>
          </w:p>
        </w:tc>
        <w:tc>
          <w:tcPr>
            <w:tcW w:w="929" w:type="dxa"/>
          </w:tcPr>
          <w:p>
            <w:pPr>
              <w:spacing w:before="0" w:after="0" w:line="240" w:lineRule="auto"/>
              <w:jc w:val="left"/>
            </w:pPr>
            <w:r>
              <w:rPr>
                <w:sz w:val="20"/>
                <w:szCs w:val="20"/>
              </w:rPr>
              <w:t xml:space="preserve">−1.31</w:t>
            </w:r>
          </w:p>
        </w:tc>
        <w:tc>
          <w:tcPr>
            <w:tcW w:w="929" w:type="dxa"/>
          </w:tcPr>
          <w:p>
            <w:pPr>
              <w:spacing w:before="0" w:after="0" w:line="240" w:lineRule="auto"/>
              <w:jc w:val="left"/>
            </w:pPr>
            <w:r>
              <w:rPr>
                <w:sz w:val="20"/>
                <w:szCs w:val="20"/>
              </w:rPr>
              <w:t xml:space="preserve">11.99</w:t>
            </w:r>
          </w:p>
        </w:tc>
        <w:tc>
          <w:tcPr>
            <w:tcW w:w="1830" w:type="dxa"/>
          </w:tcPr>
          <w:p>
            <w:pPr>
              <w:spacing w:before="0" w:after="0" w:line="240" w:lineRule="auto"/>
              <w:jc w:val="left"/>
            </w:pPr>
            <w:r>
              <w:rPr>
                <w:sz w:val="20"/>
                <w:szCs w:val="20"/>
              </w:rPr>
              <w:t xml:space="preserve">19,767***</w:t>
            </w:r>
          </w:p>
        </w:tc>
      </w:tr>
      <w:tr>
        <w:tc>
          <w:tcPr>
            <w:tcW w:w="1186" w:type="dxa"/>
          </w:tcPr>
          <w:p>
            <w:pPr>
              <w:spacing w:before="0" w:after="0" w:line="240" w:lineRule="auto"/>
              <w:jc w:val="left"/>
            </w:pPr>
            <w:r>
              <w:rPr>
                <w:sz w:val="20"/>
                <w:szCs w:val="20"/>
              </w:rPr>
              <w:t xml:space="preserve">P</w:t>
            </w:r>
            <w:r>
              <w:rPr>
                <w:vertAlign w:val="subscript"/>
                <w:sz w:val="20"/>
                <w:szCs w:val="20"/>
              </w:rPr>
              <w:t xml:space="preserve">cap</w:t>
            </w:r>
          </w:p>
        </w:tc>
        <w:tc>
          <w:tcPr>
            <w:tcW w:w="929" w:type="dxa"/>
          </w:tcPr>
          <w:p>
            <w:pPr>
              <w:spacing w:before="0" w:after="0" w:line="240" w:lineRule="auto"/>
              <w:jc w:val="left"/>
            </w:pPr>
            <w:r>
              <w:rPr>
                <w:sz w:val="20"/>
                <w:szCs w:val="20"/>
              </w:rPr>
              <w:t xml:space="preserve">1D</w:t>
            </w:r>
          </w:p>
        </w:tc>
        <w:tc>
          <w:tcPr>
            <w:tcW w:w="1057" w:type="dxa"/>
          </w:tcPr>
          <w:p>
            <w:pPr>
              <w:spacing w:before="0" w:after="0" w:line="240" w:lineRule="auto"/>
              <w:jc w:val="left"/>
            </w:pPr>
            <w:r>
              <w:rPr>
                <w:sz w:val="20"/>
                <w:szCs w:val="20"/>
              </w:rPr>
              <w:t xml:space="preserve">2,963</w:t>
            </w:r>
          </w:p>
        </w:tc>
        <w:tc>
          <w:tcPr>
            <w:tcW w:w="1057" w:type="dxa"/>
          </w:tcPr>
          <w:p>
            <w:pPr>
              <w:spacing w:before="0" w:after="0" w:line="240" w:lineRule="auto"/>
              <w:jc w:val="left"/>
            </w:pPr>
            <w:r>
              <w:rPr>
                <w:sz w:val="20"/>
                <w:szCs w:val="20"/>
              </w:rPr>
              <w:t xml:space="preserve">0.0004</w:t>
            </w:r>
          </w:p>
        </w:tc>
        <w:tc>
          <w:tcPr>
            <w:tcW w:w="1444" w:type="dxa"/>
          </w:tcPr>
          <w:p>
            <w:pPr>
              <w:spacing w:before="0" w:after="0" w:line="240" w:lineRule="auto"/>
              <w:jc w:val="left"/>
            </w:pPr>
            <w:r>
              <w:rPr>
                <w:sz w:val="20"/>
                <w:szCs w:val="20"/>
              </w:rPr>
              <w:t xml:space="preserve">0.0124</w:t>
            </w:r>
          </w:p>
        </w:tc>
        <w:tc>
          <w:tcPr>
            <w:tcW w:w="929" w:type="dxa"/>
          </w:tcPr>
          <w:p>
            <w:pPr>
              <w:spacing w:before="0" w:after="0" w:line="240" w:lineRule="auto"/>
              <w:jc w:val="left"/>
            </w:pPr>
            <w:r>
              <w:rPr>
                <w:sz w:val="20"/>
                <w:szCs w:val="20"/>
              </w:rPr>
              <w:t xml:space="preserve">−1.07</w:t>
            </w:r>
          </w:p>
        </w:tc>
        <w:tc>
          <w:tcPr>
            <w:tcW w:w="929" w:type="dxa"/>
          </w:tcPr>
          <w:p>
            <w:pPr>
              <w:spacing w:before="0" w:after="0" w:line="240" w:lineRule="auto"/>
              <w:jc w:val="left"/>
            </w:pPr>
            <w:r>
              <w:rPr>
                <w:sz w:val="20"/>
                <w:szCs w:val="20"/>
              </w:rPr>
              <w:t xml:space="preserve">8.15</w:t>
            </w:r>
          </w:p>
        </w:tc>
        <w:tc>
          <w:tcPr>
            <w:tcW w:w="1830" w:type="dxa"/>
          </w:tcPr>
          <w:p>
            <w:pPr>
              <w:spacing w:before="0" w:after="0" w:line="240" w:lineRule="auto"/>
              <w:jc w:val="left"/>
            </w:pPr>
            <w:r>
              <w:rPr>
                <w:sz w:val="20"/>
                <w:szCs w:val="20"/>
              </w:rPr>
              <w:t xml:space="preserve">3,837***</w:t>
            </w:r>
          </w:p>
        </w:tc>
      </w:tr>
      <w:tr>
        <w:tc>
          <w:tcPr>
            <w:tcW w:w="1186" w:type="dxa"/>
          </w:tcPr>
          <w:p>
            <w:pPr>
              <w:spacing w:before="0" w:after="0" w:line="240" w:lineRule="auto"/>
              <w:jc w:val="left"/>
            </w:pPr>
            <w:r>
              <w:rPr>
                <w:sz w:val="20"/>
                <w:szCs w:val="20"/>
              </w:rPr>
              <w:t xml:space="preserve">P</w:t>
            </w:r>
            <w:r>
              <w:rPr>
                <w:vertAlign w:val="subscript"/>
                <w:sz w:val="20"/>
                <w:szCs w:val="20"/>
              </w:rPr>
              <w:t xml:space="preserve">cap</w:t>
            </w:r>
          </w:p>
        </w:tc>
        <w:tc>
          <w:tcPr>
            <w:tcW w:w="929" w:type="dxa"/>
          </w:tcPr>
          <w:p>
            <w:pPr>
              <w:spacing w:before="0" w:after="0" w:line="240" w:lineRule="auto"/>
              <w:jc w:val="left"/>
            </w:pPr>
            <w:r>
              <w:rPr>
                <w:sz w:val="20"/>
                <w:szCs w:val="20"/>
              </w:rPr>
              <w:t xml:space="preserve">M30</w:t>
            </w:r>
          </w:p>
        </w:tc>
        <w:tc>
          <w:tcPr>
            <w:tcW w:w="1057" w:type="dxa"/>
          </w:tcPr>
          <w:p>
            <w:pPr>
              <w:spacing w:before="0" w:after="0" w:line="240" w:lineRule="auto"/>
              <w:jc w:val="left"/>
            </w:pPr>
            <w:r>
              <w:rPr>
                <w:sz w:val="20"/>
                <w:szCs w:val="20"/>
              </w:rPr>
              <w:t xml:space="preserve">21,942</w:t>
            </w:r>
          </w:p>
        </w:tc>
        <w:tc>
          <w:tcPr>
            <w:tcW w:w="1057" w:type="dxa"/>
          </w:tcPr>
          <w:p>
            <w:pPr>
              <w:spacing w:before="0" w:after="0" w:line="240" w:lineRule="auto"/>
              <w:jc w:val="left"/>
            </w:pPr>
            <w:r>
              <w:rPr>
                <w:sz w:val="20"/>
                <w:szCs w:val="20"/>
              </w:rPr>
              <w:t xml:space="preserve">0.0000</w:t>
            </w:r>
          </w:p>
        </w:tc>
        <w:tc>
          <w:tcPr>
            <w:tcW w:w="1444" w:type="dxa"/>
          </w:tcPr>
          <w:p>
            <w:pPr>
              <w:spacing w:before="0" w:after="0" w:line="240" w:lineRule="auto"/>
              <w:jc w:val="left"/>
            </w:pPr>
            <w:r>
              <w:rPr>
                <w:sz w:val="20"/>
                <w:szCs w:val="20"/>
              </w:rPr>
              <w:t xml:space="preserve">0.0041</w:t>
            </w:r>
          </w:p>
        </w:tc>
        <w:tc>
          <w:tcPr>
            <w:tcW w:w="929" w:type="dxa"/>
          </w:tcPr>
          <w:p>
            <w:pPr>
              <w:spacing w:before="0" w:after="0" w:line="240" w:lineRule="auto"/>
              <w:jc w:val="left"/>
            </w:pPr>
            <w:r>
              <w:rPr>
                <w:sz w:val="20"/>
                <w:szCs w:val="20"/>
              </w:rPr>
              <w:t xml:space="preserve">−1.87</w:t>
            </w:r>
          </w:p>
        </w:tc>
        <w:tc>
          <w:tcPr>
            <w:tcW w:w="929" w:type="dxa"/>
          </w:tcPr>
          <w:p>
            <w:pPr>
              <w:spacing w:before="0" w:after="0" w:line="240" w:lineRule="auto"/>
              <w:jc w:val="left"/>
            </w:pPr>
            <w:r>
              <w:rPr>
                <w:sz w:val="20"/>
                <w:szCs w:val="20"/>
              </w:rPr>
              <w:t xml:space="preserve">33.94</w:t>
            </w:r>
          </w:p>
        </w:tc>
        <w:tc>
          <w:tcPr>
            <w:tcW w:w="1830" w:type="dxa"/>
          </w:tcPr>
          <w:p>
            <w:pPr>
              <w:spacing w:before="0" w:after="0" w:line="240" w:lineRule="auto"/>
              <w:jc w:val="left"/>
            </w:pPr>
            <w:r>
              <w:rPr>
                <w:sz w:val="20"/>
                <w:szCs w:val="20"/>
              </w:rPr>
              <w:t xml:space="preserve">887,934***</w:t>
            </w:r>
          </w:p>
        </w:tc>
      </w:tr>
      <w:tr>
        <w:tc>
          <w:tcPr>
            <w:tcW w:w="1186" w:type="dxa"/>
          </w:tcPr>
          <w:p>
            <w:pPr>
              <w:spacing w:before="0" w:after="0" w:line="240" w:lineRule="auto"/>
              <w:jc w:val="left"/>
            </w:pPr>
            <w:r>
              <w:rPr>
                <w:sz w:val="20"/>
                <w:szCs w:val="20"/>
              </w:rPr>
              <w:t xml:space="preserve">P</w:t>
            </w:r>
            <w:r>
              <w:rPr>
                <w:vertAlign w:val="subscript"/>
                <w:sz w:val="20"/>
                <w:szCs w:val="20"/>
              </w:rPr>
              <w:t xml:space="preserve">cap</w:t>
            </w:r>
          </w:p>
        </w:tc>
        <w:tc>
          <w:tcPr>
            <w:tcW w:w="929" w:type="dxa"/>
          </w:tcPr>
          <w:p>
            <w:pPr>
              <w:spacing w:before="0" w:after="0" w:line="240" w:lineRule="auto"/>
              <w:jc w:val="left"/>
            </w:pPr>
            <w:r>
              <w:rPr>
                <w:sz w:val="20"/>
                <w:szCs w:val="20"/>
              </w:rPr>
              <w:t xml:space="preserve">H1</w:t>
            </w:r>
          </w:p>
        </w:tc>
        <w:tc>
          <w:tcPr>
            <w:tcW w:w="1057" w:type="dxa"/>
          </w:tcPr>
          <w:p>
            <w:pPr>
              <w:spacing w:before="0" w:after="0" w:line="240" w:lineRule="auto"/>
              <w:jc w:val="left"/>
            </w:pPr>
            <w:r>
              <w:rPr>
                <w:sz w:val="20"/>
                <w:szCs w:val="20"/>
              </w:rPr>
              <w:t xml:space="preserve">13,523</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0.0052</w:t>
            </w:r>
          </w:p>
        </w:tc>
        <w:tc>
          <w:tcPr>
            <w:tcW w:w="929" w:type="dxa"/>
          </w:tcPr>
          <w:p>
            <w:pPr>
              <w:spacing w:before="0" w:after="0" w:line="240" w:lineRule="auto"/>
              <w:jc w:val="left"/>
            </w:pPr>
            <w:r>
              <w:rPr>
                <w:sz w:val="20"/>
                <w:szCs w:val="20"/>
              </w:rPr>
              <w:t xml:space="preserve">−1.51</w:t>
            </w:r>
          </w:p>
        </w:tc>
        <w:tc>
          <w:tcPr>
            <w:tcW w:w="929" w:type="dxa"/>
          </w:tcPr>
          <w:p>
            <w:pPr>
              <w:spacing w:before="0" w:after="0" w:line="240" w:lineRule="auto"/>
              <w:jc w:val="left"/>
            </w:pPr>
            <w:r>
              <w:rPr>
                <w:sz w:val="20"/>
                <w:szCs w:val="20"/>
              </w:rPr>
              <w:t xml:space="preserve">18.81</w:t>
            </w:r>
          </w:p>
        </w:tc>
        <w:tc>
          <w:tcPr>
            <w:tcW w:w="1830" w:type="dxa"/>
          </w:tcPr>
          <w:p>
            <w:pPr>
              <w:spacing w:before="0" w:after="0" w:line="240" w:lineRule="auto"/>
              <w:jc w:val="left"/>
            </w:pPr>
            <w:r>
              <w:rPr>
                <w:sz w:val="20"/>
                <w:szCs w:val="20"/>
              </w:rPr>
              <w:t xml:space="preserve">145,968***</w:t>
            </w:r>
          </w:p>
        </w:tc>
      </w:tr>
      <w:tr>
        <w:tc>
          <w:tcPr>
            <w:tcW w:w="1186" w:type="dxa"/>
          </w:tcPr>
          <w:p>
            <w:pPr>
              <w:spacing w:before="0" w:after="0" w:line="240" w:lineRule="auto"/>
              <w:jc w:val="left"/>
            </w:pPr>
            <w:r>
              <w:rPr>
                <w:sz w:val="20"/>
                <w:szCs w:val="20"/>
              </w:rPr>
              <w:t xml:space="preserve">P</w:t>
            </w:r>
            <w:r>
              <w:rPr>
                <w:vertAlign w:val="subscript"/>
                <w:sz w:val="20"/>
                <w:szCs w:val="20"/>
              </w:rPr>
              <w:t xml:space="preserve">cap</w:t>
            </w:r>
          </w:p>
        </w:tc>
        <w:tc>
          <w:tcPr>
            <w:tcW w:w="929" w:type="dxa"/>
          </w:tcPr>
          <w:p>
            <w:pPr>
              <w:spacing w:before="0" w:after="0" w:line="240" w:lineRule="auto"/>
              <w:jc w:val="left"/>
            </w:pPr>
            <w:r>
              <w:rPr>
                <w:sz w:val="20"/>
                <w:szCs w:val="20"/>
              </w:rPr>
              <w:t xml:space="preserve">H4</w:t>
            </w:r>
          </w:p>
        </w:tc>
        <w:tc>
          <w:tcPr>
            <w:tcW w:w="1057" w:type="dxa"/>
          </w:tcPr>
          <w:p>
            <w:pPr>
              <w:spacing w:before="0" w:after="0" w:line="240" w:lineRule="auto"/>
              <w:jc w:val="left"/>
            </w:pPr>
            <w:r>
              <w:rPr>
                <w:sz w:val="20"/>
                <w:szCs w:val="20"/>
              </w:rPr>
              <w:t xml:space="preserve">5,410</w:t>
            </w:r>
          </w:p>
        </w:tc>
        <w:tc>
          <w:tcPr>
            <w:tcW w:w="1057" w:type="dxa"/>
          </w:tcPr>
          <w:p>
            <w:pPr>
              <w:spacing w:before="0" w:after="0" w:line="240" w:lineRule="auto"/>
              <w:jc w:val="left"/>
            </w:pPr>
            <w:r>
              <w:rPr>
                <w:sz w:val="20"/>
                <w:szCs w:val="20"/>
              </w:rPr>
              <w:t xml:space="preserve">0.0002</w:t>
            </w:r>
          </w:p>
        </w:tc>
        <w:tc>
          <w:tcPr>
            <w:tcW w:w="1444" w:type="dxa"/>
          </w:tcPr>
          <w:p>
            <w:pPr>
              <w:spacing w:before="0" w:after="0" w:line="240" w:lineRule="auto"/>
              <w:jc w:val="left"/>
            </w:pPr>
            <w:r>
              <w:rPr>
                <w:sz w:val="20"/>
                <w:szCs w:val="20"/>
              </w:rPr>
              <w:t xml:space="preserve">0.0086</w:t>
            </w:r>
          </w:p>
        </w:tc>
        <w:tc>
          <w:tcPr>
            <w:tcW w:w="929" w:type="dxa"/>
          </w:tcPr>
          <w:p>
            <w:pPr>
              <w:spacing w:before="0" w:after="0" w:line="240" w:lineRule="auto"/>
              <w:jc w:val="left"/>
            </w:pPr>
            <w:r>
              <w:rPr>
                <w:sz w:val="20"/>
                <w:szCs w:val="20"/>
              </w:rPr>
              <w:t xml:space="preserve">−1.33</w:t>
            </w:r>
          </w:p>
        </w:tc>
        <w:tc>
          <w:tcPr>
            <w:tcW w:w="929" w:type="dxa"/>
          </w:tcPr>
          <w:p>
            <w:pPr>
              <w:spacing w:before="0" w:after="0" w:line="240" w:lineRule="auto"/>
              <w:jc w:val="left"/>
            </w:pPr>
            <w:r>
              <w:rPr>
                <w:sz w:val="20"/>
                <w:szCs w:val="20"/>
              </w:rPr>
              <w:t xml:space="preserve">11.69</w:t>
            </w:r>
          </w:p>
        </w:tc>
        <w:tc>
          <w:tcPr>
            <w:tcW w:w="1830" w:type="dxa"/>
          </w:tcPr>
          <w:p>
            <w:pPr>
              <w:spacing w:before="0" w:after="0" w:line="240" w:lineRule="auto"/>
              <w:jc w:val="left"/>
            </w:pPr>
            <w:r>
              <w:rPr>
                <w:sz w:val="20"/>
                <w:szCs w:val="20"/>
              </w:rPr>
              <w:t xml:space="preserve">18,632***</w:t>
            </w:r>
          </w:p>
        </w:tc>
      </w:tr>
    </w:tbl>
    <w:p>
      <w:pPr>
        <w:pStyle w:val="Compact"/>
      </w:pPr>
      <w:r>
        <w:rPr>
          <w:sz w:val="20"/>
          <w:szCs w:val="20"/>
        </w:rPr>
        <w:t xml:space="preserve">Notes: Kurt.: non-excess kurtosis; P</w:t>
      </w:r>
      <w:r>
        <w:rPr>
          <w:vertAlign w:val="subscript"/>
          <w:sz w:val="20"/>
          <w:szCs w:val="20"/>
        </w:rPr>
        <w:t xml:space="preserve">cap</w:t>
      </w:r>
      <w:r>
        <w:rPr>
          <w:sz w:val="20"/>
          <w:szCs w:val="20"/>
        </w:rPr>
        <w:t xml:space="preserve">: overlap-purged series of Eq. (6); *** p &lt; 0.01. Source: Authors’ calculations based on the HOSE index data (TradingView).</w:t>
      </w:r>
    </w:p>
    <w:p>
      <w:pPr>
        <w:pStyle w:val="BodyText"/>
        <w:spacing w:before="0" w:after="120" w:line="300" w:lineRule="auto"/>
        <w:jc w:val="both"/>
      </w:pPr>
      <w:r>
        <w:rPr>
          <w:rFonts w:ascii="Times New Roman" w:hAnsi="Times New Roman" w:cs="Times New Roman" w:eastAsia="Times New Roman"/>
          <w:sz w:val="24"/>
          <w:szCs w:val="24"/>
        </w:rPr>
        <w:t xml:space="preserve">All series are negatively skewed and leptokurtic (kurtosis above 33 at M30), and the Jarque–Bera test rejects normality for every series. Neither DCCA nor the block bootstrap requires Gaussian returns.</w:t>
      </w:r>
    </w:p>
    <w:p>
      <w:pPr>
        <w:pStyle w:val="tablecaption0"/>
      </w:pPr>
      <w:r>
        <w:rPr>
          <w:bCs/>
          <w:b/>
        </w:rPr>
        <w:t xml:space="preserve">Table 3</w:t>
      </w:r>
      <w:r>
        <w:t xml:space="preserve"> </w:t>
      </w:r>
      <w:r>
        <w:t xml:space="preserve">Finite-sample reliability thresholds of the DCCA coefficient</w:t>
      </w:r>
    </w:p>
    <w:tbl>
      <w:tblPr>
        <w:tblStyle w:val="TableGrid"/>
        <w:tblW w:type="auto" w:w="0"/>
        <w:tblLook w:firstRow="1" w:lastRow="0" w:firstColumn="0" w:lastColumn="0" w:noHBand="0" w:noVBand="0" w:val="0020"/>
        <w:jc w:val="start"/>
      </w:tblPr>
      <w:tblGrid>
        <w:gridCol w:w="2692"/>
        <w:gridCol w:w="1284"/>
        <w:gridCol w:w="2379"/>
        <w:gridCol w:w="3005"/>
      </w:tblGrid>
      <w:tr>
        <w:trPr>
          <w:tblHeader w:val="true"/>
        </w:trPr>
        <w:tc>
          <w:tcPr>
            <w:tcW w:w="2692" w:type="dxa"/>
          </w:tcPr>
          <w:p>
            <w:pPr>
              <w:spacing w:before="0" w:after="0" w:line="240" w:lineRule="auto"/>
              <w:jc w:val="left"/>
            </w:pPr>
            <w:r>
              <w:rPr>
                <w:sz w:val="20"/>
                <w:szCs w:val="20"/>
              </w:rPr>
              <w:t xml:space="preserve">Frequency</w:t>
            </w:r>
          </w:p>
        </w:tc>
        <w:tc>
          <w:tcPr>
            <w:tcW w:w="1284" w:type="dxa"/>
          </w:tcPr>
          <w:p>
            <w:pPr>
              <w:spacing w:before="0" w:after="0" w:line="240" w:lineRule="auto"/>
              <w:jc w:val="left"/>
            </w:pPr>
            <w:r>
              <w:rPr>
                <w:sz w:val="20"/>
                <w:szCs w:val="20"/>
              </w:rPr>
              <w:t xml:space="preserve">N</w:t>
            </w:r>
          </w:p>
        </w:tc>
        <w:tc>
          <w:tcPr>
            <w:tcW w:w="2379" w:type="dxa"/>
          </w:tcPr>
          <w:p>
            <w:pPr>
              <w:spacing w:before="0" w:after="0" w:line="240" w:lineRule="auto"/>
              <w:jc w:val="left"/>
            </w:pPr>
            <w:r>
              <w:rPr>
                <w:sz w:val="20"/>
                <w:szCs w:val="20"/>
              </w:rPr>
              <w:t xml:space="preserve">Gaussian s</w:t>
            </w:r>
            <w:r>
              <w:rPr>
                <w:vertAlign w:val="subscript"/>
                <w:sz w:val="20"/>
                <w:szCs w:val="20"/>
              </w:rPr>
              <w:t xml:space="preserve">rel</w:t>
            </w:r>
          </w:p>
        </w:tc>
        <w:tc>
          <w:tcPr>
            <w:tcW w:w="3005" w:type="dxa"/>
          </w:tcPr>
          <w:p>
            <w:pPr>
              <w:spacing w:before="0" w:after="0" w:line="240" w:lineRule="auto"/>
              <w:jc w:val="left"/>
            </w:pPr>
            <w:r>
              <w:rPr>
                <w:sz w:val="20"/>
                <w:szCs w:val="20"/>
              </w:rPr>
              <w:t xml:space="preserve">Heavy-tailed s</w:t>
            </w:r>
            <w:r>
              <w:rPr>
                <w:vertAlign w:val="subscript"/>
                <w:sz w:val="20"/>
                <w:szCs w:val="20"/>
              </w:rPr>
              <w:t xml:space="preserve">rel</w:t>
            </w:r>
          </w:p>
        </w:tc>
      </w:tr>
      <w:tr>
        <w:tc>
          <w:tcPr>
            <w:tcW w:w="2692" w:type="dxa"/>
          </w:tcPr>
          <w:p>
            <w:pPr>
              <w:spacing w:before="0" w:after="0" w:line="240" w:lineRule="auto"/>
              <w:jc w:val="left"/>
            </w:pPr>
            <w:r>
              <w:rPr>
                <w:sz w:val="20"/>
                <w:szCs w:val="20"/>
              </w:rPr>
              <w:t xml:space="preserve">Daily (1D)</w:t>
            </w:r>
          </w:p>
        </w:tc>
        <w:tc>
          <w:tcPr>
            <w:tcW w:w="1284" w:type="dxa"/>
          </w:tcPr>
          <w:p>
            <w:pPr>
              <w:spacing w:before="0" w:after="0" w:line="240" w:lineRule="auto"/>
              <w:jc w:val="left"/>
            </w:pPr>
            <w:r>
              <w:rPr>
                <w:sz w:val="20"/>
                <w:szCs w:val="20"/>
              </w:rPr>
              <w:t xml:space="preserve">2,963</w:t>
            </w:r>
          </w:p>
        </w:tc>
        <w:tc>
          <w:tcPr>
            <w:tcW w:w="2379" w:type="dxa"/>
          </w:tcPr>
          <w:p>
            <w:pPr>
              <w:spacing w:before="0" w:after="0" w:line="240" w:lineRule="auto"/>
              <w:jc w:val="left"/>
            </w:pPr>
            <w:r>
              <w:rPr>
                <w:sz w:val="20"/>
                <w:szCs w:val="20"/>
              </w:rPr>
              <w:t xml:space="preserve">50</w:t>
            </w:r>
          </w:p>
        </w:tc>
        <w:tc>
          <w:tcPr>
            <w:tcW w:w="3005" w:type="dxa"/>
          </w:tcPr>
          <w:p>
            <w:pPr>
              <w:spacing w:before="0" w:after="0" w:line="240" w:lineRule="auto"/>
              <w:jc w:val="left"/>
            </w:pPr>
            <w:r>
              <w:rPr>
                <w:sz w:val="20"/>
                <w:szCs w:val="20"/>
              </w:rPr>
              <w:t xml:space="preserve">20</w:t>
            </w:r>
          </w:p>
        </w:tc>
      </w:tr>
      <w:tr>
        <w:tc>
          <w:tcPr>
            <w:tcW w:w="2692" w:type="dxa"/>
          </w:tcPr>
          <w:p>
            <w:pPr>
              <w:spacing w:before="0" w:after="0" w:line="240" w:lineRule="auto"/>
              <w:jc w:val="left"/>
            </w:pPr>
            <w:r>
              <w:rPr>
                <w:sz w:val="20"/>
                <w:szCs w:val="20"/>
              </w:rPr>
              <w:t xml:space="preserve">30-minute (M30)</w:t>
            </w:r>
          </w:p>
        </w:tc>
        <w:tc>
          <w:tcPr>
            <w:tcW w:w="1284" w:type="dxa"/>
          </w:tcPr>
          <w:p>
            <w:pPr>
              <w:spacing w:before="0" w:after="0" w:line="240" w:lineRule="auto"/>
              <w:jc w:val="left"/>
            </w:pPr>
            <w:r>
              <w:rPr>
                <w:sz w:val="20"/>
                <w:szCs w:val="20"/>
              </w:rPr>
              <w:t xml:space="preserve">21,942</w:t>
            </w:r>
          </w:p>
        </w:tc>
        <w:tc>
          <w:tcPr>
            <w:tcW w:w="2379" w:type="dxa"/>
          </w:tcPr>
          <w:p>
            <w:pPr>
              <w:spacing w:before="0" w:after="0" w:line="240" w:lineRule="auto"/>
              <w:jc w:val="left"/>
            </w:pPr>
            <w:r>
              <w:rPr>
                <w:sz w:val="20"/>
                <w:szCs w:val="20"/>
              </w:rPr>
              <w:t xml:space="preserve">444</w:t>
            </w:r>
          </w:p>
        </w:tc>
        <w:tc>
          <w:tcPr>
            <w:tcW w:w="3005" w:type="dxa"/>
          </w:tcPr>
          <w:p>
            <w:pPr>
              <w:spacing w:before="0" w:after="0" w:line="240" w:lineRule="auto"/>
              <w:jc w:val="left"/>
            </w:pPr>
            <w:r>
              <w:rPr>
                <w:sz w:val="20"/>
                <w:szCs w:val="20"/>
              </w:rPr>
              <w:t xml:space="preserve">151</w:t>
            </w:r>
          </w:p>
        </w:tc>
      </w:tr>
      <w:tr>
        <w:tc>
          <w:tcPr>
            <w:tcW w:w="2692" w:type="dxa"/>
          </w:tcPr>
          <w:p>
            <w:pPr>
              <w:spacing w:before="0" w:after="0" w:line="240" w:lineRule="auto"/>
              <w:jc w:val="left"/>
            </w:pPr>
            <w:r>
              <w:rPr>
                <w:sz w:val="20"/>
                <w:szCs w:val="20"/>
              </w:rPr>
              <w:t xml:space="preserve">1-hour (H1)</w:t>
            </w:r>
          </w:p>
        </w:tc>
        <w:tc>
          <w:tcPr>
            <w:tcW w:w="1284" w:type="dxa"/>
          </w:tcPr>
          <w:p>
            <w:pPr>
              <w:spacing w:before="0" w:after="0" w:line="240" w:lineRule="auto"/>
              <w:jc w:val="left"/>
            </w:pPr>
            <w:r>
              <w:rPr>
                <w:sz w:val="20"/>
                <w:szCs w:val="20"/>
              </w:rPr>
              <w:t xml:space="preserve">13,523</w:t>
            </w:r>
          </w:p>
        </w:tc>
        <w:tc>
          <w:tcPr>
            <w:tcW w:w="2379" w:type="dxa"/>
          </w:tcPr>
          <w:p>
            <w:pPr>
              <w:spacing w:before="0" w:after="0" w:line="240" w:lineRule="auto"/>
              <w:jc w:val="left"/>
            </w:pPr>
            <w:r>
              <w:rPr>
                <w:sz w:val="20"/>
                <w:szCs w:val="20"/>
              </w:rPr>
              <w:t xml:space="preserve">233</w:t>
            </w:r>
          </w:p>
        </w:tc>
        <w:tc>
          <w:tcPr>
            <w:tcW w:w="3005" w:type="dxa"/>
          </w:tcPr>
          <w:p>
            <w:pPr>
              <w:spacing w:before="0" w:after="0" w:line="240" w:lineRule="auto"/>
              <w:jc w:val="left"/>
            </w:pPr>
            <w:r>
              <w:rPr>
                <w:sz w:val="20"/>
                <w:szCs w:val="20"/>
              </w:rPr>
              <w:t xml:space="preserve">86</w:t>
            </w:r>
          </w:p>
        </w:tc>
      </w:tr>
      <w:tr>
        <w:tc>
          <w:tcPr>
            <w:tcW w:w="2692" w:type="dxa"/>
          </w:tcPr>
          <w:p>
            <w:pPr>
              <w:spacing w:before="0" w:after="0" w:line="240" w:lineRule="auto"/>
              <w:jc w:val="left"/>
            </w:pPr>
            <w:r>
              <w:rPr>
                <w:sz w:val="20"/>
                <w:szCs w:val="20"/>
              </w:rPr>
              <w:t xml:space="preserve">4-hour (H4)</w:t>
            </w:r>
          </w:p>
        </w:tc>
        <w:tc>
          <w:tcPr>
            <w:tcW w:w="1284" w:type="dxa"/>
          </w:tcPr>
          <w:p>
            <w:pPr>
              <w:spacing w:before="0" w:after="0" w:line="240" w:lineRule="auto"/>
              <w:jc w:val="left"/>
            </w:pPr>
            <w:r>
              <w:rPr>
                <w:sz w:val="20"/>
                <w:szCs w:val="20"/>
              </w:rPr>
              <w:t xml:space="preserve">5,410</w:t>
            </w:r>
          </w:p>
        </w:tc>
        <w:tc>
          <w:tcPr>
            <w:tcW w:w="2379" w:type="dxa"/>
          </w:tcPr>
          <w:p>
            <w:pPr>
              <w:spacing w:before="0" w:after="0" w:line="240" w:lineRule="auto"/>
              <w:jc w:val="left"/>
            </w:pPr>
            <w:r>
              <w:rPr>
                <w:sz w:val="20"/>
                <w:szCs w:val="20"/>
              </w:rPr>
              <w:t xml:space="preserve">88</w:t>
            </w:r>
          </w:p>
        </w:tc>
        <w:tc>
          <w:tcPr>
            <w:tcW w:w="3005" w:type="dxa"/>
          </w:tcPr>
          <w:p>
            <w:pPr>
              <w:spacing w:before="0" w:after="0" w:line="240" w:lineRule="auto"/>
              <w:jc w:val="left"/>
            </w:pPr>
            <w:r>
              <w:rPr>
                <w:sz w:val="20"/>
                <w:szCs w:val="20"/>
              </w:rPr>
              <w:t xml:space="preserve">28</w:t>
            </w:r>
          </w:p>
        </w:tc>
      </w:tr>
    </w:tbl>
    <w:p>
      <w:pPr>
        <w:pStyle w:val="Compact"/>
      </w:pPr>
      <w:r>
        <w:rPr>
          <w:sz w:val="20"/>
          <w:szCs w:val="20"/>
        </w:rPr>
        <w:t xml:space="preserve">Notes: DCCA: detrended cross-correlation analysis; s</w:t>
      </w:r>
      <w:r>
        <w:rPr>
          <w:vertAlign w:val="subscript"/>
          <w:sz w:val="20"/>
          <w:szCs w:val="20"/>
        </w:rPr>
        <w:t xml:space="preserve">rel</w:t>
      </w:r>
      <w:r>
        <w:rPr>
          <w:sz w:val="20"/>
          <w:szCs w:val="20"/>
        </w:rPr>
        <w:t xml:space="preserve">: largest scale (bars) at which the worst-case mean absolute error stays below 0.05; Gaussian: 1,002 white-noise simulations; heavy-tailed: 300 GARCH(1,1)-t(5) simulations (generalized autoregressive conditional heteroscedasticity).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Gaussian thresholds range from 50 days at 1D to 444 bars at M30, and heavy tails cut them by about two-thirds. Averages below use the Gaussian thresholds. Over the heavy-tailed ranges, the nested averages become 0.975–0.979 and the purged average 0.882–0.890, so no conclusion depends on the choice.</w:t>
      </w:r>
    </w:p>
    <w:p>
      <w:pPr>
        <w:pStyle w:val="heading20"/>
        <w:numPr>
          <w:ilvl w:val="0"/>
          <w:numId w:val="0"/>
        </w:numPr>
      </w:pPr>
      <w:r>
        <w:rPr>
          <w:rFonts w:ascii="Times New Roman" w:hAnsi="Times New Roman" w:cs="Times New Roman" w:eastAsia="Times New Roman"/>
          <w:b/>
          <w:sz w:val="24"/>
          <w:szCs w:val="24"/>
        </w:rPr>
        <w:t xml:space="preserve">5.2 The overlap gap (H</w:t>
      </w:r>
      <w:r>
        <w:rPr>
          <w:rFonts w:ascii="Times New Roman" w:hAnsi="Times New Roman" w:cs="Times New Roman" w:eastAsia="Times New Roman"/>
          <w:b/>
          <w:vertAlign w:val="subscript"/>
          <w:sz w:val="24"/>
          <w:szCs w:val="24"/>
        </w:rPr>
        <w:t xml:space="preserve">1</w:t>
      </w:r>
      <w:r>
        <w:rPr>
          <w:rFonts w:ascii="Times New Roman" w:hAnsi="Times New Roman" w:cs="Times New Roman" w:eastAsia="Times New Roman"/>
          <w:b/>
          <w:sz w:val="24"/>
          <w:szCs w:val="24"/>
        </w:rPr>
        <w:t xml:space="preserve">)</w:t>
      </w:r>
    </w:p>
    <w:p>
      <w:pPr>
        <w:pStyle w:val="p1a"/>
        <w:spacing w:before="0" w:after="120" w:line="300" w:lineRule="auto"/>
        <w:jc w:val="both"/>
      </w:pPr>
      <w:r>
        <w:rPr>
          <w:rFonts w:ascii="Times New Roman" w:hAnsi="Times New Roman" w:cs="Times New Roman" w:eastAsia="Times New Roman"/>
          <w:sz w:val="24"/>
          <w:szCs w:val="24"/>
        </w:rPr>
        <w:t xml:space="preserve">Table 4 compares the nested and purged coefficients; Fig. 2 shows the curves with bootstrap bands.</w:t>
      </w:r>
    </w:p>
    <w:p>
      <w:pPr>
        <w:pStyle w:val="tablecaption0"/>
      </w:pPr>
      <w:r>
        <w:rPr>
          <w:bCs/>
          <w:b/>
        </w:rPr>
        <w:t xml:space="preserve">Table 4</w:t>
      </w:r>
      <w:r>
        <w:t xml:space="preserve"> </w:t>
      </w:r>
      <w:r>
        <w:t xml:space="preserve">Average DCCA coefficients of the nested pairs and the overlap-purged pair</w:t>
      </w:r>
    </w:p>
    <w:tbl>
      <w:tblPr>
        <w:tblStyle w:val="TableGrid"/>
        <w:tblW w:type="pct" w:w="5000"/>
        <w:tblLook w:firstRow="1" w:lastRow="0" w:firstColumn="0" w:lastColumn="0" w:noHBand="0" w:noVBand="0" w:val="0020"/>
        <w:jc w:val="start"/>
      </w:tblPr>
      <w:tblGrid>
        <w:gridCol w:w="1358"/>
        <w:gridCol w:w="1014"/>
        <w:gridCol w:w="910"/>
        <w:gridCol w:w="878"/>
        <w:gridCol w:w="1470"/>
        <w:gridCol w:w="1566"/>
        <w:gridCol w:w="1310"/>
        <w:gridCol w:w="854"/>
      </w:tblGrid>
      <w:tr>
        <w:trPr>
          <w:tblHeader w:val="true"/>
        </w:trPr>
        <w:tc>
          <w:tcPr>
            <w:tcW w:w="1358" w:type="dxa"/>
          </w:tcPr>
          <w:p>
            <w:pPr>
              <w:spacing w:before="0" w:after="0" w:line="240" w:lineRule="auto"/>
              <w:jc w:val="left"/>
            </w:pPr>
            <w:r>
              <w:rPr>
                <w:sz w:val="20"/>
                <w:szCs w:val="20"/>
              </w:rPr>
              <w:t xml:space="preserve">Frequency</w:t>
            </w:r>
          </w:p>
        </w:tc>
        <w:tc>
          <w:tcPr>
            <w:tcW w:w="1014" w:type="dxa"/>
          </w:tcPr>
          <w:p>
            <w:pPr>
              <w:spacing w:before="0" w:after="0" w:line="240" w:lineRule="auto"/>
              <w:jc w:val="left"/>
            </w:pPr>
            <w:r>
              <w:rPr>
                <w:sz w:val="20"/>
                <w:szCs w:val="20"/>
              </w:rPr>
              <w:t xml:space="preserve">Nested mean</w:t>
            </w:r>
          </w:p>
        </w:tc>
        <w:tc>
          <w:tcPr>
            <w:tcW w:w="910" w:type="dxa"/>
          </w:tcPr>
          <w:p>
            <w:pPr>
              <w:spacing w:before="0" w:after="0" w:line="240" w:lineRule="auto"/>
              <w:jc w:val="left"/>
            </w:pPr>
            <w:r>
              <w:rPr>
                <w:sz w:val="20"/>
                <w:szCs w:val="20"/>
              </w:rPr>
              <w:t xml:space="preserve">VN30–VN100</w:t>
            </w:r>
          </w:p>
        </w:tc>
        <w:tc>
          <w:tcPr>
            <w:tcW w:w="878"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470" w:type="dxa"/>
          </w:tcPr>
          <w:p>
            <w:pPr>
              <w:spacing w:before="0" w:after="0" w:line="240" w:lineRule="auto"/>
              <w:jc w:val="left"/>
            </w:pPr>
            <w:r>
              <w:rPr>
                <w:sz w:val="20"/>
                <w:szCs w:val="20"/>
              </w:rPr>
              <w:t xml:space="preserve">Three-pair gap [95% CI]</w:t>
            </w:r>
          </w:p>
        </w:tc>
        <w:tc>
          <w:tcPr>
            <w:tcW w:w="1566" w:type="dxa"/>
          </w:tcPr>
          <w:p>
            <w:pPr>
              <w:spacing w:before="0" w:after="0" w:line="240" w:lineRule="auto"/>
              <w:jc w:val="left"/>
            </w:pPr>
            <w:r>
              <w:rPr>
                <w:sz w:val="20"/>
                <w:szCs w:val="20"/>
              </w:rPr>
              <w:t xml:space="preserve">Like-for-like gap [95% CI]</w:t>
            </w:r>
          </w:p>
        </w:tc>
        <w:tc>
          <w:tcPr>
            <w:tcW w:w="1310" w:type="dxa"/>
          </w:tcPr>
          <w:p>
            <w:pPr>
              <w:spacing w:before="0" w:after="0" w:line="240" w:lineRule="auto"/>
              <w:jc w:val="left"/>
            </w:pPr>
            <w:r>
              <w:rPr>
                <w:sz w:val="20"/>
                <w:szCs w:val="20"/>
              </w:rPr>
              <w:t xml:space="preserve">Cohen’s q [95% CI]</w:t>
            </w:r>
          </w:p>
        </w:tc>
        <w:tc>
          <w:tcPr>
            <w:tcW w:w="854" w:type="dxa"/>
          </w:tcPr>
          <w:p>
            <w:pPr>
              <w:spacing w:before="0" w:after="0" w:line="240" w:lineRule="auto"/>
              <w:jc w:val="left"/>
            </w:pPr>
            <w:r>
              <w:rPr>
                <w:sz w:val="20"/>
                <w:szCs w:val="20"/>
              </w:rPr>
              <w:t xml:space="preserve">N</w:t>
            </w:r>
          </w:p>
        </w:tc>
      </w:tr>
      <w:tr>
        <w:tc>
          <w:tcPr>
            <w:tcW w:w="9360" w:type="dxa"/>
            <w:gridSpan w:val="8"/>
          </w:tcPr>
          <w:p>
            <w:pPr>
              <w:spacing w:before="0" w:after="0" w:line="240" w:lineRule="auto"/>
              <w:jc w:val="left"/>
            </w:pPr>
            <w:r>
              <w:rPr>
                <w:iCs/>
                <w:i/>
                <w:sz w:val="20"/>
                <w:szCs w:val="20"/>
              </w:rPr>
              <w:t xml:space="preserve">Panel A: synchronized window, 2017–2024</w:t>
            </w:r>
          </w:p>
        </w:tc>
      </w:tr>
      <w:tr>
        <w:tc>
          <w:tcPr>
            <w:tcW w:w="1358" w:type="dxa"/>
          </w:tcPr>
          <w:p>
            <w:pPr>
              <w:spacing w:before="0" w:after="0" w:line="240" w:lineRule="auto"/>
              <w:jc w:val="left"/>
            </w:pPr>
            <w:r>
              <w:rPr>
                <w:sz w:val="20"/>
                <w:szCs w:val="20"/>
              </w:rPr>
              <w:t xml:space="preserve">Daily (1D)</w:t>
            </w:r>
          </w:p>
        </w:tc>
        <w:tc>
          <w:tcPr>
            <w:tcW w:w="1014" w:type="dxa"/>
          </w:tcPr>
          <w:p>
            <w:pPr>
              <w:spacing w:before="0" w:after="0" w:line="240" w:lineRule="auto"/>
              <w:jc w:val="left"/>
            </w:pPr>
            <w:r>
              <w:rPr>
                <w:sz w:val="20"/>
                <w:szCs w:val="20"/>
              </w:rPr>
              <w:t xml:space="preserve">0.980</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0.890</w:t>
            </w:r>
          </w:p>
        </w:tc>
        <w:tc>
          <w:tcPr>
            <w:tcW w:w="1470" w:type="dxa"/>
          </w:tcPr>
          <w:p>
            <w:pPr>
              <w:spacing w:before="0" w:after="0" w:line="240" w:lineRule="auto"/>
              <w:jc w:val="left"/>
            </w:pPr>
            <w:r>
              <w:rPr>
                <w:sz w:val="20"/>
                <w:szCs w:val="20"/>
              </w:rPr>
              <w:t xml:space="preserve">0.090</w:t>
            </w:r>
          </w:p>
        </w:tc>
        <w:tc>
          <w:tcPr>
            <w:tcW w:w="1566" w:type="dxa"/>
          </w:tcPr>
          <w:p>
            <w:pPr>
              <w:spacing w:before="0" w:after="0" w:line="240" w:lineRule="auto"/>
            </w:pPr>
          </w:p>
        </w:tc>
        <w:tc>
          <w:tcPr>
            <w:tcW w:w="1310" w:type="dxa"/>
          </w:tcPr>
          <w:p>
            <w:pPr>
              <w:spacing w:before="0" w:after="0" w:line="240" w:lineRule="auto"/>
            </w:pPr>
          </w:p>
        </w:tc>
        <w:tc>
          <w:tcPr>
            <w:tcW w:w="854" w:type="dxa"/>
          </w:tcPr>
          <w:p>
            <w:pPr>
              <w:spacing w:before="0" w:after="0" w:line="240" w:lineRule="auto"/>
              <w:jc w:val="left"/>
            </w:pPr>
            <w:r>
              <w:rPr>
                <w:sz w:val="20"/>
                <w:szCs w:val="20"/>
              </w:rPr>
              <w:t xml:space="preserve">1,983</w:t>
            </w:r>
          </w:p>
        </w:tc>
      </w:tr>
      <w:tr>
        <w:tc>
          <w:tcPr>
            <w:tcW w:w="1358" w:type="dxa"/>
          </w:tcPr>
          <w:p>
            <w:pPr>
              <w:spacing w:before="0" w:after="0" w:line="240" w:lineRule="auto"/>
              <w:jc w:val="left"/>
            </w:pPr>
            <w:r>
              <w:rPr>
                <w:sz w:val="20"/>
                <w:szCs w:val="20"/>
              </w:rPr>
              <w:t xml:space="preserve">30-minute (M30)</w:t>
            </w:r>
          </w:p>
        </w:tc>
        <w:tc>
          <w:tcPr>
            <w:tcW w:w="1014" w:type="dxa"/>
          </w:tcPr>
          <w:p>
            <w:pPr>
              <w:spacing w:before="0" w:after="0" w:line="240" w:lineRule="auto"/>
              <w:jc w:val="left"/>
            </w:pPr>
            <w:r>
              <w:rPr>
                <w:sz w:val="20"/>
                <w:szCs w:val="20"/>
              </w:rPr>
              <w:t xml:space="preserve">0.979</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0.890</w:t>
            </w:r>
          </w:p>
        </w:tc>
        <w:tc>
          <w:tcPr>
            <w:tcW w:w="1470" w:type="dxa"/>
          </w:tcPr>
          <w:p>
            <w:pPr>
              <w:spacing w:before="0" w:after="0" w:line="240" w:lineRule="auto"/>
              <w:jc w:val="left"/>
            </w:pPr>
            <w:r>
              <w:rPr>
                <w:sz w:val="20"/>
                <w:szCs w:val="20"/>
              </w:rPr>
              <w:t xml:space="preserve">0.089</w:t>
            </w:r>
          </w:p>
        </w:tc>
        <w:tc>
          <w:tcPr>
            <w:tcW w:w="1566" w:type="dxa"/>
          </w:tcPr>
          <w:p>
            <w:pPr>
              <w:spacing w:before="0" w:after="0" w:line="240" w:lineRule="auto"/>
            </w:pPr>
          </w:p>
        </w:tc>
        <w:tc>
          <w:tcPr>
            <w:tcW w:w="1310" w:type="dxa"/>
          </w:tcPr>
          <w:p>
            <w:pPr>
              <w:spacing w:before="0" w:after="0" w:line="240" w:lineRule="auto"/>
            </w:pPr>
          </w:p>
        </w:tc>
        <w:tc>
          <w:tcPr>
            <w:tcW w:w="854" w:type="dxa"/>
          </w:tcPr>
          <w:p>
            <w:pPr>
              <w:spacing w:before="0" w:after="0" w:line="240" w:lineRule="auto"/>
              <w:jc w:val="left"/>
            </w:pPr>
            <w:r>
              <w:rPr>
                <w:sz w:val="20"/>
                <w:szCs w:val="20"/>
              </w:rPr>
              <w:t xml:space="preserve">19,463</w:t>
            </w:r>
          </w:p>
        </w:tc>
      </w:tr>
      <w:tr>
        <w:tc>
          <w:tcPr>
            <w:tcW w:w="1358" w:type="dxa"/>
          </w:tcPr>
          <w:p>
            <w:pPr>
              <w:spacing w:before="0" w:after="0" w:line="240" w:lineRule="auto"/>
              <w:jc w:val="left"/>
            </w:pPr>
            <w:r>
              <w:rPr>
                <w:sz w:val="20"/>
                <w:szCs w:val="20"/>
              </w:rPr>
              <w:t xml:space="preserve">1-hour (H1)</w:t>
            </w:r>
          </w:p>
        </w:tc>
        <w:tc>
          <w:tcPr>
            <w:tcW w:w="1014" w:type="dxa"/>
          </w:tcPr>
          <w:p>
            <w:pPr>
              <w:spacing w:before="0" w:after="0" w:line="240" w:lineRule="auto"/>
              <w:jc w:val="left"/>
            </w:pPr>
            <w:r>
              <w:rPr>
                <w:sz w:val="20"/>
                <w:szCs w:val="20"/>
              </w:rPr>
              <w:t xml:space="preserve">0.979</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0.891</w:t>
            </w:r>
          </w:p>
        </w:tc>
        <w:tc>
          <w:tcPr>
            <w:tcW w:w="1470" w:type="dxa"/>
          </w:tcPr>
          <w:p>
            <w:pPr>
              <w:spacing w:before="0" w:after="0" w:line="240" w:lineRule="auto"/>
              <w:jc w:val="left"/>
            </w:pPr>
            <w:r>
              <w:rPr>
                <w:sz w:val="20"/>
                <w:szCs w:val="20"/>
              </w:rPr>
              <w:t xml:space="preserve">0.089</w:t>
            </w:r>
          </w:p>
        </w:tc>
        <w:tc>
          <w:tcPr>
            <w:tcW w:w="1566" w:type="dxa"/>
          </w:tcPr>
          <w:p>
            <w:pPr>
              <w:spacing w:before="0" w:after="0" w:line="240" w:lineRule="auto"/>
            </w:pPr>
          </w:p>
        </w:tc>
        <w:tc>
          <w:tcPr>
            <w:tcW w:w="1310" w:type="dxa"/>
          </w:tcPr>
          <w:p>
            <w:pPr>
              <w:spacing w:before="0" w:after="0" w:line="240" w:lineRule="auto"/>
            </w:pPr>
          </w:p>
        </w:tc>
        <w:tc>
          <w:tcPr>
            <w:tcW w:w="854" w:type="dxa"/>
          </w:tcPr>
          <w:p>
            <w:pPr>
              <w:spacing w:before="0" w:after="0" w:line="240" w:lineRule="auto"/>
              <w:jc w:val="left"/>
            </w:pPr>
            <w:r>
              <w:rPr>
                <w:sz w:val="20"/>
                <w:szCs w:val="20"/>
              </w:rPr>
              <w:t xml:space="preserve">9,879</w:t>
            </w:r>
          </w:p>
        </w:tc>
      </w:tr>
      <w:tr>
        <w:tc>
          <w:tcPr>
            <w:tcW w:w="1358" w:type="dxa"/>
          </w:tcPr>
          <w:p>
            <w:pPr>
              <w:spacing w:before="0" w:after="0" w:line="240" w:lineRule="auto"/>
              <w:jc w:val="left"/>
            </w:pPr>
            <w:r>
              <w:rPr>
                <w:sz w:val="20"/>
                <w:szCs w:val="20"/>
              </w:rPr>
              <w:t xml:space="preserve">4-hour (H4)</w:t>
            </w:r>
          </w:p>
        </w:tc>
        <w:tc>
          <w:tcPr>
            <w:tcW w:w="1014" w:type="dxa"/>
          </w:tcPr>
          <w:p>
            <w:pPr>
              <w:spacing w:before="0" w:after="0" w:line="240" w:lineRule="auto"/>
              <w:jc w:val="left"/>
            </w:pPr>
            <w:r>
              <w:rPr>
                <w:sz w:val="20"/>
                <w:szCs w:val="20"/>
              </w:rPr>
              <w:t xml:space="preserve">0.980</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0.892</w:t>
            </w:r>
          </w:p>
        </w:tc>
        <w:tc>
          <w:tcPr>
            <w:tcW w:w="1470" w:type="dxa"/>
          </w:tcPr>
          <w:p>
            <w:pPr>
              <w:spacing w:before="0" w:after="0" w:line="240" w:lineRule="auto"/>
              <w:jc w:val="left"/>
            </w:pPr>
            <w:r>
              <w:rPr>
                <w:sz w:val="20"/>
                <w:szCs w:val="20"/>
              </w:rPr>
              <w:t xml:space="preserve">0.089</w:t>
            </w:r>
          </w:p>
        </w:tc>
        <w:tc>
          <w:tcPr>
            <w:tcW w:w="1566" w:type="dxa"/>
          </w:tcPr>
          <w:p>
            <w:pPr>
              <w:spacing w:before="0" w:after="0" w:line="240" w:lineRule="auto"/>
            </w:pPr>
          </w:p>
        </w:tc>
        <w:tc>
          <w:tcPr>
            <w:tcW w:w="1310" w:type="dxa"/>
          </w:tcPr>
          <w:p>
            <w:pPr>
              <w:spacing w:before="0" w:after="0" w:line="240" w:lineRule="auto"/>
            </w:pPr>
          </w:p>
        </w:tc>
        <w:tc>
          <w:tcPr>
            <w:tcW w:w="854" w:type="dxa"/>
          </w:tcPr>
          <w:p>
            <w:pPr>
              <w:spacing w:before="0" w:after="0" w:line="240" w:lineRule="auto"/>
              <w:jc w:val="left"/>
            </w:pPr>
            <w:r>
              <w:rPr>
                <w:sz w:val="20"/>
                <w:szCs w:val="20"/>
              </w:rPr>
              <w:t xml:space="preserve">3,953</w:t>
            </w:r>
          </w:p>
        </w:tc>
      </w:tr>
      <w:tr>
        <w:tc>
          <w:tcPr>
            <w:tcW w:w="9360" w:type="dxa"/>
            <w:gridSpan w:val="8"/>
          </w:tcPr>
          <w:p>
            <w:pPr>
              <w:spacing w:before="0" w:after="0" w:line="240" w:lineRule="auto"/>
              <w:jc w:val="left"/>
            </w:pPr>
            <w:r>
              <w:rPr>
                <w:iCs/>
                <w:i/>
                <w:sz w:val="20"/>
                <w:szCs w:val="20"/>
              </w:rPr>
              <w:t xml:space="preserve">Panel B: full sample, 2014–2025</w:t>
            </w:r>
          </w:p>
        </w:tc>
      </w:tr>
      <w:tr>
        <w:tc>
          <w:tcPr>
            <w:tcW w:w="1358" w:type="dxa"/>
          </w:tcPr>
          <w:p>
            <w:pPr>
              <w:spacing w:before="0" w:after="0" w:line="240" w:lineRule="auto"/>
              <w:jc w:val="left"/>
            </w:pPr>
            <w:r>
              <w:rPr>
                <w:sz w:val="20"/>
                <w:szCs w:val="20"/>
              </w:rPr>
              <w:t xml:space="preserve">Daily (1D)</w:t>
            </w:r>
          </w:p>
        </w:tc>
        <w:tc>
          <w:tcPr>
            <w:tcW w:w="1014" w:type="dxa"/>
          </w:tcPr>
          <w:p>
            <w:pPr>
              <w:spacing w:before="0" w:after="0" w:line="240" w:lineRule="auto"/>
              <w:jc w:val="left"/>
            </w:pPr>
            <w:r>
              <w:rPr>
                <w:sz w:val="20"/>
                <w:szCs w:val="20"/>
              </w:rPr>
              <w:t xml:space="preserve">0.977</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0.884</w:t>
            </w:r>
          </w:p>
        </w:tc>
        <w:tc>
          <w:tcPr>
            <w:tcW w:w="1470" w:type="dxa"/>
          </w:tcPr>
          <w:p>
            <w:pPr>
              <w:spacing w:before="0" w:after="0" w:line="240" w:lineRule="auto"/>
              <w:jc w:val="left"/>
            </w:pPr>
            <w:r>
              <w:rPr>
                <w:sz w:val="20"/>
                <w:szCs w:val="20"/>
              </w:rPr>
              <w:t xml:space="preserve">0.093 [0.074, 0.115]</w:t>
            </w:r>
          </w:p>
        </w:tc>
        <w:tc>
          <w:tcPr>
            <w:tcW w:w="1566" w:type="dxa"/>
          </w:tcPr>
          <w:p>
            <w:pPr>
              <w:spacing w:before="0" w:after="0" w:line="240" w:lineRule="auto"/>
              <w:jc w:val="left"/>
            </w:pPr>
            <w:r>
              <w:rPr>
                <w:sz w:val="20"/>
                <w:szCs w:val="20"/>
              </w:rPr>
              <w:t xml:space="preserve">0.104 [0.085, 0.128]</w:t>
            </w:r>
          </w:p>
        </w:tc>
        <w:tc>
          <w:tcPr>
            <w:tcW w:w="1310" w:type="dxa"/>
          </w:tcPr>
          <w:p>
            <w:pPr>
              <w:spacing w:before="0" w:after="0" w:line="240" w:lineRule="auto"/>
              <w:jc w:val="left"/>
            </w:pPr>
            <w:r>
              <w:rPr>
                <w:sz w:val="20"/>
                <w:szCs w:val="20"/>
              </w:rPr>
              <w:t xml:space="preserve">0.83 [0.75, 0.89]</w:t>
            </w:r>
          </w:p>
        </w:tc>
        <w:tc>
          <w:tcPr>
            <w:tcW w:w="854" w:type="dxa"/>
          </w:tcPr>
          <w:p>
            <w:pPr>
              <w:spacing w:before="0" w:after="0" w:line="240" w:lineRule="auto"/>
              <w:jc w:val="left"/>
            </w:pPr>
            <w:r>
              <w:rPr>
                <w:sz w:val="20"/>
                <w:szCs w:val="20"/>
              </w:rPr>
              <w:t xml:space="preserve">2,963</w:t>
            </w:r>
          </w:p>
        </w:tc>
      </w:tr>
      <w:tr>
        <w:tc>
          <w:tcPr>
            <w:tcW w:w="1358" w:type="dxa"/>
          </w:tcPr>
          <w:p>
            <w:pPr>
              <w:spacing w:before="0" w:after="0" w:line="240" w:lineRule="auto"/>
              <w:jc w:val="left"/>
            </w:pPr>
            <w:r>
              <w:rPr>
                <w:sz w:val="20"/>
                <w:szCs w:val="20"/>
              </w:rPr>
              <w:t xml:space="preserve">30-minute (M30)</w:t>
            </w:r>
          </w:p>
        </w:tc>
        <w:tc>
          <w:tcPr>
            <w:tcW w:w="1014" w:type="dxa"/>
          </w:tcPr>
          <w:p>
            <w:pPr>
              <w:spacing w:before="0" w:after="0" w:line="240" w:lineRule="auto"/>
              <w:jc w:val="left"/>
            </w:pPr>
            <w:r>
              <w:rPr>
                <w:sz w:val="20"/>
                <w:szCs w:val="20"/>
              </w:rPr>
              <w:t xml:space="preserve">0.979</w:t>
            </w:r>
          </w:p>
        </w:tc>
        <w:tc>
          <w:tcPr>
            <w:tcW w:w="910" w:type="dxa"/>
          </w:tcPr>
          <w:p>
            <w:pPr>
              <w:spacing w:before="0" w:after="0" w:line="240" w:lineRule="auto"/>
              <w:jc w:val="left"/>
            </w:pPr>
            <w:r>
              <w:rPr>
                <w:sz w:val="20"/>
                <w:szCs w:val="20"/>
              </w:rPr>
              <w:t xml:space="preserve">0.987</w:t>
            </w:r>
          </w:p>
        </w:tc>
        <w:tc>
          <w:tcPr>
            <w:tcW w:w="878" w:type="dxa"/>
          </w:tcPr>
          <w:p>
            <w:pPr>
              <w:spacing w:before="0" w:after="0" w:line="240" w:lineRule="auto"/>
              <w:jc w:val="left"/>
            </w:pPr>
            <w:r>
              <w:rPr>
                <w:sz w:val="20"/>
                <w:szCs w:val="20"/>
              </w:rPr>
              <w:t xml:space="preserve">0.883</w:t>
            </w:r>
          </w:p>
        </w:tc>
        <w:tc>
          <w:tcPr>
            <w:tcW w:w="1470" w:type="dxa"/>
          </w:tcPr>
          <w:p>
            <w:pPr>
              <w:spacing w:before="0" w:after="0" w:line="240" w:lineRule="auto"/>
              <w:jc w:val="left"/>
            </w:pPr>
            <w:r>
              <w:rPr>
                <w:sz w:val="20"/>
                <w:szCs w:val="20"/>
              </w:rPr>
              <w:t xml:space="preserve">0.096 [0.080, 0.119]</w:t>
            </w:r>
          </w:p>
        </w:tc>
        <w:tc>
          <w:tcPr>
            <w:tcW w:w="1566" w:type="dxa"/>
          </w:tcPr>
          <w:p>
            <w:pPr>
              <w:spacing w:before="0" w:after="0" w:line="240" w:lineRule="auto"/>
              <w:jc w:val="left"/>
            </w:pPr>
            <w:r>
              <w:rPr>
                <w:sz w:val="20"/>
                <w:szCs w:val="20"/>
              </w:rPr>
              <w:t xml:space="preserve">0.104 [0.087, 0.125]</w:t>
            </w:r>
          </w:p>
        </w:tc>
        <w:tc>
          <w:tcPr>
            <w:tcW w:w="1310" w:type="dxa"/>
          </w:tcPr>
          <w:p>
            <w:pPr>
              <w:spacing w:before="0" w:after="0" w:line="240" w:lineRule="auto"/>
              <w:jc w:val="left"/>
            </w:pPr>
            <w:r>
              <w:rPr>
                <w:sz w:val="20"/>
                <w:szCs w:val="20"/>
              </w:rPr>
              <w:t xml:space="preserve">0.89 [0.83, 0.94]</w:t>
            </w:r>
          </w:p>
        </w:tc>
        <w:tc>
          <w:tcPr>
            <w:tcW w:w="854" w:type="dxa"/>
          </w:tcPr>
          <w:p>
            <w:pPr>
              <w:spacing w:before="0" w:after="0" w:line="240" w:lineRule="auto"/>
              <w:jc w:val="left"/>
            </w:pPr>
            <w:r>
              <w:rPr>
                <w:sz w:val="20"/>
                <w:szCs w:val="20"/>
              </w:rPr>
              <w:t xml:space="preserve">21,942</w:t>
            </w:r>
          </w:p>
        </w:tc>
      </w:tr>
      <w:tr>
        <w:tc>
          <w:tcPr>
            <w:tcW w:w="1358" w:type="dxa"/>
          </w:tcPr>
          <w:p>
            <w:pPr>
              <w:spacing w:before="0" w:after="0" w:line="240" w:lineRule="auto"/>
              <w:jc w:val="left"/>
            </w:pPr>
            <w:r>
              <w:rPr>
                <w:sz w:val="20"/>
                <w:szCs w:val="20"/>
              </w:rPr>
              <w:t xml:space="preserve">1-hour (H1)</w:t>
            </w:r>
          </w:p>
        </w:tc>
        <w:tc>
          <w:tcPr>
            <w:tcW w:w="1014" w:type="dxa"/>
          </w:tcPr>
          <w:p>
            <w:pPr>
              <w:spacing w:before="0" w:after="0" w:line="240" w:lineRule="auto"/>
              <w:jc w:val="left"/>
            </w:pPr>
            <w:r>
              <w:rPr>
                <w:sz w:val="20"/>
                <w:szCs w:val="20"/>
              </w:rPr>
              <w:t xml:space="preserve">0.975</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0.889</w:t>
            </w:r>
          </w:p>
        </w:tc>
        <w:tc>
          <w:tcPr>
            <w:tcW w:w="1470" w:type="dxa"/>
          </w:tcPr>
          <w:p>
            <w:pPr>
              <w:spacing w:before="0" w:after="0" w:line="240" w:lineRule="auto"/>
              <w:jc w:val="left"/>
            </w:pPr>
            <w:r>
              <w:rPr>
                <w:sz w:val="20"/>
                <w:szCs w:val="20"/>
              </w:rPr>
              <w:t xml:space="preserve">0.086 [0.071, 0.103]</w:t>
            </w:r>
          </w:p>
        </w:tc>
        <w:tc>
          <w:tcPr>
            <w:tcW w:w="1566" w:type="dxa"/>
          </w:tcPr>
          <w:p>
            <w:pPr>
              <w:spacing w:before="0" w:after="0" w:line="240" w:lineRule="auto"/>
              <w:jc w:val="left"/>
            </w:pPr>
            <w:r>
              <w:rPr>
                <w:sz w:val="20"/>
                <w:szCs w:val="20"/>
              </w:rPr>
              <w:t xml:space="preserve">0.099 [0.084, 0.118]</w:t>
            </w:r>
          </w:p>
        </w:tc>
        <w:tc>
          <w:tcPr>
            <w:tcW w:w="1310" w:type="dxa"/>
          </w:tcPr>
          <w:p>
            <w:pPr>
              <w:spacing w:before="0" w:after="0" w:line="240" w:lineRule="auto"/>
              <w:jc w:val="left"/>
            </w:pPr>
            <w:r>
              <w:rPr>
                <w:sz w:val="20"/>
                <w:szCs w:val="20"/>
              </w:rPr>
              <w:t xml:space="preserve">0.78 [0.70, 0.83]</w:t>
            </w:r>
          </w:p>
        </w:tc>
        <w:tc>
          <w:tcPr>
            <w:tcW w:w="854" w:type="dxa"/>
          </w:tcPr>
          <w:p>
            <w:pPr>
              <w:spacing w:before="0" w:after="0" w:line="240" w:lineRule="auto"/>
              <w:jc w:val="left"/>
            </w:pPr>
            <w:r>
              <w:rPr>
                <w:sz w:val="20"/>
                <w:szCs w:val="20"/>
              </w:rPr>
              <w:t xml:space="preserve">13,523</w:t>
            </w:r>
          </w:p>
        </w:tc>
      </w:tr>
      <w:tr>
        <w:tc>
          <w:tcPr>
            <w:tcW w:w="1358" w:type="dxa"/>
          </w:tcPr>
          <w:p>
            <w:pPr>
              <w:spacing w:before="0" w:after="0" w:line="240" w:lineRule="auto"/>
              <w:jc w:val="left"/>
            </w:pPr>
            <w:r>
              <w:rPr>
                <w:sz w:val="20"/>
                <w:szCs w:val="20"/>
              </w:rPr>
              <w:t xml:space="preserve">4-hour (H4)</w:t>
            </w:r>
          </w:p>
        </w:tc>
        <w:tc>
          <w:tcPr>
            <w:tcW w:w="1014" w:type="dxa"/>
          </w:tcPr>
          <w:p>
            <w:pPr>
              <w:spacing w:before="0" w:after="0" w:line="240" w:lineRule="auto"/>
              <w:jc w:val="left"/>
            </w:pPr>
            <w:r>
              <w:rPr>
                <w:sz w:val="20"/>
                <w:szCs w:val="20"/>
              </w:rPr>
              <w:t xml:space="preserve">0.976</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0.890</w:t>
            </w:r>
          </w:p>
        </w:tc>
        <w:tc>
          <w:tcPr>
            <w:tcW w:w="1470" w:type="dxa"/>
          </w:tcPr>
          <w:p>
            <w:pPr>
              <w:spacing w:before="0" w:after="0" w:line="240" w:lineRule="auto"/>
              <w:jc w:val="left"/>
            </w:pPr>
            <w:r>
              <w:rPr>
                <w:sz w:val="20"/>
                <w:szCs w:val="20"/>
              </w:rPr>
              <w:t xml:space="preserve">0.087 [0.072, 0.103]</w:t>
            </w:r>
          </w:p>
        </w:tc>
        <w:tc>
          <w:tcPr>
            <w:tcW w:w="1566" w:type="dxa"/>
          </w:tcPr>
          <w:p>
            <w:pPr>
              <w:spacing w:before="0" w:after="0" w:line="240" w:lineRule="auto"/>
              <w:jc w:val="left"/>
            </w:pPr>
            <w:r>
              <w:rPr>
                <w:sz w:val="20"/>
                <w:szCs w:val="20"/>
              </w:rPr>
              <w:t xml:space="preserve">0.099 [0.084, 0.116]</w:t>
            </w:r>
          </w:p>
        </w:tc>
        <w:tc>
          <w:tcPr>
            <w:tcW w:w="1310" w:type="dxa"/>
          </w:tcPr>
          <w:p>
            <w:pPr>
              <w:spacing w:before="0" w:after="0" w:line="240" w:lineRule="auto"/>
              <w:jc w:val="left"/>
            </w:pPr>
            <w:r>
              <w:rPr>
                <w:sz w:val="20"/>
                <w:szCs w:val="20"/>
              </w:rPr>
              <w:t xml:space="preserve">0.79 [0.72, 0.84]</w:t>
            </w:r>
          </w:p>
        </w:tc>
        <w:tc>
          <w:tcPr>
            <w:tcW w:w="854" w:type="dxa"/>
          </w:tcPr>
          <w:p>
            <w:pPr>
              <w:spacing w:before="0" w:after="0" w:line="240" w:lineRule="auto"/>
              <w:jc w:val="left"/>
            </w:pPr>
            <w:r>
              <w:rPr>
                <w:sz w:val="20"/>
                <w:szCs w:val="20"/>
              </w:rPr>
              <w:t xml:space="preserve">5,410</w:t>
            </w:r>
          </w:p>
        </w:tc>
      </w:tr>
    </w:tbl>
    <w:p>
      <w:pPr>
        <w:pStyle w:val="Compact"/>
      </w:pPr>
      <w:r>
        <w:rPr>
          <w:sz w:val="20"/>
          <w:szCs w:val="20"/>
        </w:rPr>
        <w:t xml:space="preserve">Notes: Averages of ρ(s) over s ≤ s</w:t>
      </w:r>
      <w:r>
        <w:rPr>
          <w:vertAlign w:val="subscript"/>
          <w:sz w:val="20"/>
          <w:szCs w:val="20"/>
        </w:rPr>
        <w:t xml:space="preserve">rel</w:t>
      </w:r>
      <w:r>
        <w:rPr>
          <w:sz w:val="20"/>
          <w:szCs w:val="20"/>
        </w:rPr>
        <w:t xml:space="preserve"> </w:t>
      </w:r>
      <w:r>
        <w:rPr>
          <w:sz w:val="20"/>
          <w:szCs w:val="20"/>
        </w:rPr>
        <w:t xml:space="preserve">(Table 3) with m = 1; nested mean: VN30–VNINDEX, VN30–VN100 and VN100–VNINDEX; P</w:t>
      </w:r>
      <w:r>
        <w:rPr>
          <w:vertAlign w:val="subscript"/>
          <w:sz w:val="20"/>
          <w:szCs w:val="20"/>
        </w:rPr>
        <w:t xml:space="preserve">cap</w:t>
      </w:r>
      <w:r>
        <w:rPr>
          <w:sz w:val="20"/>
          <w:szCs w:val="20"/>
        </w:rPr>
        <w:t xml:space="preserve">: overlap-purged mid-cap series; three-pair gap: nested mean minus P</w:t>
      </w:r>
      <w:r>
        <w:rPr>
          <w:vertAlign w:val="subscript"/>
          <w:sz w:val="20"/>
          <w:szCs w:val="20"/>
        </w:rPr>
        <w:t xml:space="preserve">cap</w:t>
      </w:r>
      <w:r>
        <w:rPr>
          <w:sz w:val="20"/>
          <w:szCs w:val="20"/>
        </w:rPr>
        <w:t xml:space="preserve">–VN30; like-for-like gap: VN30–VN100 minus P</w:t>
      </w:r>
      <w:r>
        <w:rPr>
          <w:vertAlign w:val="subscript"/>
          <w:sz w:val="20"/>
          <w:szCs w:val="20"/>
        </w:rPr>
        <w:t xml:space="preserve">cap</w:t>
      </w:r>
      <w:r>
        <w:rPr>
          <w:sz w:val="20"/>
          <w:szCs w:val="20"/>
        </w:rPr>
        <w:t xml:space="preserve">–VN30. Brackets: block-bootstrap 95% intervals at the factsheet weight.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nested pairs average 0.975–0.980 at every frequency in both samples,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averages 0.883–0.892. Corollary 3 fixes the sign of the like-for-like gap, but not its size: the gap is 0.099–0.104 with interval lower bounds of at least 0.084, above the 0.05 tolerance at every frequency, so H</w:t>
      </w:r>
      <w:r>
        <w:rPr>
          <w:rFonts w:ascii="Times New Roman" w:hAnsi="Times New Roman" w:cs="Times New Roman" w:eastAsia="Times New Roman"/>
          <w:vertAlign w:val="subscript"/>
          <w:sz w:val="24"/>
          <w:szCs w:val="24"/>
        </w:rPr>
        <w:t xml:space="preserve">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supported. The three-pair gap is 0.086–0.096, with Cohen’s q (Cohen, 1988) of 0.78–0.89. We report q descriptively because both coefficients come from the same sample.</w:t>
      </w:r>
    </w:p>
    <w:p>
      <w:pPr>
        <w:pStyle w:val="BodyText"/>
        <w:spacing w:before="0" w:after="120" w:line="300" w:lineRule="auto"/>
        <w:jc w:val="both"/>
      </w:pPr>
      <w:r>
        <w:rPr>
          <w:rFonts w:ascii="Times New Roman" w:hAnsi="Times New Roman" w:cs="Times New Roman" w:eastAsia="Times New Roman"/>
          <w:sz w:val="24"/>
          <w:szCs w:val="24"/>
        </w:rPr>
        <w:t xml:space="preserve">The gap depends on the weight: over w = 0.60–0.75, the daily like-for-like gap is 0.063–0.164, and the three-pair gap 0.052–0.153 (Tables S2 and S3). With w drawn in each replicate, the like-for-like intervals have lower bounds of 0.057–0.061 and every replicate exceeds 0.05, so H</w:t>
      </w:r>
      <w:r>
        <w:rPr>
          <w:rFonts w:ascii="Times New Roman" w:hAnsi="Times New Roman" w:cs="Times New Roman" w:eastAsia="Times New Roman"/>
          <w:vertAlign w:val="subscript"/>
          <w:sz w:val="24"/>
          <w:szCs w:val="24"/>
        </w:rPr>
        <w:t xml:space="preserve">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holds under weight uncertainty. The size of the gap is known only to within a factor of about two.</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431323"/>
            <wp:effectExtent b="0" l="0" r="0" t="0"/>
            <wp:docPr descr="" title="" id="24" name="Picture"/>
            <a:graphic>
              <a:graphicData uri="http://schemas.openxmlformats.org/drawingml/2006/picture">
                <pic:pic>
                  <pic:nvPicPr>
                    <pic:cNvPr descr="/home/user/B-i-stock-to-n/Python%20for%20Algorithmic%20Trading/NCKH/Bài%20stock%20toán/project_R/docx_build/../outputs/figures/fig2_dcca_curves.png" id="25" name="Picture"/>
                    <pic:cNvPicPr>
                      <a:picLocks noChangeArrowheads="1" noChangeAspect="1"/>
                    </pic:cNvPicPr>
                  </pic:nvPicPr>
                  <pic:blipFill>
                    <a:blip r:embed="rId23"/>
                    <a:stretch>
                      <a:fillRect/>
                    </a:stretch>
                  </pic:blipFill>
                  <pic:spPr bwMode="auto">
                    <a:xfrm>
                      <a:off x="0" y="0"/>
                      <a:ext cx="5760720" cy="4431323"/>
                    </a:xfrm>
                    <a:prstGeom prst="rect">
                      <a:avLst/>
                    </a:prstGeom>
                    <a:noFill/>
                    <a:ln w="9525">
                      <a:noFill/>
                      <a:headEnd/>
                      <a:tailEnd/>
                    </a:ln>
                  </pic:spPr>
                </pic:pic>
              </a:graphicData>
            </a:graphic>
          </wp:inline>
        </w:drawing>
      </w:r>
    </w:p>
    <w:p>
      <w:pPr>
        <w:pStyle w:val="figurecaption"/>
      </w:pPr>
      <w:r>
        <w:rPr>
          <w:bCs/>
          <w:b/>
        </w:rPr>
        <w:t xml:space="preserve">Fig. 2</w:t>
      </w:r>
      <w:r>
        <w:t xml:space="preserve"> </w:t>
      </w:r>
      <w:r>
        <w:t xml:space="preserve">DCCA coefficients of the nested pairs and P</w:t>
      </w:r>
      <w:r>
        <w:rPr>
          <w:vertAlign w:val="subscript"/>
        </w:rPr>
        <w:t xml:space="preserve">cap</w:t>
      </w:r>
      <w:r>
        <w:t xml:space="preserve">–VN30 by timescale: (a) 1D, (b) M30, (c) H1, (d) H4</w:t>
      </w:r>
    </w:p>
    <w:p>
      <w:pPr>
        <w:pStyle w:val="Compact"/>
      </w:pPr>
      <w:r>
        <w:rPr>
          <w:sz w:val="20"/>
          <w:szCs w:val="20"/>
        </w:rPr>
        <w:t xml:space="preserve">Notes: Line and marker types identify the pairs; P</w:t>
      </w:r>
      <w:r>
        <w:rPr>
          <w:vertAlign w:val="subscript"/>
          <w:sz w:val="20"/>
          <w:szCs w:val="20"/>
        </w:rPr>
        <w:t xml:space="preserve">cap</w:t>
      </w:r>
      <w:r>
        <w:rPr>
          <w:sz w:val="20"/>
          <w:szCs w:val="20"/>
        </w:rPr>
        <w:t xml:space="preserve">: overlap-purged mid-cap series; gray bands: pointwise block-bootstrap 95% intervals; vertical dotted lines: s</w:t>
      </w:r>
      <w:r>
        <w:rPr>
          <w:vertAlign w:val="subscript"/>
          <w:sz w:val="20"/>
          <w:szCs w:val="20"/>
        </w:rPr>
        <w:t xml:space="preserve">rel</w:t>
      </w:r>
      <w:r>
        <w:rPr>
          <w:sz w:val="20"/>
          <w:szCs w:val="20"/>
        </w:rPr>
        <w:t xml:space="preserve"> </w:t>
      </w:r>
      <w:r>
        <w:rPr>
          <w:sz w:val="20"/>
          <w:szCs w:val="20"/>
        </w:rPr>
        <w:t xml:space="preserve">(Table 3). Source: Authors’ calculations based on the HOSE index data (TradingView).</w:t>
      </w:r>
    </w:p>
    <w:p>
      <w:pPr>
        <w:pStyle w:val="heading20"/>
        <w:numPr>
          <w:ilvl w:val="0"/>
          <w:numId w:val="0"/>
        </w:numPr>
      </w:pPr>
      <w:r>
        <w:rPr>
          <w:rFonts w:ascii="Times New Roman" w:hAnsi="Times New Roman" w:cs="Times New Roman" w:eastAsia="Times New Roman"/>
          <w:b/>
          <w:sz w:val="24"/>
          <w:szCs w:val="24"/>
        </w:rPr>
        <w:t xml:space="preserve">5.3 The part–whole decomposition (E1, E2)</w:t>
      </w:r>
    </w:p>
    <w:p>
      <w:pPr>
        <w:pStyle w:val="p1a"/>
        <w:spacing w:before="0" w:after="120" w:line="300" w:lineRule="auto"/>
        <w:jc w:val="both"/>
      </w:pPr>
      <w:r>
        <w:rPr>
          <w:rFonts w:ascii="Times New Roman" w:hAnsi="Times New Roman" w:cs="Times New Roman" w:eastAsia="Times New Roman"/>
          <w:sz w:val="24"/>
          <w:szCs w:val="24"/>
        </w:rPr>
        <w:t xml:space="preserve">Table 5 applies Lemma 1 to VN30–VN100, and Fig. 3 plots Eq. (7) against the purged coefficient.</w:t>
      </w:r>
    </w:p>
    <w:p>
      <w:pPr>
        <w:pStyle w:val="tablecaption0"/>
      </w:pPr>
      <w:r>
        <w:rPr>
          <w:bCs/>
          <w:b/>
        </w:rPr>
        <w:t xml:space="preserve">Table 5</w:t>
      </w:r>
      <w:r>
        <w:t xml:space="preserve"> </w:t>
      </w:r>
      <w:r>
        <w:t xml:space="preserve">Part–whole decomposition of the VN30–VN100 DCCA coefficient (Lemma 1)</w:t>
      </w:r>
    </w:p>
    <w:tbl>
      <w:tblPr>
        <w:tblStyle w:val="TableGrid"/>
        <w:tblW w:type="pct" w:w="5000"/>
        <w:tblLook w:firstRow="1" w:lastRow="0" w:firstColumn="0" w:lastColumn="0" w:noHBand="0" w:noVBand="0" w:val="0020"/>
        <w:jc w:val="start"/>
      </w:tblPr>
      <w:tblGrid>
        <w:gridCol w:w="1183"/>
        <w:gridCol w:w="750"/>
        <w:gridCol w:w="994"/>
        <w:gridCol w:w="865"/>
        <w:gridCol w:w="1196"/>
        <w:gridCol w:w="778"/>
        <w:gridCol w:w="1399"/>
        <w:gridCol w:w="1199"/>
        <w:gridCol w:w="997"/>
      </w:tblGrid>
      <w:tr>
        <w:trPr>
          <w:tblHeader w:val="true"/>
        </w:trPr>
        <w:tc>
          <w:tcPr>
            <w:tcW w:w="1183" w:type="dxa"/>
          </w:tcPr>
          <w:p>
            <w:pPr>
              <w:spacing w:before="0" w:after="0" w:line="240" w:lineRule="auto"/>
              <w:jc w:val="left"/>
            </w:pPr>
            <w:r>
              <w:rPr>
                <w:sz w:val="20"/>
                <w:szCs w:val="20"/>
              </w:rPr>
              <w:t xml:space="preserve">Frequency</w:t>
            </w:r>
          </w:p>
        </w:tc>
        <w:tc>
          <w:tcPr>
            <w:tcW w:w="750" w:type="dxa"/>
          </w:tcPr>
          <w:p>
            <w:pPr>
              <w:spacing w:before="0" w:after="0" w:line="240" w:lineRule="auto"/>
              <w:jc w:val="left"/>
            </w:pPr>
            <w:r>
              <w:rPr>
                <w:sz w:val="20"/>
                <w:szCs w:val="20"/>
              </w:rPr>
              <w:t xml:space="preserve">κ</w:t>
            </w:r>
          </w:p>
        </w:tc>
        <w:tc>
          <w:tcPr>
            <w:tcW w:w="994" w:type="dxa"/>
          </w:tcPr>
          <w:p>
            <w:pPr>
              <w:spacing w:before="0" w:after="0" w:line="240" w:lineRule="auto"/>
              <w:jc w:val="left"/>
            </w:pPr>
            <w:r>
              <w:rPr>
                <w:sz w:val="20"/>
                <w:szCs w:val="20"/>
              </w:rPr>
              <w:t xml:space="preserve">Purged ρ</w:t>
            </w:r>
            <w:r>
              <w:rPr>
                <w:vertAlign w:val="subscript"/>
                <w:sz w:val="20"/>
                <w:szCs w:val="20"/>
              </w:rPr>
              <w:t xml:space="preserve">AM</w:t>
            </w:r>
          </w:p>
        </w:tc>
        <w:tc>
          <w:tcPr>
            <w:tcW w:w="865" w:type="dxa"/>
          </w:tcPr>
          <w:p>
            <w:pPr>
              <w:spacing w:before="0" w:after="0" w:line="240" w:lineRule="auto"/>
              <w:jc w:val="left"/>
            </w:pPr>
            <w:r>
              <w:rPr>
                <w:sz w:val="20"/>
                <w:szCs w:val="20"/>
              </w:rPr>
              <w:t xml:space="preserve">Nested ρ</w:t>
            </w:r>
            <w:r>
              <w:rPr>
                <w:vertAlign w:val="subscript"/>
                <w:sz w:val="20"/>
                <w:szCs w:val="20"/>
              </w:rPr>
              <w:t xml:space="preserve">AB</w:t>
            </w:r>
          </w:p>
        </w:tc>
        <w:tc>
          <w:tcPr>
            <w:tcW w:w="1196" w:type="dxa"/>
          </w:tcPr>
          <w:p>
            <w:pPr>
              <w:spacing w:before="0" w:after="0" w:line="240" w:lineRule="auto"/>
              <w:jc w:val="left"/>
            </w:pPr>
            <w:r>
              <w:rPr>
                <w:sz w:val="20"/>
                <w:szCs w:val="20"/>
              </w:rPr>
              <w:t xml:space="preserve">Benchmark ρ̲</w:t>
            </w:r>
          </w:p>
        </w:tc>
        <w:tc>
          <w:tcPr>
            <w:tcW w:w="778" w:type="dxa"/>
          </w:tcPr>
          <w:p>
            <w:pPr>
              <w:spacing w:before="0" w:after="0" w:line="240" w:lineRule="auto"/>
              <w:jc w:val="left"/>
            </w:pPr>
            <w:r>
              <w:rPr>
                <w:sz w:val="20"/>
                <w:szCs w:val="20"/>
              </w:rPr>
              <w:t xml:space="preserve">Bound √(1 − κ²)</w:t>
            </w:r>
          </w:p>
        </w:tc>
        <w:tc>
          <w:tcPr>
            <w:tcW w:w="1399" w:type="dxa"/>
          </w:tcPr>
          <w:p>
            <w:pPr>
              <w:spacing w:before="0" w:after="0" w:line="240" w:lineRule="auto"/>
              <w:jc w:val="left"/>
            </w:pPr>
            <w:r>
              <w:rPr>
                <w:sz w:val="20"/>
                <w:szCs w:val="20"/>
              </w:rPr>
              <w:t xml:space="preserve">Sensitivity</w:t>
            </w:r>
          </w:p>
        </w:tc>
        <w:tc>
          <w:tcPr>
            <w:tcW w:w="1199" w:type="dxa"/>
          </w:tcPr>
          <w:p>
            <w:pPr>
              <w:spacing w:before="0" w:after="0" w:line="240" w:lineRule="auto"/>
              <w:jc w:val="left"/>
            </w:pPr>
            <w:r>
              <w:rPr>
                <w:sz w:val="20"/>
                <w:szCs w:val="20"/>
              </w:rPr>
              <w:t xml:space="preserve">Benchmark-first share</w:t>
            </w:r>
          </w:p>
        </w:tc>
        <w:tc>
          <w:tcPr>
            <w:tcW w:w="997" w:type="dxa"/>
          </w:tcPr>
          <w:p>
            <w:pPr>
              <w:spacing w:before="0" w:after="0" w:line="240" w:lineRule="auto"/>
              <w:jc w:val="left"/>
            </w:pPr>
            <w:r>
              <w:rPr>
                <w:sz w:val="20"/>
                <w:szCs w:val="20"/>
              </w:rPr>
              <w:t xml:space="preserve">Shapley overlap share</w:t>
            </w:r>
          </w:p>
        </w:tc>
      </w:tr>
      <w:tr>
        <w:tc>
          <w:tcPr>
            <w:tcW w:w="9361" w:type="dxa"/>
            <w:gridSpan w:val="9"/>
          </w:tcPr>
          <w:p>
            <w:pPr>
              <w:spacing w:before="0" w:after="0" w:line="240" w:lineRule="auto"/>
              <w:jc w:val="left"/>
            </w:pPr>
            <w:r>
              <w:rPr>
                <w:iCs/>
                <w:i/>
                <w:sz w:val="20"/>
                <w:szCs w:val="20"/>
              </w:rPr>
              <w:t xml:space="preserve">Panel A: sampling uncertainty, w fixed at the factsheet value</w:t>
            </w:r>
          </w:p>
        </w:tc>
      </w:tr>
      <w:tr>
        <w:tc>
          <w:tcPr>
            <w:tcW w:w="1183" w:type="dxa"/>
          </w:tcPr>
          <w:p>
            <w:pPr>
              <w:spacing w:before="0" w:after="0" w:line="240" w:lineRule="auto"/>
              <w:jc w:val="left"/>
            </w:pPr>
            <w:r>
              <w:rPr>
                <w:sz w:val="20"/>
                <w:szCs w:val="20"/>
              </w:rPr>
              <w:t xml:space="preserve">Daily (1D)</w:t>
            </w:r>
          </w:p>
        </w:tc>
        <w:tc>
          <w:tcPr>
            <w:tcW w:w="750" w:type="dxa"/>
          </w:tcPr>
          <w:p>
            <w:pPr>
              <w:spacing w:before="0" w:after="0" w:line="240" w:lineRule="auto"/>
              <w:jc w:val="left"/>
            </w:pPr>
            <w:r>
              <w:rPr>
                <w:sz w:val="20"/>
                <w:szCs w:val="20"/>
              </w:rPr>
              <w:t xml:space="preserve">0.484</w:t>
            </w:r>
          </w:p>
        </w:tc>
        <w:tc>
          <w:tcPr>
            <w:tcW w:w="994" w:type="dxa"/>
          </w:tcPr>
          <w:p>
            <w:pPr>
              <w:spacing w:before="0" w:after="0" w:line="240" w:lineRule="auto"/>
              <w:jc w:val="left"/>
            </w:pPr>
            <w:r>
              <w:rPr>
                <w:sz w:val="20"/>
                <w:szCs w:val="20"/>
              </w:rPr>
              <w:t xml:space="preserve">0.884 [0.857, 0.906]</w:t>
            </w:r>
          </w:p>
        </w:tc>
        <w:tc>
          <w:tcPr>
            <w:tcW w:w="865" w:type="dxa"/>
          </w:tcPr>
          <w:p>
            <w:pPr>
              <w:spacing w:before="0" w:after="0" w:line="240" w:lineRule="auto"/>
              <w:jc w:val="left"/>
            </w:pPr>
            <w:r>
              <w:rPr>
                <w:sz w:val="20"/>
                <w:szCs w:val="20"/>
              </w:rPr>
              <w:t xml:space="preserve">0.988</w:t>
            </w:r>
          </w:p>
        </w:tc>
        <w:tc>
          <w:tcPr>
            <w:tcW w:w="1196" w:type="dxa"/>
          </w:tcPr>
          <w:p>
            <w:pPr>
              <w:spacing w:before="0" w:after="0" w:line="240" w:lineRule="auto"/>
              <w:jc w:val="left"/>
            </w:pPr>
            <w:r>
              <w:rPr>
                <w:sz w:val="20"/>
                <w:szCs w:val="20"/>
              </w:rPr>
              <w:t xml:space="preserve">0.900 [0.891, 0.910]</w:t>
            </w:r>
          </w:p>
        </w:tc>
        <w:tc>
          <w:tcPr>
            <w:tcW w:w="778" w:type="dxa"/>
          </w:tcPr>
          <w:p>
            <w:pPr>
              <w:spacing w:before="0" w:after="0" w:line="240" w:lineRule="auto"/>
              <w:jc w:val="left"/>
            </w:pPr>
            <w:r>
              <w:rPr>
                <w:sz w:val="20"/>
                <w:szCs w:val="20"/>
              </w:rPr>
              <w:t xml:space="preserve">0.875</w:t>
            </w:r>
          </w:p>
        </w:tc>
        <w:tc>
          <w:tcPr>
            <w:tcW w:w="1399" w:type="dxa"/>
          </w:tcPr>
          <w:p>
            <w:pPr>
              <w:spacing w:before="0" w:after="0" w:line="240" w:lineRule="auto"/>
              <w:jc w:val="left"/>
            </w:pPr>
            <w:r>
              <w:rPr>
                <w:sz w:val="20"/>
                <w:szCs w:val="20"/>
              </w:rPr>
              <w:t xml:space="preserve">0.106 [0.098, 0.114]</w:t>
            </w:r>
          </w:p>
        </w:tc>
        <w:tc>
          <w:tcPr>
            <w:tcW w:w="1199" w:type="dxa"/>
          </w:tcPr>
          <w:p>
            <w:pPr>
              <w:spacing w:before="0" w:after="0" w:line="240" w:lineRule="auto"/>
              <w:jc w:val="left"/>
            </w:pPr>
            <w:r>
              <w:rPr>
                <w:sz w:val="20"/>
                <w:szCs w:val="20"/>
              </w:rPr>
              <w:t xml:space="preserve">0.911</w:t>
            </w:r>
          </w:p>
        </w:tc>
        <w:tc>
          <w:tcPr>
            <w:tcW w:w="997" w:type="dxa"/>
          </w:tcPr>
          <w:p>
            <w:pPr>
              <w:spacing w:before="0" w:after="0" w:line="240" w:lineRule="auto"/>
              <w:jc w:val="left"/>
            </w:pPr>
            <w:r>
              <w:rPr>
                <w:sz w:val="20"/>
                <w:szCs w:val="20"/>
              </w:rPr>
              <w:t xml:space="preserve">0.508 [0.498, 0.521]</w:t>
            </w:r>
          </w:p>
        </w:tc>
      </w:tr>
      <w:tr>
        <w:tc>
          <w:tcPr>
            <w:tcW w:w="1183" w:type="dxa"/>
          </w:tcPr>
          <w:p>
            <w:pPr>
              <w:spacing w:before="0" w:after="0" w:line="240" w:lineRule="auto"/>
              <w:jc w:val="left"/>
            </w:pPr>
            <w:r>
              <w:rPr>
                <w:sz w:val="20"/>
                <w:szCs w:val="20"/>
              </w:rPr>
              <w:t xml:space="preserve">30-minute (M30)</w:t>
            </w:r>
          </w:p>
        </w:tc>
        <w:tc>
          <w:tcPr>
            <w:tcW w:w="750" w:type="dxa"/>
          </w:tcPr>
          <w:p>
            <w:pPr>
              <w:spacing w:before="0" w:after="0" w:line="240" w:lineRule="auto"/>
              <w:jc w:val="left"/>
            </w:pPr>
            <w:r>
              <w:rPr>
                <w:sz w:val="20"/>
                <w:szCs w:val="20"/>
              </w:rPr>
              <w:t xml:space="preserve">0.503</w:t>
            </w:r>
          </w:p>
        </w:tc>
        <w:tc>
          <w:tcPr>
            <w:tcW w:w="994" w:type="dxa"/>
          </w:tcPr>
          <w:p>
            <w:pPr>
              <w:spacing w:before="0" w:after="0" w:line="240" w:lineRule="auto"/>
              <w:jc w:val="left"/>
            </w:pPr>
            <w:r>
              <w:rPr>
                <w:sz w:val="20"/>
                <w:szCs w:val="20"/>
              </w:rPr>
              <w:t xml:space="preserve">0.883 [0.859, 0.904]</w:t>
            </w:r>
          </w:p>
        </w:tc>
        <w:tc>
          <w:tcPr>
            <w:tcW w:w="865" w:type="dxa"/>
          </w:tcPr>
          <w:p>
            <w:pPr>
              <w:spacing w:before="0" w:after="0" w:line="240" w:lineRule="auto"/>
              <w:jc w:val="left"/>
            </w:pPr>
            <w:r>
              <w:rPr>
                <w:sz w:val="20"/>
                <w:szCs w:val="20"/>
              </w:rPr>
              <w:t xml:space="preserve">0.987</w:t>
            </w:r>
          </w:p>
        </w:tc>
        <w:tc>
          <w:tcPr>
            <w:tcW w:w="1196" w:type="dxa"/>
          </w:tcPr>
          <w:p>
            <w:pPr>
              <w:spacing w:before="0" w:after="0" w:line="240" w:lineRule="auto"/>
              <w:jc w:val="left"/>
            </w:pPr>
            <w:r>
              <w:rPr>
                <w:sz w:val="20"/>
                <w:szCs w:val="20"/>
              </w:rPr>
              <w:t xml:space="preserve">0.893 [0.882, 0.903]</w:t>
            </w:r>
          </w:p>
        </w:tc>
        <w:tc>
          <w:tcPr>
            <w:tcW w:w="778" w:type="dxa"/>
          </w:tcPr>
          <w:p>
            <w:pPr>
              <w:spacing w:before="0" w:after="0" w:line="240" w:lineRule="auto"/>
              <w:jc w:val="left"/>
            </w:pPr>
            <w:r>
              <w:rPr>
                <w:sz w:val="20"/>
                <w:szCs w:val="20"/>
              </w:rPr>
              <w:t xml:space="preserve">0.864</w:t>
            </w:r>
          </w:p>
        </w:tc>
        <w:tc>
          <w:tcPr>
            <w:tcW w:w="1399" w:type="dxa"/>
          </w:tcPr>
          <w:p>
            <w:pPr>
              <w:spacing w:before="0" w:after="0" w:line="240" w:lineRule="auto"/>
              <w:jc w:val="left"/>
            </w:pPr>
            <w:r>
              <w:rPr>
                <w:sz w:val="20"/>
                <w:szCs w:val="20"/>
              </w:rPr>
              <w:t xml:space="preserve">0.112 [0.104, 0.122]</w:t>
            </w:r>
          </w:p>
        </w:tc>
        <w:tc>
          <w:tcPr>
            <w:tcW w:w="1199" w:type="dxa"/>
          </w:tcPr>
          <w:p>
            <w:pPr>
              <w:spacing w:before="0" w:after="0" w:line="240" w:lineRule="auto"/>
              <w:jc w:val="left"/>
            </w:pPr>
            <w:r>
              <w:rPr>
                <w:sz w:val="20"/>
                <w:szCs w:val="20"/>
              </w:rPr>
              <w:t xml:space="preserve">0.905</w:t>
            </w:r>
          </w:p>
        </w:tc>
        <w:tc>
          <w:tcPr>
            <w:tcW w:w="997" w:type="dxa"/>
          </w:tcPr>
          <w:p>
            <w:pPr>
              <w:spacing w:before="0" w:after="0" w:line="240" w:lineRule="auto"/>
              <w:jc w:val="left"/>
            </w:pPr>
            <w:r>
              <w:rPr>
                <w:sz w:val="20"/>
                <w:szCs w:val="20"/>
              </w:rPr>
              <w:t xml:space="preserve">0.505 [0.497, 0.515]</w:t>
            </w:r>
          </w:p>
        </w:tc>
      </w:tr>
      <w:tr>
        <w:tc>
          <w:tcPr>
            <w:tcW w:w="1183" w:type="dxa"/>
          </w:tcPr>
          <w:p>
            <w:pPr>
              <w:spacing w:before="0" w:after="0" w:line="240" w:lineRule="auto"/>
              <w:jc w:val="left"/>
            </w:pPr>
            <w:r>
              <w:rPr>
                <w:sz w:val="20"/>
                <w:szCs w:val="20"/>
              </w:rPr>
              <w:t xml:space="preserve">1-hour (H1)</w:t>
            </w:r>
          </w:p>
        </w:tc>
        <w:tc>
          <w:tcPr>
            <w:tcW w:w="750" w:type="dxa"/>
          </w:tcPr>
          <w:p>
            <w:pPr>
              <w:spacing w:before="0" w:after="0" w:line="240" w:lineRule="auto"/>
              <w:jc w:val="left"/>
            </w:pPr>
            <w:r>
              <w:rPr>
                <w:sz w:val="20"/>
                <w:szCs w:val="20"/>
              </w:rPr>
              <w:t xml:space="preserve">0.486</w:t>
            </w:r>
          </w:p>
        </w:tc>
        <w:tc>
          <w:tcPr>
            <w:tcW w:w="994" w:type="dxa"/>
          </w:tcPr>
          <w:p>
            <w:pPr>
              <w:spacing w:before="0" w:after="0" w:line="240" w:lineRule="auto"/>
              <w:jc w:val="left"/>
            </w:pPr>
            <w:r>
              <w:rPr>
                <w:sz w:val="20"/>
                <w:szCs w:val="20"/>
              </w:rPr>
              <w:t xml:space="preserve">0.889 [0.868, 0.905]</w:t>
            </w:r>
          </w:p>
        </w:tc>
        <w:tc>
          <w:tcPr>
            <w:tcW w:w="865" w:type="dxa"/>
          </w:tcPr>
          <w:p>
            <w:pPr>
              <w:spacing w:before="0" w:after="0" w:line="240" w:lineRule="auto"/>
              <w:jc w:val="left"/>
            </w:pPr>
            <w:r>
              <w:rPr>
                <w:sz w:val="20"/>
                <w:szCs w:val="20"/>
              </w:rPr>
              <w:t xml:space="preserve">0.988</w:t>
            </w:r>
          </w:p>
        </w:tc>
        <w:tc>
          <w:tcPr>
            <w:tcW w:w="1196" w:type="dxa"/>
          </w:tcPr>
          <w:p>
            <w:pPr>
              <w:spacing w:before="0" w:after="0" w:line="240" w:lineRule="auto"/>
              <w:jc w:val="left"/>
            </w:pPr>
            <w:r>
              <w:rPr>
                <w:sz w:val="20"/>
                <w:szCs w:val="20"/>
              </w:rPr>
              <w:t xml:space="preserve">0.899 [0.889, 0.909]</w:t>
            </w:r>
          </w:p>
        </w:tc>
        <w:tc>
          <w:tcPr>
            <w:tcW w:w="778" w:type="dxa"/>
          </w:tcPr>
          <w:p>
            <w:pPr>
              <w:spacing w:before="0" w:after="0" w:line="240" w:lineRule="auto"/>
              <w:jc w:val="left"/>
            </w:pPr>
            <w:r>
              <w:rPr>
                <w:sz w:val="20"/>
                <w:szCs w:val="20"/>
              </w:rPr>
              <w:t xml:space="preserve">0.874</w:t>
            </w:r>
          </w:p>
        </w:tc>
        <w:tc>
          <w:tcPr>
            <w:tcW w:w="1399" w:type="dxa"/>
          </w:tcPr>
          <w:p>
            <w:pPr>
              <w:spacing w:before="0" w:after="0" w:line="240" w:lineRule="auto"/>
              <w:jc w:val="left"/>
            </w:pPr>
            <w:r>
              <w:rPr>
                <w:sz w:val="20"/>
                <w:szCs w:val="20"/>
              </w:rPr>
              <w:t xml:space="preserve">0.107 [0.099, 0.116]</w:t>
            </w:r>
          </w:p>
        </w:tc>
        <w:tc>
          <w:tcPr>
            <w:tcW w:w="1199" w:type="dxa"/>
          </w:tcPr>
          <w:p>
            <w:pPr>
              <w:spacing w:before="0" w:after="0" w:line="240" w:lineRule="auto"/>
              <w:jc w:val="left"/>
            </w:pPr>
            <w:r>
              <w:rPr>
                <w:sz w:val="20"/>
                <w:szCs w:val="20"/>
              </w:rPr>
              <w:t xml:space="preserve">0.910</w:t>
            </w:r>
          </w:p>
        </w:tc>
        <w:tc>
          <w:tcPr>
            <w:tcW w:w="997" w:type="dxa"/>
          </w:tcPr>
          <w:p>
            <w:pPr>
              <w:spacing w:before="0" w:after="0" w:line="240" w:lineRule="auto"/>
              <w:jc w:val="left"/>
            </w:pPr>
            <w:r>
              <w:rPr>
                <w:sz w:val="20"/>
                <w:szCs w:val="20"/>
              </w:rPr>
              <w:t xml:space="preserve">0.505 [0.498, 0.515]</w:t>
            </w:r>
          </w:p>
        </w:tc>
      </w:tr>
      <w:tr>
        <w:tc>
          <w:tcPr>
            <w:tcW w:w="1183" w:type="dxa"/>
          </w:tcPr>
          <w:p>
            <w:pPr>
              <w:spacing w:before="0" w:after="0" w:line="240" w:lineRule="auto"/>
              <w:jc w:val="left"/>
            </w:pPr>
            <w:r>
              <w:rPr>
                <w:sz w:val="20"/>
                <w:szCs w:val="20"/>
              </w:rPr>
              <w:t xml:space="preserve">4-hour (H4)</w:t>
            </w:r>
          </w:p>
        </w:tc>
        <w:tc>
          <w:tcPr>
            <w:tcW w:w="750" w:type="dxa"/>
          </w:tcPr>
          <w:p>
            <w:pPr>
              <w:spacing w:before="0" w:after="0" w:line="240" w:lineRule="auto"/>
              <w:jc w:val="left"/>
            </w:pPr>
            <w:r>
              <w:rPr>
                <w:sz w:val="20"/>
                <w:szCs w:val="20"/>
              </w:rPr>
              <w:t xml:space="preserve">0.485</w:t>
            </w:r>
          </w:p>
        </w:tc>
        <w:tc>
          <w:tcPr>
            <w:tcW w:w="994" w:type="dxa"/>
          </w:tcPr>
          <w:p>
            <w:pPr>
              <w:spacing w:before="0" w:after="0" w:line="240" w:lineRule="auto"/>
              <w:jc w:val="left"/>
            </w:pPr>
            <w:r>
              <w:rPr>
                <w:sz w:val="20"/>
                <w:szCs w:val="20"/>
              </w:rPr>
              <w:t xml:space="preserve">0.890 [0.865, 0.908]</w:t>
            </w:r>
          </w:p>
        </w:tc>
        <w:tc>
          <w:tcPr>
            <w:tcW w:w="865" w:type="dxa"/>
          </w:tcPr>
          <w:p>
            <w:pPr>
              <w:spacing w:before="0" w:after="0" w:line="240" w:lineRule="auto"/>
              <w:jc w:val="left"/>
            </w:pPr>
            <w:r>
              <w:rPr>
                <w:sz w:val="20"/>
                <w:szCs w:val="20"/>
              </w:rPr>
              <w:t xml:space="preserve">0.988</w:t>
            </w:r>
          </w:p>
        </w:tc>
        <w:tc>
          <w:tcPr>
            <w:tcW w:w="1196" w:type="dxa"/>
          </w:tcPr>
          <w:p>
            <w:pPr>
              <w:spacing w:before="0" w:after="0" w:line="240" w:lineRule="auto"/>
              <w:jc w:val="left"/>
            </w:pPr>
            <w:r>
              <w:rPr>
                <w:sz w:val="20"/>
                <w:szCs w:val="20"/>
              </w:rPr>
              <w:t xml:space="preserve">0.900 [0.890, 0.910]</w:t>
            </w:r>
          </w:p>
        </w:tc>
        <w:tc>
          <w:tcPr>
            <w:tcW w:w="778" w:type="dxa"/>
          </w:tcPr>
          <w:p>
            <w:pPr>
              <w:spacing w:before="0" w:after="0" w:line="240" w:lineRule="auto"/>
              <w:jc w:val="left"/>
            </w:pPr>
            <w:r>
              <w:rPr>
                <w:sz w:val="20"/>
                <w:szCs w:val="20"/>
              </w:rPr>
              <w:t xml:space="preserve">0.874</w:t>
            </w:r>
          </w:p>
        </w:tc>
        <w:tc>
          <w:tcPr>
            <w:tcW w:w="1399" w:type="dxa"/>
          </w:tcPr>
          <w:p>
            <w:pPr>
              <w:spacing w:before="0" w:after="0" w:line="240" w:lineRule="auto"/>
              <w:jc w:val="left"/>
            </w:pPr>
            <w:r>
              <w:rPr>
                <w:sz w:val="20"/>
                <w:szCs w:val="20"/>
              </w:rPr>
              <w:t xml:space="preserve">0.106 [0.098, 0.115]</w:t>
            </w:r>
          </w:p>
        </w:tc>
        <w:tc>
          <w:tcPr>
            <w:tcW w:w="1199" w:type="dxa"/>
          </w:tcPr>
          <w:p>
            <w:pPr>
              <w:spacing w:before="0" w:after="0" w:line="240" w:lineRule="auto"/>
              <w:jc w:val="left"/>
            </w:pPr>
            <w:r>
              <w:rPr>
                <w:sz w:val="20"/>
                <w:szCs w:val="20"/>
              </w:rPr>
              <w:t xml:space="preserve">0.910</w:t>
            </w:r>
          </w:p>
        </w:tc>
        <w:tc>
          <w:tcPr>
            <w:tcW w:w="997" w:type="dxa"/>
          </w:tcPr>
          <w:p>
            <w:pPr>
              <w:spacing w:before="0" w:after="0" w:line="240" w:lineRule="auto"/>
              <w:jc w:val="left"/>
            </w:pPr>
            <w:r>
              <w:rPr>
                <w:sz w:val="20"/>
                <w:szCs w:val="20"/>
              </w:rPr>
              <w:t xml:space="preserve">0.505 [0.498, 0.515]</w:t>
            </w:r>
          </w:p>
        </w:tc>
      </w:tr>
      <w:tr>
        <w:tc>
          <w:tcPr>
            <w:tcW w:w="9361" w:type="dxa"/>
            <w:gridSpan w:val="9"/>
          </w:tcPr>
          <w:p>
            <w:pPr>
              <w:spacing w:before="0" w:after="0" w:line="240" w:lineRule="auto"/>
              <w:jc w:val="left"/>
            </w:pPr>
            <w:r>
              <w:rPr>
                <w:iCs/>
                <w:i/>
                <w:sz w:val="20"/>
                <w:szCs w:val="20"/>
              </w:rPr>
              <w:t xml:space="preserve">Panel B: sampling and weight uncertainty, w ~ U(0.60, 0.75) in each replicate</w:t>
            </w:r>
          </w:p>
        </w:tc>
      </w:tr>
      <w:tr>
        <w:tc>
          <w:tcPr>
            <w:tcW w:w="1183" w:type="dxa"/>
          </w:tcPr>
          <w:p>
            <w:pPr>
              <w:spacing w:before="0" w:after="0" w:line="240" w:lineRule="auto"/>
              <w:jc w:val="left"/>
            </w:pPr>
            <w:r>
              <w:rPr>
                <w:sz w:val="20"/>
                <w:szCs w:val="20"/>
              </w:rPr>
              <w:t xml:space="preserve">Daily (1D)</w:t>
            </w:r>
          </w:p>
        </w:tc>
        <w:tc>
          <w:tcPr>
            <w:tcW w:w="750" w:type="dxa"/>
          </w:tcPr>
          <w:p>
            <w:pPr>
              <w:spacing w:before="0" w:after="0" w:line="240" w:lineRule="auto"/>
            </w:pPr>
          </w:p>
        </w:tc>
        <w:tc>
          <w:tcPr>
            <w:tcW w:w="994" w:type="dxa"/>
          </w:tcPr>
          <w:p>
            <w:pPr>
              <w:spacing w:before="0" w:after="0" w:line="240" w:lineRule="auto"/>
              <w:jc w:val="left"/>
            </w:pPr>
            <w:r>
              <w:rPr>
                <w:sz w:val="20"/>
                <w:szCs w:val="20"/>
              </w:rPr>
              <w:t xml:space="preserve">0.884 [0.821, 0.931]</w:t>
            </w:r>
          </w:p>
        </w:tc>
        <w:tc>
          <w:tcPr>
            <w:tcW w:w="865" w:type="dxa"/>
          </w:tcPr>
          <w:p>
            <w:pPr>
              <w:spacing w:before="0" w:after="0" w:line="240" w:lineRule="auto"/>
            </w:pPr>
          </w:p>
        </w:tc>
        <w:tc>
          <w:tcPr>
            <w:tcW w:w="1196" w:type="dxa"/>
          </w:tcPr>
          <w:p>
            <w:pPr>
              <w:spacing w:before="0" w:after="0" w:line="240" w:lineRule="auto"/>
              <w:jc w:val="left"/>
            </w:pPr>
            <w:r>
              <w:rPr>
                <w:sz w:val="20"/>
                <w:szCs w:val="20"/>
              </w:rPr>
              <w:t xml:space="preserve">0.900 [0.830, 0.938]</w:t>
            </w:r>
          </w:p>
        </w:tc>
        <w:tc>
          <w:tcPr>
            <w:tcW w:w="778" w:type="dxa"/>
          </w:tcPr>
          <w:p>
            <w:pPr>
              <w:spacing w:before="0" w:after="0" w:line="240" w:lineRule="auto"/>
            </w:pPr>
          </w:p>
        </w:tc>
        <w:tc>
          <w:tcPr>
            <w:tcW w:w="1399" w:type="dxa"/>
          </w:tcPr>
          <w:p>
            <w:pPr>
              <w:spacing w:before="0" w:after="0" w:line="240" w:lineRule="auto"/>
              <w:jc w:val="left"/>
            </w:pPr>
            <w:r>
              <w:rPr>
                <w:sz w:val="20"/>
                <w:szCs w:val="20"/>
              </w:rPr>
              <w:t xml:space="preserve">0.106 [0.071, 0.163]</w:t>
            </w:r>
          </w:p>
        </w:tc>
        <w:tc>
          <w:tcPr>
            <w:tcW w:w="1199" w:type="dxa"/>
          </w:tcPr>
          <w:p>
            <w:pPr>
              <w:spacing w:before="0" w:after="0" w:line="240" w:lineRule="auto"/>
              <w:jc w:val="left"/>
            </w:pPr>
            <w:r>
              <w:rPr>
                <w:sz w:val="20"/>
                <w:szCs w:val="20"/>
              </w:rPr>
              <w:t xml:space="preserve">0.911 [0.841, 0.949]</w:t>
            </w:r>
          </w:p>
        </w:tc>
        <w:tc>
          <w:tcPr>
            <w:tcW w:w="997" w:type="dxa"/>
          </w:tcPr>
          <w:p>
            <w:pPr>
              <w:spacing w:before="0" w:after="0" w:line="240" w:lineRule="auto"/>
              <w:jc w:val="left"/>
            </w:pPr>
            <w:r>
              <w:rPr>
                <w:sz w:val="20"/>
                <w:szCs w:val="20"/>
              </w:rPr>
              <w:t xml:space="preserve">0.508 [0.452, 0.556]</w:t>
            </w:r>
          </w:p>
        </w:tc>
      </w:tr>
      <w:tr>
        <w:tc>
          <w:tcPr>
            <w:tcW w:w="1183" w:type="dxa"/>
          </w:tcPr>
          <w:p>
            <w:pPr>
              <w:spacing w:before="0" w:after="0" w:line="240" w:lineRule="auto"/>
              <w:jc w:val="left"/>
            </w:pPr>
            <w:r>
              <w:rPr>
                <w:sz w:val="20"/>
                <w:szCs w:val="20"/>
              </w:rPr>
              <w:t xml:space="preserve">30-minute (M30)</w:t>
            </w:r>
          </w:p>
        </w:tc>
        <w:tc>
          <w:tcPr>
            <w:tcW w:w="750" w:type="dxa"/>
          </w:tcPr>
          <w:p>
            <w:pPr>
              <w:spacing w:before="0" w:after="0" w:line="240" w:lineRule="auto"/>
            </w:pPr>
          </w:p>
        </w:tc>
        <w:tc>
          <w:tcPr>
            <w:tcW w:w="994" w:type="dxa"/>
          </w:tcPr>
          <w:p>
            <w:pPr>
              <w:spacing w:before="0" w:after="0" w:line="240" w:lineRule="auto"/>
              <w:jc w:val="left"/>
            </w:pPr>
            <w:r>
              <w:rPr>
                <w:sz w:val="20"/>
                <w:szCs w:val="20"/>
              </w:rPr>
              <w:t xml:space="preserve">0.883 [0.817, 0.926]</w:t>
            </w:r>
          </w:p>
        </w:tc>
        <w:tc>
          <w:tcPr>
            <w:tcW w:w="865" w:type="dxa"/>
          </w:tcPr>
          <w:p>
            <w:pPr>
              <w:spacing w:before="0" w:after="0" w:line="240" w:lineRule="auto"/>
            </w:pPr>
          </w:p>
        </w:tc>
        <w:tc>
          <w:tcPr>
            <w:tcW w:w="1196" w:type="dxa"/>
          </w:tcPr>
          <w:p>
            <w:pPr>
              <w:spacing w:before="0" w:after="0" w:line="240" w:lineRule="auto"/>
              <w:jc w:val="left"/>
            </w:pPr>
            <w:r>
              <w:rPr>
                <w:sz w:val="20"/>
                <w:szCs w:val="20"/>
              </w:rPr>
              <w:t xml:space="preserve">0.893 [0.823, 0.932]</w:t>
            </w:r>
          </w:p>
        </w:tc>
        <w:tc>
          <w:tcPr>
            <w:tcW w:w="778" w:type="dxa"/>
          </w:tcPr>
          <w:p>
            <w:pPr>
              <w:spacing w:before="0" w:after="0" w:line="240" w:lineRule="auto"/>
            </w:pPr>
          </w:p>
        </w:tc>
        <w:tc>
          <w:tcPr>
            <w:tcW w:w="1399" w:type="dxa"/>
          </w:tcPr>
          <w:p>
            <w:pPr>
              <w:spacing w:before="0" w:after="0" w:line="240" w:lineRule="auto"/>
              <w:jc w:val="left"/>
            </w:pPr>
            <w:r>
              <w:rPr>
                <w:sz w:val="20"/>
                <w:szCs w:val="20"/>
              </w:rPr>
              <w:t xml:space="preserve">0.112 [0.077, 0.168]</w:t>
            </w:r>
          </w:p>
        </w:tc>
        <w:tc>
          <w:tcPr>
            <w:tcW w:w="1199" w:type="dxa"/>
          </w:tcPr>
          <w:p>
            <w:pPr>
              <w:spacing w:before="0" w:after="0" w:line="240" w:lineRule="auto"/>
              <w:jc w:val="left"/>
            </w:pPr>
            <w:r>
              <w:rPr>
                <w:sz w:val="20"/>
                <w:szCs w:val="20"/>
              </w:rPr>
              <w:t xml:space="preserve">0.905 [0.834, 0.944]</w:t>
            </w:r>
          </w:p>
        </w:tc>
        <w:tc>
          <w:tcPr>
            <w:tcW w:w="997" w:type="dxa"/>
          </w:tcPr>
          <w:p>
            <w:pPr>
              <w:spacing w:before="0" w:after="0" w:line="240" w:lineRule="auto"/>
              <w:jc w:val="left"/>
            </w:pPr>
            <w:r>
              <w:rPr>
                <w:sz w:val="20"/>
                <w:szCs w:val="20"/>
              </w:rPr>
              <w:t xml:space="preserve">0.505 [0.451, 0.555]</w:t>
            </w:r>
          </w:p>
        </w:tc>
      </w:tr>
    </w:tbl>
    <w:p>
      <w:pPr>
        <w:pStyle w:val="Compact"/>
      </w:pPr>
      <w:r>
        <w:rPr>
          <w:sz w:val="20"/>
          <w:szCs w:val="20"/>
        </w:rPr>
        <w:t xml:space="preserve">Notes: Quantities of Eqs. (7)–(11) averaged over s ≤ s</w:t>
      </w:r>
      <w:r>
        <w:rPr>
          <w:vertAlign w:val="subscript"/>
          <w:sz w:val="20"/>
          <w:szCs w:val="20"/>
        </w:rPr>
        <w:t xml:space="preserve">rel</w:t>
      </w:r>
      <w:r>
        <w:rPr>
          <w:sz w:val="20"/>
          <w:szCs w:val="20"/>
        </w:rPr>
        <w:t xml:space="preserve">; A = VN30, B = VN100, and M = P</w:t>
      </w:r>
      <w:r>
        <w:rPr>
          <w:vertAlign w:val="subscript"/>
          <w:sz w:val="20"/>
          <w:szCs w:val="20"/>
        </w:rPr>
        <w:t xml:space="preserve">cap</w:t>
      </w:r>
      <w:r>
        <w:rPr>
          <w:sz w:val="20"/>
          <w:szCs w:val="20"/>
        </w:rPr>
        <w:t xml:space="preserve"> </w:t>
      </w:r>
      <w:r>
        <w:rPr>
          <w:sz w:val="20"/>
          <w:szCs w:val="20"/>
        </w:rPr>
        <w:t xml:space="preserve">(overlap-purged mid-cap series). Brackets: block-bootstrap 95% intervals; Panel B covers daily and 30-minute frequencies.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sensitivity is 0.106–0.112: moving the nested coefficient by 0.01 requires the purged coefficient to move by approximately 0.09. Under weight uncertainty, the sensitivity interval is 0.07–0.17. With κ of 0.48–0.50, the remaining 32% of VN100 contributes approximately half as much detrended variation as VN30, which puts the benchmark at 0.893–0.900 and the lower bound of Eq. (9) at 0.864–0.875.</w:t>
      </w:r>
    </w:p>
    <w:p>
      <w:pPr>
        <w:pStyle w:val="BodyText"/>
        <w:spacing w:before="0" w:after="120" w:line="300" w:lineRule="auto"/>
        <w:jc w:val="both"/>
      </w:pPr>
      <w:r>
        <w:rPr>
          <w:rFonts w:ascii="Times New Roman" w:hAnsi="Times New Roman" w:cs="Times New Roman" w:eastAsia="Times New Roman"/>
          <w:sz w:val="24"/>
          <w:szCs w:val="24"/>
        </w:rPr>
        <w:t xml:space="preserve">The part of the observed 0.987–0.988 attributable to overlap depends on the attribution convention. The benchmark-first share is 0.905–0.911 and the dependence-first share is 0.895–0.900, because either factor alone produces a coefficient near 0.9. The Shapley split attributes 0.505–0.508 to overlap (intervals within 0.497–0.521). Weight uncertainty widens the Shapley intervals to 0.45–0.56 and the benchmark-first intervals to 0.83–0.95, against a sampling-only width of approximately 0.02; thus, weight error dominates the uncertainty of any attribution.</w:t>
      </w:r>
    </w:p>
    <w:p>
      <w:pPr>
        <w:pStyle w:val="BodyText"/>
        <w:spacing w:before="0" w:after="120" w:line="300" w:lineRule="auto"/>
        <w:jc w:val="both"/>
      </w:pPr>
      <w:r>
        <w:rPr>
          <w:rFonts w:ascii="Times New Roman" w:hAnsi="Times New Roman" w:cs="Times New Roman" w:eastAsia="Times New Roman"/>
          <w:sz w:val="24"/>
          <w:szCs w:val="24"/>
        </w:rPr>
        <w:t xml:space="preserve">The decomposition barely varies with the horizon. Across reliable scales and frequencies, κ lies in 0.47–0.52, the benchmark varies by 0.007–0.016 within a frequency, and its slope on ln s is not significant at 5% (p = 0.052–0.456; Holm 0.208–0.828), although at M30 the percentile interval just excludes zero. The slope, about −0.002 per unit of ln s, is negligible. On full-sample Pearson moments, the benchmark is 0.898–0.903 and the benchmark-first share 0.911–0.914, within 0.01 of the DCCA values. In these data, the multiscale layer checks scale invariance, and Box 1 suffices in practice. The DCCA version matters where tiers scale differently, which Eq. (7) reveals as variation in κ(s).</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608576"/>
            <wp:effectExtent b="0" l="0" r="0" t="0"/>
            <wp:docPr descr="" title="" id="27" name="Picture"/>
            <a:graphic>
              <a:graphicData uri="http://schemas.openxmlformats.org/drawingml/2006/picture">
                <pic:pic>
                  <pic:nvPicPr>
                    <pic:cNvPr descr="/home/user/B-i-stock-to-n/Python%20for%20Algorithmic%20Trading/NCKH/Bài%20stock%20toán/project_R/docx_build/../outputs/figures/fig4_overlap_decomposition.png" id="28" name="Picture"/>
                    <pic:cNvPicPr>
                      <a:picLocks noChangeArrowheads="1" noChangeAspect="1"/>
                    </pic:cNvPicPr>
                  </pic:nvPicPr>
                  <pic:blipFill>
                    <a:blip r:embed="rId26"/>
                    <a:stretch>
                      <a:fillRect/>
                    </a:stretch>
                  </pic:blipFill>
                  <pic:spPr bwMode="auto">
                    <a:xfrm>
                      <a:off x="0" y="0"/>
                      <a:ext cx="5760720" cy="4608576"/>
                    </a:xfrm>
                    <a:prstGeom prst="rect">
                      <a:avLst/>
                    </a:prstGeom>
                    <a:noFill/>
                    <a:ln w="9525">
                      <a:noFill/>
                      <a:headEnd/>
                      <a:tailEnd/>
                    </a:ln>
                  </pic:spPr>
                </pic:pic>
              </a:graphicData>
            </a:graphic>
          </wp:inline>
        </w:drawing>
      </w:r>
    </w:p>
    <w:p>
      <w:pPr>
        <w:pStyle w:val="figurecaption"/>
      </w:pPr>
      <w:r>
        <w:rPr>
          <w:bCs/>
          <w:b/>
        </w:rPr>
        <w:t xml:space="preserve">Fig. 3</w:t>
      </w:r>
      <w:r>
        <w:t xml:space="preserve"> </w:t>
      </w:r>
      <w:r>
        <w:t xml:space="preserve">Nested VN30–VN100 coefficient implied by Lemma 1 as a function of the overlap-purged coefficient</w:t>
      </w:r>
    </w:p>
    <w:p>
      <w:pPr>
        <w:pStyle w:val="Compact"/>
      </w:pPr>
      <w:r>
        <w:rPr>
          <w:sz w:val="20"/>
          <w:szCs w:val="20"/>
        </w:rPr>
        <w:t xml:space="preserve">Notes: Lines: Eq. (7) at the average κ of each frequency (Table 5); markers: observed values; dashed line: daily zero-correlation benchmark; dotted line: daily lower bound of Eq. (9).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Fig. 4 places the HOSE among possible nested systems; the triangle marks VN30 in VN100 (w = 0.683, σ</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/σ</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1.02, benchmark 0.903).</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378147"/>
            <wp:effectExtent b="0" l="0" r="0" t="0"/>
            <wp:docPr descr="" title="" id="30" name="Picture"/>
            <a:graphic>
              <a:graphicData uri="http://schemas.openxmlformats.org/drawingml/2006/picture">
                <pic:pic>
                  <pic:nvPicPr>
                    <pic:cNvPr descr="/home/user/B-i-stock-to-n/Python%20for%20Algorithmic%20Trading/NCKH/Bài%20stock%20toán/project_R/docx_build/../outputs/figures/fig5_floor_contour.png" id="31" name="Picture"/>
                    <pic:cNvPicPr>
                      <a:picLocks noChangeArrowheads="1" noChangeAspect="1"/>
                    </pic:cNvPicPr>
                  </pic:nvPicPr>
                  <pic:blipFill>
                    <a:blip r:embed="rId29"/>
                    <a:stretch>
                      <a:fillRect/>
                    </a:stretch>
                  </pic:blipFill>
                  <pic:spPr bwMode="auto">
                    <a:xfrm>
                      <a:off x="0" y="0"/>
                      <a:ext cx="5760720" cy="4378147"/>
                    </a:xfrm>
                    <a:prstGeom prst="rect">
                      <a:avLst/>
                    </a:prstGeom>
                    <a:noFill/>
                    <a:ln w="9525">
                      <a:noFill/>
                      <a:headEnd/>
                      <a:tailEnd/>
                    </a:ln>
                  </pic:spPr>
                </pic:pic>
              </a:graphicData>
            </a:graphic>
          </wp:inline>
        </w:drawing>
      </w:r>
    </w:p>
    <w:p>
      <w:pPr>
        <w:pStyle w:val="figurecaption"/>
      </w:pPr>
      <w:r>
        <w:rPr>
          <w:bCs/>
          <w:b/>
        </w:rPr>
        <w:t xml:space="preserve">Fig. 4</w:t>
      </w:r>
      <w:r>
        <w:t xml:space="preserve"> </w:t>
      </w:r>
      <w:r>
        <w:t xml:space="preserve">Zero-correlation benchmark ρ̲ as a function of the child weight w and the relative volatility σ</w:t>
      </w:r>
      <w:r>
        <w:rPr>
          <w:vertAlign w:val="subscript"/>
        </w:rPr>
        <w:t xml:space="preserve">M</w:t>
      </w:r>
      <w:r>
        <w:t xml:space="preserve">/σ</w:t>
      </w:r>
      <w:r>
        <w:rPr>
          <w:vertAlign w:val="subscript"/>
        </w:rPr>
        <w:t xml:space="preserve">A</w:t>
      </w:r>
    </w:p>
    <w:p>
      <w:pPr>
        <w:pStyle w:val="Compact"/>
      </w:pPr>
      <w:r>
        <w:rPr>
          <w:sz w:val="20"/>
          <w:szCs w:val="20"/>
        </w:rPr>
        <w:t xml:space="preserve">Notes: Contours of Eq. (8) with κ = (1 − w)σ</w:t>
      </w:r>
      <w:r>
        <w:rPr>
          <w:vertAlign w:val="subscript"/>
          <w:sz w:val="20"/>
          <w:szCs w:val="20"/>
        </w:rPr>
        <w:t xml:space="preserve">M</w:t>
      </w:r>
      <w:r>
        <w:rPr>
          <w:sz w:val="20"/>
          <w:szCs w:val="20"/>
        </w:rPr>
        <w:t xml:space="preserve">/(wσ</w:t>
      </w:r>
      <w:r>
        <w:rPr>
          <w:vertAlign w:val="subscript"/>
          <w:sz w:val="20"/>
          <w:szCs w:val="20"/>
        </w:rPr>
        <w:t xml:space="preserve">A</w:t>
      </w:r>
      <w:r>
        <w:rPr>
          <w:sz w:val="20"/>
          <w:szCs w:val="20"/>
        </w:rPr>
        <w:t xml:space="preserve">); triangle: VN30 in VN100, daily Pearson moments. Source: Authors’ calculations.</w:t>
      </w:r>
    </w:p>
    <w:p>
      <w:pPr>
        <w:pStyle w:val="heading20"/>
        <w:numPr>
          <w:ilvl w:val="0"/>
          <w:numId w:val="0"/>
        </w:numPr>
      </w:pPr>
      <w:r>
        <w:rPr>
          <w:rFonts w:ascii="Times New Roman" w:hAnsi="Times New Roman" w:cs="Times New Roman" w:eastAsia="Times New Roman"/>
          <w:b/>
          <w:sz w:val="24"/>
          <w:szCs w:val="24"/>
        </w:rPr>
        <w:t xml:space="preserve">5.4 Horizon dependence (H</w:t>
      </w:r>
      <w:r>
        <w:rPr>
          <w:rFonts w:ascii="Times New Roman" w:hAnsi="Times New Roman" w:cs="Times New Roman" w:eastAsia="Times New Roman"/>
          <w:b/>
          <w:vertAlign w:val="subscript"/>
          <w:sz w:val="24"/>
          <w:szCs w:val="24"/>
        </w:rPr>
        <w:t xml:space="preserve">2</w:t>
      </w:r>
      <w:r>
        <w:rPr>
          <w:rFonts w:ascii="Times New Roman" w:hAnsi="Times New Roman" w:cs="Times New Roman" w:eastAsia="Times New Roman"/>
          <w:b/>
          <w:sz w:val="24"/>
          <w:szCs w:val="24"/>
        </w:rPr>
        <w:t xml:space="preserve">)</w:t>
      </w:r>
    </w:p>
    <w:p>
      <w:pPr>
        <w:pStyle w:val="p1a"/>
        <w:spacing w:before="0" w:after="120" w:line="300" w:lineRule="auto"/>
        <w:jc w:val="both"/>
      </w:pPr>
      <w:r>
        <w:rPr>
          <w:rFonts w:ascii="Times New Roman" w:hAnsi="Times New Roman" w:cs="Times New Roman" w:eastAsia="Times New Roman"/>
          <w:sz w:val="24"/>
          <w:szCs w:val="24"/>
        </w:rPr>
        <w:t xml:space="preserve">Table 6 lists the reliable-range slopes for the four main pairs.</w:t>
      </w:r>
    </w:p>
    <w:p>
      <w:pPr>
        <w:pStyle w:val="tablecaption0"/>
      </w:pPr>
      <w:r>
        <w:rPr>
          <w:bCs/>
          <w:b/>
        </w:rPr>
        <w:t xml:space="preserve">Table 6</w:t>
      </w:r>
      <w:r>
        <w:t xml:space="preserve"> </w:t>
      </w:r>
      <w:r>
        <w:t xml:space="preserve">Reliable-range scaling slopes of DCCA coefficients</w:t>
      </w:r>
    </w:p>
    <w:tbl>
      <w:tblPr>
        <w:tblStyle w:val="TableGrid"/>
        <w:tblW w:type="pct" w:w="5000"/>
        <w:tblLook w:firstRow="1" w:lastRow="0" w:firstColumn="0" w:lastColumn="0" w:noHBand="0" w:noVBand="0" w:val="0020"/>
        <w:jc w:val="start"/>
      </w:tblPr>
      <w:tblGrid>
        <w:gridCol w:w="1255"/>
        <w:gridCol w:w="1047"/>
        <w:gridCol w:w="1404"/>
        <w:gridCol w:w="1404"/>
        <w:gridCol w:w="1612"/>
        <w:gridCol w:w="884"/>
        <w:gridCol w:w="988"/>
        <w:gridCol w:w="765"/>
      </w:tblGrid>
      <w:tr>
        <w:trPr>
          <w:tblHeader w:val="true"/>
        </w:trPr>
        <w:tc>
          <w:tcPr>
            <w:tcW w:w="1255" w:type="dxa"/>
          </w:tcPr>
          <w:p>
            <w:pPr>
              <w:spacing w:before="0" w:after="0" w:line="240" w:lineRule="auto"/>
              <w:jc w:val="left"/>
            </w:pPr>
            <w:r>
              <w:rPr>
                <w:sz w:val="20"/>
                <w:szCs w:val="20"/>
              </w:rPr>
              <w:t xml:space="preserve">Frequency</w:t>
            </w:r>
          </w:p>
        </w:tc>
        <w:tc>
          <w:tcPr>
            <w:tcW w:w="1047" w:type="dxa"/>
          </w:tcPr>
          <w:p>
            <w:pPr>
              <w:spacing w:before="0" w:after="0" w:line="240" w:lineRule="auto"/>
              <w:jc w:val="left"/>
            </w:pPr>
            <w:r>
              <w:rPr>
                <w:sz w:val="20"/>
                <w:szCs w:val="20"/>
              </w:rPr>
              <w:t xml:space="preserve">Pair</w:t>
            </w:r>
          </w:p>
        </w:tc>
        <w:tc>
          <w:tcPr>
            <w:tcW w:w="1404" w:type="dxa"/>
          </w:tcPr>
          <w:p>
            <w:pPr>
              <w:spacing w:before="0" w:after="0" w:line="240" w:lineRule="auto"/>
              <w:jc w:val="left"/>
            </w:pPr>
            <w:r>
              <w:rPr>
                <w:sz w:val="20"/>
                <w:szCs w:val="20"/>
              </w:rPr>
              <w:t xml:space="preserve">Slope [95% CI]</w:t>
            </w:r>
          </w:p>
        </w:tc>
        <w:tc>
          <w:tcPr>
            <w:tcW w:w="1404" w:type="dxa"/>
          </w:tcPr>
          <w:p>
            <w:pPr>
              <w:spacing w:before="0" w:after="0" w:line="240" w:lineRule="auto"/>
              <w:jc w:val="left"/>
            </w:pPr>
            <w:r>
              <w:rPr>
                <w:sz w:val="20"/>
                <w:szCs w:val="20"/>
              </w:rPr>
              <w:t xml:space="preserve">p (bootstrap)</w:t>
            </w:r>
          </w:p>
        </w:tc>
        <w:tc>
          <w:tcPr>
            <w:tcW w:w="1612" w:type="dxa"/>
          </w:tcPr>
          <w:p>
            <w:pPr>
              <w:spacing w:before="0" w:after="0" w:line="240" w:lineRule="auto"/>
              <w:jc w:val="left"/>
            </w:pPr>
            <w:r>
              <w:rPr>
                <w:sz w:val="20"/>
                <w:szCs w:val="20"/>
              </w:rPr>
              <w:t xml:space="preserve">p (studentized)</w:t>
            </w:r>
          </w:p>
        </w:tc>
        <w:tc>
          <w:tcPr>
            <w:tcW w:w="884" w:type="dxa"/>
          </w:tcPr>
          <w:p>
            <w:pPr>
              <w:spacing w:before="0" w:after="0" w:line="240" w:lineRule="auto"/>
              <w:jc w:val="left"/>
            </w:pPr>
            <w:r>
              <w:rPr>
                <w:sz w:val="20"/>
                <w:szCs w:val="20"/>
              </w:rPr>
              <w:t xml:space="preserve">Holm, 19 tests</w:t>
            </w:r>
          </w:p>
        </w:tc>
        <w:tc>
          <w:tcPr>
            <w:tcW w:w="988" w:type="dxa"/>
          </w:tcPr>
          <w:p>
            <w:pPr>
              <w:spacing w:before="0" w:after="0" w:line="240" w:lineRule="auto"/>
              <w:jc w:val="left"/>
            </w:pPr>
            <w:r>
              <w:rPr>
                <w:sz w:val="20"/>
                <w:szCs w:val="20"/>
              </w:rPr>
              <w:t xml:space="preserve">Holm, H</w:t>
            </w:r>
            <w:r>
              <w:rPr>
                <w:vertAlign w:val="subscript"/>
                <w:sz w:val="20"/>
                <w:szCs w:val="20"/>
              </w:rPr>
              <w:t xml:space="preserve">2</w:t>
            </w:r>
            <w:r>
              <w:rPr>
                <w:sz w:val="20"/>
                <w:szCs w:val="20"/>
              </w:rPr>
              <w:t xml:space="preserve"> </w:t>
            </w:r>
            <w:r>
              <w:rPr>
                <w:sz w:val="20"/>
                <w:szCs w:val="20"/>
              </w:rPr>
              <w:t xml:space="preserve">family</w:t>
            </w:r>
          </w:p>
        </w:tc>
        <w:tc>
          <w:tcPr>
            <w:tcW w:w="765" w:type="dxa"/>
          </w:tcPr>
          <w:p>
            <w:pPr>
              <w:spacing w:before="0" w:after="0" w:line="240" w:lineRule="auto"/>
              <w:jc w:val="left"/>
            </w:pPr>
            <w:r>
              <w:rPr>
                <w:sz w:val="20"/>
                <w:szCs w:val="20"/>
              </w:rPr>
              <w:t xml:space="preserve">TOST p</w:t>
            </w:r>
          </w:p>
        </w:tc>
      </w:tr>
      <w:tr>
        <w:tc>
          <w:tcPr>
            <w:tcW w:w="1255" w:type="dxa"/>
          </w:tcPr>
          <w:p>
            <w:pPr>
              <w:spacing w:before="0" w:after="0" w:line="240" w:lineRule="auto"/>
              <w:jc w:val="left"/>
            </w:pPr>
            <w:r>
              <w:rPr>
                <w:sz w:val="20"/>
                <w:szCs w:val="20"/>
              </w:rPr>
              <w:t xml:space="preserve">Daily (1D)</w:t>
            </w:r>
          </w:p>
        </w:tc>
        <w:tc>
          <w:tcPr>
            <w:tcW w:w="1047" w:type="dxa"/>
          </w:tcPr>
          <w:p>
            <w:pPr>
              <w:spacing w:before="0" w:after="0" w:line="240" w:lineRule="auto"/>
              <w:jc w:val="left"/>
            </w:pPr>
            <w:r>
              <w:rPr>
                <w:sz w:val="20"/>
                <w:szCs w:val="20"/>
              </w:rPr>
              <w:t xml:space="preserve">VN30–VNINDEX</w:t>
            </w:r>
          </w:p>
        </w:tc>
        <w:tc>
          <w:tcPr>
            <w:tcW w:w="1404" w:type="dxa"/>
          </w:tcPr>
          <w:p>
            <w:pPr>
              <w:spacing w:before="0" w:after="0" w:line="240" w:lineRule="auto"/>
              <w:jc w:val="left"/>
            </w:pPr>
            <w:r>
              <w:rPr>
                <w:sz w:val="20"/>
                <w:szCs w:val="20"/>
              </w:rPr>
              <w:t xml:space="preserve">0.0010 [−0.0031, 0.0043]</w:t>
            </w:r>
          </w:p>
        </w:tc>
        <w:tc>
          <w:tcPr>
            <w:tcW w:w="1404" w:type="dxa"/>
          </w:tcPr>
          <w:p>
            <w:pPr>
              <w:spacing w:before="0" w:after="0" w:line="240" w:lineRule="auto"/>
              <w:jc w:val="left"/>
            </w:pPr>
            <w:r>
              <w:rPr>
                <w:sz w:val="20"/>
                <w:szCs w:val="20"/>
              </w:rPr>
              <w:t xml:space="preserve">0.700</w:t>
            </w:r>
          </w:p>
        </w:tc>
        <w:tc>
          <w:tcPr>
            <w:tcW w:w="1612" w:type="dxa"/>
          </w:tcPr>
          <w:p>
            <w:pPr>
              <w:spacing w:before="0" w:after="0" w:line="240" w:lineRule="auto"/>
              <w:jc w:val="left"/>
            </w:pPr>
            <w:r>
              <w:rPr>
                <w:sz w:val="20"/>
                <w:szCs w:val="20"/>
              </w:rPr>
              <w:t xml:space="preserve">0.602</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1.000</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Daily (1D)</w:t>
            </w:r>
          </w:p>
        </w:tc>
        <w:tc>
          <w:tcPr>
            <w:tcW w:w="1047" w:type="dxa"/>
          </w:tcPr>
          <w:p>
            <w:pPr>
              <w:spacing w:before="0" w:after="0" w:line="240" w:lineRule="auto"/>
              <w:jc w:val="left"/>
            </w:pPr>
            <w:r>
              <w:rPr>
                <w:sz w:val="20"/>
                <w:szCs w:val="20"/>
              </w:rPr>
              <w:t xml:space="preserve">VN100–VNINDEX</w:t>
            </w:r>
          </w:p>
        </w:tc>
        <w:tc>
          <w:tcPr>
            <w:tcW w:w="1404" w:type="dxa"/>
          </w:tcPr>
          <w:p>
            <w:pPr>
              <w:spacing w:before="0" w:after="0" w:line="240" w:lineRule="auto"/>
              <w:jc w:val="left"/>
            </w:pPr>
            <w:r>
              <w:rPr>
                <w:sz w:val="20"/>
                <w:szCs w:val="20"/>
              </w:rPr>
              <w:t xml:space="preserve">0.0008 [−0.0021, 0.0027]</w:t>
            </w:r>
          </w:p>
        </w:tc>
        <w:tc>
          <w:tcPr>
            <w:tcW w:w="1404" w:type="dxa"/>
          </w:tcPr>
          <w:p>
            <w:pPr>
              <w:spacing w:before="0" w:after="0" w:line="240" w:lineRule="auto"/>
              <w:jc w:val="left"/>
            </w:pPr>
            <w:r>
              <w:rPr>
                <w:sz w:val="20"/>
                <w:szCs w:val="20"/>
              </w:rPr>
              <w:t xml:space="preserve">0.736</w:t>
            </w:r>
          </w:p>
        </w:tc>
        <w:tc>
          <w:tcPr>
            <w:tcW w:w="1612" w:type="dxa"/>
          </w:tcPr>
          <w:p>
            <w:pPr>
              <w:spacing w:before="0" w:after="0" w:line="240" w:lineRule="auto"/>
              <w:jc w:val="left"/>
            </w:pPr>
            <w:r>
              <w:rPr>
                <w:sz w:val="20"/>
                <w:szCs w:val="20"/>
              </w:rPr>
              <w:t xml:space="preserve">0.530</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1.000</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Daily (1D)</w:t>
            </w:r>
          </w:p>
        </w:tc>
        <w:tc>
          <w:tcPr>
            <w:tcW w:w="1047" w:type="dxa"/>
          </w:tcPr>
          <w:p>
            <w:pPr>
              <w:spacing w:before="0" w:after="0" w:line="240" w:lineRule="auto"/>
              <w:jc w:val="left"/>
            </w:pPr>
            <w:r>
              <w:rPr>
                <w:sz w:val="20"/>
                <w:szCs w:val="20"/>
              </w:rPr>
              <w:t xml:space="preserve">VN30–VN100</w:t>
            </w:r>
          </w:p>
        </w:tc>
        <w:tc>
          <w:tcPr>
            <w:tcW w:w="1404" w:type="dxa"/>
          </w:tcPr>
          <w:p>
            <w:pPr>
              <w:spacing w:before="0" w:after="0" w:line="240" w:lineRule="auto"/>
              <w:jc w:val="left"/>
            </w:pPr>
            <w:r>
              <w:rPr>
                <w:sz w:val="20"/>
                <w:szCs w:val="20"/>
              </w:rPr>
              <w:t xml:space="preserve">−0.0008 [−0.0023, 0.0008]</w:t>
            </w:r>
          </w:p>
        </w:tc>
        <w:tc>
          <w:tcPr>
            <w:tcW w:w="1404" w:type="dxa"/>
          </w:tcPr>
          <w:p>
            <w:pPr>
              <w:spacing w:before="0" w:after="0" w:line="240" w:lineRule="auto"/>
              <w:jc w:val="left"/>
            </w:pPr>
            <w:r>
              <w:rPr>
                <w:sz w:val="20"/>
                <w:szCs w:val="20"/>
              </w:rPr>
              <w:t xml:space="preserve">0.348</w:t>
            </w:r>
          </w:p>
        </w:tc>
        <w:tc>
          <w:tcPr>
            <w:tcW w:w="1612" w:type="dxa"/>
          </w:tcPr>
          <w:p>
            <w:pPr>
              <w:spacing w:before="0" w:after="0" w:line="240" w:lineRule="auto"/>
              <w:jc w:val="left"/>
            </w:pPr>
            <w:r>
              <w:rPr>
                <w:sz w:val="20"/>
                <w:szCs w:val="20"/>
              </w:rPr>
              <w:t xml:space="preserve">0.319</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0.385</w:t>
            </w:r>
          </w:p>
        </w:tc>
      </w:tr>
      <w:tr>
        <w:tc>
          <w:tcPr>
            <w:tcW w:w="1255" w:type="dxa"/>
          </w:tcPr>
          <w:p>
            <w:pPr>
              <w:spacing w:before="0" w:after="0" w:line="240" w:lineRule="auto"/>
              <w:jc w:val="left"/>
            </w:pPr>
            <w:r>
              <w:rPr>
                <w:sz w:val="20"/>
                <w:szCs w:val="20"/>
              </w:rPr>
              <w:t xml:space="preserve">Daily (1D)</w:t>
            </w:r>
          </w:p>
        </w:tc>
        <w:tc>
          <w:tcPr>
            <w:tcW w:w="1047"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404" w:type="dxa"/>
          </w:tcPr>
          <w:p>
            <w:pPr>
              <w:spacing w:before="0" w:after="0" w:line="240" w:lineRule="auto"/>
              <w:jc w:val="left"/>
            </w:pPr>
            <w:r>
              <w:rPr>
                <w:sz w:val="20"/>
                <w:szCs w:val="20"/>
              </w:rPr>
              <w:t xml:space="preserve">−0.0040 [−0.0157, 0.0085]</w:t>
            </w:r>
          </w:p>
        </w:tc>
        <w:tc>
          <w:tcPr>
            <w:tcW w:w="1404" w:type="dxa"/>
          </w:tcPr>
          <w:p>
            <w:pPr>
              <w:spacing w:before="0" w:after="0" w:line="240" w:lineRule="auto"/>
              <w:jc w:val="left"/>
            </w:pPr>
            <w:r>
              <w:rPr>
                <w:sz w:val="20"/>
                <w:szCs w:val="20"/>
              </w:rPr>
              <w:t xml:space="preserve">0.576</w:t>
            </w:r>
          </w:p>
        </w:tc>
        <w:tc>
          <w:tcPr>
            <w:tcW w:w="1612" w:type="dxa"/>
          </w:tcPr>
          <w:p>
            <w:pPr>
              <w:spacing w:before="0" w:after="0" w:line="240" w:lineRule="auto"/>
              <w:jc w:val="left"/>
            </w:pPr>
            <w:r>
              <w:rPr>
                <w:sz w:val="20"/>
                <w:szCs w:val="20"/>
              </w:rPr>
              <w:t xml:space="preserve">0.512</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30-minute (M30)</w:t>
            </w:r>
          </w:p>
        </w:tc>
        <w:tc>
          <w:tcPr>
            <w:tcW w:w="1047" w:type="dxa"/>
          </w:tcPr>
          <w:p>
            <w:pPr>
              <w:spacing w:before="0" w:after="0" w:line="240" w:lineRule="auto"/>
              <w:jc w:val="left"/>
            </w:pPr>
            <w:r>
              <w:rPr>
                <w:sz w:val="20"/>
                <w:szCs w:val="20"/>
              </w:rPr>
              <w:t xml:space="preserve">VN30–VNINDEX</w:t>
            </w:r>
          </w:p>
        </w:tc>
        <w:tc>
          <w:tcPr>
            <w:tcW w:w="1404" w:type="dxa"/>
          </w:tcPr>
          <w:p>
            <w:pPr>
              <w:spacing w:before="0" w:after="0" w:line="240" w:lineRule="auto"/>
              <w:jc w:val="left"/>
            </w:pPr>
            <w:r>
              <w:rPr>
                <w:sz w:val="20"/>
                <w:szCs w:val="20"/>
              </w:rPr>
              <w:t xml:space="preserve">0.0022 [0.0007, 0.0038]</w:t>
            </w:r>
          </w:p>
        </w:tc>
        <w:tc>
          <w:tcPr>
            <w:tcW w:w="1404" w:type="dxa"/>
          </w:tcPr>
          <w:p>
            <w:pPr>
              <w:spacing w:before="0" w:after="0" w:line="240" w:lineRule="auto"/>
              <w:jc w:val="left"/>
            </w:pPr>
            <w:r>
              <w:rPr>
                <w:sz w:val="20"/>
                <w:szCs w:val="20"/>
              </w:rPr>
              <w:t xml:space="preserve">0.012</w:t>
            </w:r>
          </w:p>
        </w:tc>
        <w:tc>
          <w:tcPr>
            <w:tcW w:w="1612" w:type="dxa"/>
          </w:tcPr>
          <w:p>
            <w:pPr>
              <w:spacing w:before="0" w:after="0" w:line="240" w:lineRule="auto"/>
              <w:jc w:val="left"/>
            </w:pPr>
            <w:r>
              <w:rPr>
                <w:sz w:val="20"/>
                <w:szCs w:val="20"/>
              </w:rPr>
              <w:t xml:space="preserve">0.009</w:t>
            </w:r>
          </w:p>
        </w:tc>
        <w:tc>
          <w:tcPr>
            <w:tcW w:w="884" w:type="dxa"/>
          </w:tcPr>
          <w:p>
            <w:pPr>
              <w:spacing w:before="0" w:after="0" w:line="240" w:lineRule="auto"/>
              <w:jc w:val="left"/>
            </w:pPr>
            <w:r>
              <w:rPr>
                <w:sz w:val="20"/>
                <w:szCs w:val="20"/>
              </w:rPr>
              <w:t xml:space="preserve">0.144</w:t>
            </w:r>
          </w:p>
        </w:tc>
        <w:tc>
          <w:tcPr>
            <w:tcW w:w="988" w:type="dxa"/>
          </w:tcPr>
          <w:p>
            <w:pPr>
              <w:spacing w:before="0" w:after="0" w:line="240" w:lineRule="auto"/>
              <w:jc w:val="left"/>
            </w:pPr>
            <w:r>
              <w:rPr>
                <w:sz w:val="20"/>
                <w:szCs w:val="20"/>
              </w:rPr>
              <w:t xml:space="preserve">0.045</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30-minute (M30)</w:t>
            </w:r>
          </w:p>
        </w:tc>
        <w:tc>
          <w:tcPr>
            <w:tcW w:w="1047" w:type="dxa"/>
          </w:tcPr>
          <w:p>
            <w:pPr>
              <w:spacing w:before="0" w:after="0" w:line="240" w:lineRule="auto"/>
              <w:jc w:val="left"/>
            </w:pPr>
            <w:r>
              <w:rPr>
                <w:sz w:val="20"/>
                <w:szCs w:val="20"/>
              </w:rPr>
              <w:t xml:space="preserve">VN100–VNINDEX</w:t>
            </w:r>
          </w:p>
        </w:tc>
        <w:tc>
          <w:tcPr>
            <w:tcW w:w="1404" w:type="dxa"/>
          </w:tcPr>
          <w:p>
            <w:pPr>
              <w:spacing w:before="0" w:after="0" w:line="240" w:lineRule="auto"/>
              <w:jc w:val="left"/>
            </w:pPr>
            <w:r>
              <w:rPr>
                <w:sz w:val="20"/>
                <w:szCs w:val="20"/>
              </w:rPr>
              <w:t xml:space="preserve">0.0022 [0.0011, 0.0032]</w:t>
            </w:r>
          </w:p>
        </w:tc>
        <w:tc>
          <w:tcPr>
            <w:tcW w:w="1404" w:type="dxa"/>
          </w:tcPr>
          <w:p>
            <w:pPr>
              <w:spacing w:before="0" w:after="0" w:line="240" w:lineRule="auto"/>
              <w:jc w:val="left"/>
            </w:pPr>
            <w:r>
              <w:rPr>
                <w:sz w:val="20"/>
                <w:szCs w:val="20"/>
              </w:rPr>
              <w:t xml:space="preserve">&lt; 0.005</w:t>
            </w:r>
          </w:p>
        </w:tc>
        <w:tc>
          <w:tcPr>
            <w:tcW w:w="1612" w:type="dxa"/>
          </w:tcPr>
          <w:p>
            <w:pPr>
              <w:spacing w:before="0" w:after="0" w:line="240" w:lineRule="auto"/>
              <w:jc w:val="left"/>
            </w:pPr>
            <w:r>
              <w:rPr>
                <w:sz w:val="20"/>
                <w:szCs w:val="20"/>
              </w:rPr>
              <w:t xml:space="preserve">&lt; 0.001</w:t>
            </w:r>
          </w:p>
        </w:tc>
        <w:tc>
          <w:tcPr>
            <w:tcW w:w="884" w:type="dxa"/>
          </w:tcPr>
          <w:p>
            <w:pPr>
              <w:spacing w:before="0" w:after="0" w:line="240" w:lineRule="auto"/>
              <w:jc w:val="left"/>
            </w:pPr>
            <w:r>
              <w:rPr>
                <w:sz w:val="20"/>
                <w:szCs w:val="20"/>
              </w:rPr>
              <w:t xml:space="preserve">0.002</w:t>
            </w:r>
          </w:p>
        </w:tc>
        <w:tc>
          <w:tcPr>
            <w:tcW w:w="988" w:type="dxa"/>
          </w:tcPr>
          <w:p>
            <w:pPr>
              <w:spacing w:before="0" w:after="0" w:line="240" w:lineRule="auto"/>
              <w:jc w:val="left"/>
            </w:pPr>
            <w:r>
              <w:rPr>
                <w:sz w:val="20"/>
                <w:szCs w:val="20"/>
              </w:rPr>
              <w:t xml:space="preserve">&lt; 0.001</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30-minute (M30)</w:t>
            </w:r>
          </w:p>
        </w:tc>
        <w:tc>
          <w:tcPr>
            <w:tcW w:w="1047" w:type="dxa"/>
          </w:tcPr>
          <w:p>
            <w:pPr>
              <w:spacing w:before="0" w:after="0" w:line="240" w:lineRule="auto"/>
              <w:jc w:val="left"/>
            </w:pPr>
            <w:r>
              <w:rPr>
                <w:sz w:val="20"/>
                <w:szCs w:val="20"/>
              </w:rPr>
              <w:t xml:space="preserve">VN30–VN100</w:t>
            </w:r>
          </w:p>
        </w:tc>
        <w:tc>
          <w:tcPr>
            <w:tcW w:w="1404" w:type="dxa"/>
          </w:tcPr>
          <w:p>
            <w:pPr>
              <w:spacing w:before="0" w:after="0" w:line="240" w:lineRule="auto"/>
              <w:jc w:val="left"/>
            </w:pPr>
            <w:r>
              <w:rPr>
                <w:sz w:val="20"/>
                <w:szCs w:val="20"/>
              </w:rPr>
              <w:t xml:space="preserve">−0.0001 [−0.0007, 0.0007]</w:t>
            </w:r>
          </w:p>
        </w:tc>
        <w:tc>
          <w:tcPr>
            <w:tcW w:w="1404" w:type="dxa"/>
          </w:tcPr>
          <w:p>
            <w:pPr>
              <w:spacing w:before="0" w:after="0" w:line="240" w:lineRule="auto"/>
              <w:jc w:val="left"/>
            </w:pPr>
            <w:r>
              <w:rPr>
                <w:sz w:val="20"/>
                <w:szCs w:val="20"/>
              </w:rPr>
              <w:t xml:space="preserve">0.980</w:t>
            </w:r>
          </w:p>
        </w:tc>
        <w:tc>
          <w:tcPr>
            <w:tcW w:w="1612" w:type="dxa"/>
          </w:tcPr>
          <w:p>
            <w:pPr>
              <w:spacing w:before="0" w:after="0" w:line="240" w:lineRule="auto"/>
              <w:jc w:val="left"/>
            </w:pPr>
            <w:r>
              <w:rPr>
                <w:sz w:val="20"/>
                <w:szCs w:val="20"/>
              </w:rPr>
              <w:t xml:space="preserve">0.863</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0.007</w:t>
            </w:r>
          </w:p>
        </w:tc>
      </w:tr>
      <w:tr>
        <w:tc>
          <w:tcPr>
            <w:tcW w:w="1255" w:type="dxa"/>
          </w:tcPr>
          <w:p>
            <w:pPr>
              <w:spacing w:before="0" w:after="0" w:line="240" w:lineRule="auto"/>
              <w:jc w:val="left"/>
            </w:pPr>
            <w:r>
              <w:rPr>
                <w:sz w:val="20"/>
                <w:szCs w:val="20"/>
              </w:rPr>
              <w:t xml:space="preserve">30-minute (M30)</w:t>
            </w:r>
          </w:p>
        </w:tc>
        <w:tc>
          <w:tcPr>
            <w:tcW w:w="1047"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404" w:type="dxa"/>
          </w:tcPr>
          <w:p>
            <w:pPr>
              <w:spacing w:before="0" w:after="0" w:line="240" w:lineRule="auto"/>
              <w:jc w:val="left"/>
            </w:pPr>
            <w:r>
              <w:rPr>
                <w:sz w:val="20"/>
                <w:szCs w:val="20"/>
              </w:rPr>
              <w:t xml:space="preserve">0.0017 [−0.0045, 0.0078]</w:t>
            </w:r>
          </w:p>
        </w:tc>
        <w:tc>
          <w:tcPr>
            <w:tcW w:w="1404" w:type="dxa"/>
          </w:tcPr>
          <w:p>
            <w:pPr>
              <w:spacing w:before="0" w:after="0" w:line="240" w:lineRule="auto"/>
              <w:jc w:val="left"/>
            </w:pPr>
            <w:r>
              <w:rPr>
                <w:sz w:val="20"/>
                <w:szCs w:val="20"/>
              </w:rPr>
              <w:t xml:space="preserve">0.520</w:t>
            </w:r>
          </w:p>
        </w:tc>
        <w:tc>
          <w:tcPr>
            <w:tcW w:w="1612" w:type="dxa"/>
          </w:tcPr>
          <w:p>
            <w:pPr>
              <w:spacing w:before="0" w:after="0" w:line="240" w:lineRule="auto"/>
              <w:jc w:val="left"/>
            </w:pPr>
            <w:r>
              <w:rPr>
                <w:sz w:val="20"/>
                <w:szCs w:val="20"/>
              </w:rPr>
              <w:t xml:space="preserve">0.603</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1-hour (H1)</w:t>
            </w:r>
          </w:p>
        </w:tc>
        <w:tc>
          <w:tcPr>
            <w:tcW w:w="1047" w:type="dxa"/>
          </w:tcPr>
          <w:p>
            <w:pPr>
              <w:spacing w:before="0" w:after="0" w:line="240" w:lineRule="auto"/>
              <w:jc w:val="left"/>
            </w:pPr>
            <w:r>
              <w:rPr>
                <w:sz w:val="20"/>
                <w:szCs w:val="20"/>
              </w:rPr>
              <w:t xml:space="preserve">VN30–VNINDEX</w:t>
            </w:r>
          </w:p>
        </w:tc>
        <w:tc>
          <w:tcPr>
            <w:tcW w:w="1404" w:type="dxa"/>
          </w:tcPr>
          <w:p>
            <w:pPr>
              <w:spacing w:before="0" w:after="0" w:line="240" w:lineRule="auto"/>
              <w:jc w:val="left"/>
            </w:pPr>
            <w:r>
              <w:rPr>
                <w:sz w:val="20"/>
                <w:szCs w:val="20"/>
              </w:rPr>
              <w:t xml:space="preserve">0.0024 [0.0006, 0.0041]</w:t>
            </w:r>
          </w:p>
        </w:tc>
        <w:tc>
          <w:tcPr>
            <w:tcW w:w="1404" w:type="dxa"/>
          </w:tcPr>
          <w:p>
            <w:pPr>
              <w:spacing w:before="0" w:after="0" w:line="240" w:lineRule="auto"/>
              <w:jc w:val="left"/>
            </w:pPr>
            <w:r>
              <w:rPr>
                <w:sz w:val="20"/>
                <w:szCs w:val="20"/>
              </w:rPr>
              <w:t xml:space="preserve">0.012</w:t>
            </w:r>
          </w:p>
        </w:tc>
        <w:tc>
          <w:tcPr>
            <w:tcW w:w="1612" w:type="dxa"/>
          </w:tcPr>
          <w:p>
            <w:pPr>
              <w:spacing w:before="0" w:after="0" w:line="240" w:lineRule="auto"/>
              <w:jc w:val="left"/>
            </w:pPr>
            <w:r>
              <w:rPr>
                <w:sz w:val="20"/>
                <w:szCs w:val="20"/>
              </w:rPr>
              <w:t xml:space="preserve">0.006</w:t>
            </w:r>
          </w:p>
        </w:tc>
        <w:tc>
          <w:tcPr>
            <w:tcW w:w="884" w:type="dxa"/>
          </w:tcPr>
          <w:p>
            <w:pPr>
              <w:spacing w:before="0" w:after="0" w:line="240" w:lineRule="auto"/>
              <w:jc w:val="left"/>
            </w:pPr>
            <w:r>
              <w:rPr>
                <w:sz w:val="20"/>
                <w:szCs w:val="20"/>
              </w:rPr>
              <w:t xml:space="preserve">0.101</w:t>
            </w:r>
          </w:p>
        </w:tc>
        <w:tc>
          <w:tcPr>
            <w:tcW w:w="988" w:type="dxa"/>
          </w:tcPr>
          <w:p>
            <w:pPr>
              <w:spacing w:before="0" w:after="0" w:line="240" w:lineRule="auto"/>
              <w:jc w:val="left"/>
            </w:pPr>
            <w:r>
              <w:rPr>
                <w:sz w:val="20"/>
                <w:szCs w:val="20"/>
              </w:rPr>
              <w:t xml:space="preserve">0.039</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1-hour (H1)</w:t>
            </w:r>
          </w:p>
        </w:tc>
        <w:tc>
          <w:tcPr>
            <w:tcW w:w="1047" w:type="dxa"/>
          </w:tcPr>
          <w:p>
            <w:pPr>
              <w:spacing w:before="0" w:after="0" w:line="240" w:lineRule="auto"/>
              <w:jc w:val="left"/>
            </w:pPr>
            <w:r>
              <w:rPr>
                <w:sz w:val="20"/>
                <w:szCs w:val="20"/>
              </w:rPr>
              <w:t xml:space="preserve">VN100–VNINDEX</w:t>
            </w:r>
          </w:p>
        </w:tc>
        <w:tc>
          <w:tcPr>
            <w:tcW w:w="1404" w:type="dxa"/>
          </w:tcPr>
          <w:p>
            <w:pPr>
              <w:spacing w:before="0" w:after="0" w:line="240" w:lineRule="auto"/>
              <w:jc w:val="left"/>
            </w:pPr>
            <w:r>
              <w:rPr>
                <w:sz w:val="20"/>
                <w:szCs w:val="20"/>
              </w:rPr>
              <w:t xml:space="preserve">0.0019 [0.0007, 0.0032]</w:t>
            </w:r>
          </w:p>
        </w:tc>
        <w:tc>
          <w:tcPr>
            <w:tcW w:w="1404" w:type="dxa"/>
          </w:tcPr>
          <w:p>
            <w:pPr>
              <w:spacing w:before="0" w:after="0" w:line="240" w:lineRule="auto"/>
              <w:jc w:val="left"/>
            </w:pPr>
            <w:r>
              <w:rPr>
                <w:sz w:val="20"/>
                <w:szCs w:val="20"/>
              </w:rPr>
              <w:t xml:space="preserve">0.012</w:t>
            </w:r>
          </w:p>
        </w:tc>
        <w:tc>
          <w:tcPr>
            <w:tcW w:w="1612" w:type="dxa"/>
          </w:tcPr>
          <w:p>
            <w:pPr>
              <w:spacing w:before="0" w:after="0" w:line="240" w:lineRule="auto"/>
              <w:jc w:val="left"/>
            </w:pPr>
            <w:r>
              <w:rPr>
                <w:sz w:val="20"/>
                <w:szCs w:val="20"/>
              </w:rPr>
              <w:t xml:space="preserve">0.006</w:t>
            </w:r>
          </w:p>
        </w:tc>
        <w:tc>
          <w:tcPr>
            <w:tcW w:w="884" w:type="dxa"/>
          </w:tcPr>
          <w:p>
            <w:pPr>
              <w:spacing w:before="0" w:after="0" w:line="240" w:lineRule="auto"/>
              <w:jc w:val="left"/>
            </w:pPr>
            <w:r>
              <w:rPr>
                <w:sz w:val="20"/>
                <w:szCs w:val="20"/>
              </w:rPr>
              <w:t xml:space="preserve">0.101</w:t>
            </w:r>
          </w:p>
        </w:tc>
        <w:tc>
          <w:tcPr>
            <w:tcW w:w="988" w:type="dxa"/>
          </w:tcPr>
          <w:p>
            <w:pPr>
              <w:spacing w:before="0" w:after="0" w:line="240" w:lineRule="auto"/>
              <w:jc w:val="left"/>
            </w:pPr>
            <w:r>
              <w:rPr>
                <w:sz w:val="20"/>
                <w:szCs w:val="20"/>
              </w:rPr>
              <w:t xml:space="preserve">0.039</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1-hour (H1)</w:t>
            </w:r>
          </w:p>
        </w:tc>
        <w:tc>
          <w:tcPr>
            <w:tcW w:w="1047" w:type="dxa"/>
          </w:tcPr>
          <w:p>
            <w:pPr>
              <w:spacing w:before="0" w:after="0" w:line="240" w:lineRule="auto"/>
              <w:jc w:val="left"/>
            </w:pPr>
            <w:r>
              <w:rPr>
                <w:sz w:val="20"/>
                <w:szCs w:val="20"/>
              </w:rPr>
              <w:t xml:space="preserve">VN30–VN100</w:t>
            </w:r>
          </w:p>
        </w:tc>
        <w:tc>
          <w:tcPr>
            <w:tcW w:w="1404" w:type="dxa"/>
          </w:tcPr>
          <w:p>
            <w:pPr>
              <w:spacing w:before="0" w:after="0" w:line="240" w:lineRule="auto"/>
              <w:jc w:val="left"/>
            </w:pPr>
            <w:r>
              <w:rPr>
                <w:sz w:val="20"/>
                <w:szCs w:val="20"/>
              </w:rPr>
              <w:t xml:space="preserve">0.0001 [−0.0007, 0.0009]</w:t>
            </w:r>
          </w:p>
        </w:tc>
        <w:tc>
          <w:tcPr>
            <w:tcW w:w="1404" w:type="dxa"/>
          </w:tcPr>
          <w:p>
            <w:pPr>
              <w:spacing w:before="0" w:after="0" w:line="240" w:lineRule="auto"/>
              <w:jc w:val="left"/>
            </w:pPr>
            <w:r>
              <w:rPr>
                <w:sz w:val="20"/>
                <w:szCs w:val="20"/>
              </w:rPr>
              <w:t xml:space="preserve">0.652</w:t>
            </w:r>
          </w:p>
        </w:tc>
        <w:tc>
          <w:tcPr>
            <w:tcW w:w="1612" w:type="dxa"/>
          </w:tcPr>
          <w:p>
            <w:pPr>
              <w:spacing w:before="0" w:after="0" w:line="240" w:lineRule="auto"/>
              <w:jc w:val="left"/>
            </w:pPr>
            <w:r>
              <w:rPr>
                <w:sz w:val="20"/>
                <w:szCs w:val="20"/>
              </w:rPr>
              <w:t xml:space="preserve">0.884</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0.012</w:t>
            </w:r>
          </w:p>
        </w:tc>
      </w:tr>
      <w:tr>
        <w:tc>
          <w:tcPr>
            <w:tcW w:w="1255" w:type="dxa"/>
          </w:tcPr>
          <w:p>
            <w:pPr>
              <w:spacing w:before="0" w:after="0" w:line="240" w:lineRule="auto"/>
              <w:jc w:val="left"/>
            </w:pPr>
            <w:r>
              <w:rPr>
                <w:sz w:val="20"/>
                <w:szCs w:val="20"/>
              </w:rPr>
              <w:t xml:space="preserve">1-hour (H1)</w:t>
            </w:r>
          </w:p>
        </w:tc>
        <w:tc>
          <w:tcPr>
            <w:tcW w:w="1047"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404" w:type="dxa"/>
          </w:tcPr>
          <w:p>
            <w:pPr>
              <w:spacing w:before="0" w:after="0" w:line="240" w:lineRule="auto"/>
              <w:jc w:val="left"/>
            </w:pPr>
            <w:r>
              <w:rPr>
                <w:sz w:val="20"/>
                <w:szCs w:val="20"/>
              </w:rPr>
              <w:t xml:space="preserve">0.0020 [−0.0035, 0.0089]</w:t>
            </w:r>
          </w:p>
        </w:tc>
        <w:tc>
          <w:tcPr>
            <w:tcW w:w="1404" w:type="dxa"/>
          </w:tcPr>
          <w:p>
            <w:pPr>
              <w:spacing w:before="0" w:after="0" w:line="240" w:lineRule="auto"/>
              <w:jc w:val="left"/>
            </w:pPr>
            <w:r>
              <w:rPr>
                <w:sz w:val="20"/>
                <w:szCs w:val="20"/>
              </w:rPr>
              <w:t xml:space="preserve">0.392</w:t>
            </w:r>
          </w:p>
        </w:tc>
        <w:tc>
          <w:tcPr>
            <w:tcW w:w="1612" w:type="dxa"/>
          </w:tcPr>
          <w:p>
            <w:pPr>
              <w:spacing w:before="0" w:after="0" w:line="240" w:lineRule="auto"/>
              <w:jc w:val="left"/>
            </w:pPr>
            <w:r>
              <w:rPr>
                <w:sz w:val="20"/>
                <w:szCs w:val="20"/>
              </w:rPr>
              <w:t xml:space="preserve">0.552</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4-hour (H4)</w:t>
            </w:r>
          </w:p>
        </w:tc>
        <w:tc>
          <w:tcPr>
            <w:tcW w:w="1047" w:type="dxa"/>
          </w:tcPr>
          <w:p>
            <w:pPr>
              <w:spacing w:before="0" w:after="0" w:line="240" w:lineRule="auto"/>
              <w:jc w:val="left"/>
            </w:pPr>
            <w:r>
              <w:rPr>
                <w:sz w:val="20"/>
                <w:szCs w:val="20"/>
              </w:rPr>
              <w:t xml:space="preserve">VN30–VNINDEX</w:t>
            </w:r>
          </w:p>
        </w:tc>
        <w:tc>
          <w:tcPr>
            <w:tcW w:w="1404" w:type="dxa"/>
          </w:tcPr>
          <w:p>
            <w:pPr>
              <w:spacing w:before="0" w:after="0" w:line="240" w:lineRule="auto"/>
              <w:jc w:val="left"/>
            </w:pPr>
            <w:r>
              <w:rPr>
                <w:sz w:val="20"/>
                <w:szCs w:val="20"/>
              </w:rPr>
              <w:t xml:space="preserve">0.0003 [−0.0026, 0.0029]</w:t>
            </w:r>
          </w:p>
        </w:tc>
        <w:tc>
          <w:tcPr>
            <w:tcW w:w="1404" w:type="dxa"/>
          </w:tcPr>
          <w:p>
            <w:pPr>
              <w:spacing w:before="0" w:after="0" w:line="240" w:lineRule="auto"/>
              <w:jc w:val="left"/>
            </w:pPr>
            <w:r>
              <w:rPr>
                <w:sz w:val="20"/>
                <w:szCs w:val="20"/>
              </w:rPr>
              <w:t xml:space="preserve">0.852</w:t>
            </w:r>
          </w:p>
        </w:tc>
        <w:tc>
          <w:tcPr>
            <w:tcW w:w="1612" w:type="dxa"/>
          </w:tcPr>
          <w:p>
            <w:pPr>
              <w:spacing w:before="0" w:after="0" w:line="240" w:lineRule="auto"/>
              <w:jc w:val="left"/>
            </w:pPr>
            <w:r>
              <w:rPr>
                <w:sz w:val="20"/>
                <w:szCs w:val="20"/>
              </w:rPr>
              <w:t xml:space="preserve">0.807</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1.000</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4-hour (H4)</w:t>
            </w:r>
          </w:p>
        </w:tc>
        <w:tc>
          <w:tcPr>
            <w:tcW w:w="1047" w:type="dxa"/>
          </w:tcPr>
          <w:p>
            <w:pPr>
              <w:spacing w:before="0" w:after="0" w:line="240" w:lineRule="auto"/>
              <w:jc w:val="left"/>
            </w:pPr>
            <w:r>
              <w:rPr>
                <w:sz w:val="20"/>
                <w:szCs w:val="20"/>
              </w:rPr>
              <w:t xml:space="preserve">VN100–VNINDEX</w:t>
            </w:r>
          </w:p>
        </w:tc>
        <w:tc>
          <w:tcPr>
            <w:tcW w:w="1404" w:type="dxa"/>
          </w:tcPr>
          <w:p>
            <w:pPr>
              <w:spacing w:before="0" w:after="0" w:line="240" w:lineRule="auto"/>
              <w:jc w:val="left"/>
            </w:pPr>
            <w:r>
              <w:rPr>
                <w:sz w:val="20"/>
                <w:szCs w:val="20"/>
              </w:rPr>
              <w:t xml:space="preserve">0.0002 [−0.0018, 0.0021]</w:t>
            </w:r>
          </w:p>
        </w:tc>
        <w:tc>
          <w:tcPr>
            <w:tcW w:w="1404" w:type="dxa"/>
          </w:tcPr>
          <w:p>
            <w:pPr>
              <w:spacing w:before="0" w:after="0" w:line="240" w:lineRule="auto"/>
              <w:jc w:val="left"/>
            </w:pPr>
            <w:r>
              <w:rPr>
                <w:sz w:val="20"/>
                <w:szCs w:val="20"/>
              </w:rPr>
              <w:t xml:space="preserve">0.800</w:t>
            </w:r>
          </w:p>
        </w:tc>
        <w:tc>
          <w:tcPr>
            <w:tcW w:w="1612" w:type="dxa"/>
          </w:tcPr>
          <w:p>
            <w:pPr>
              <w:spacing w:before="0" w:after="0" w:line="240" w:lineRule="auto"/>
              <w:jc w:val="left"/>
            </w:pPr>
            <w:r>
              <w:rPr>
                <w:sz w:val="20"/>
                <w:szCs w:val="20"/>
              </w:rPr>
              <w:t xml:space="preserve">0.856</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1.000</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4-hour (H4)</w:t>
            </w:r>
          </w:p>
        </w:tc>
        <w:tc>
          <w:tcPr>
            <w:tcW w:w="1047" w:type="dxa"/>
          </w:tcPr>
          <w:p>
            <w:pPr>
              <w:spacing w:before="0" w:after="0" w:line="240" w:lineRule="auto"/>
              <w:jc w:val="left"/>
            </w:pPr>
            <w:r>
              <w:rPr>
                <w:sz w:val="20"/>
                <w:szCs w:val="20"/>
              </w:rPr>
              <w:t xml:space="preserve">VN30–VN100</w:t>
            </w:r>
          </w:p>
        </w:tc>
        <w:tc>
          <w:tcPr>
            <w:tcW w:w="1404" w:type="dxa"/>
          </w:tcPr>
          <w:p>
            <w:pPr>
              <w:spacing w:before="0" w:after="0" w:line="240" w:lineRule="auto"/>
              <w:jc w:val="left"/>
            </w:pPr>
            <w:r>
              <w:rPr>
                <w:sz w:val="20"/>
                <w:szCs w:val="20"/>
              </w:rPr>
              <w:t xml:space="preserve">−0.0004 [−0.0018, 0.0007]</w:t>
            </w:r>
          </w:p>
        </w:tc>
        <w:tc>
          <w:tcPr>
            <w:tcW w:w="1404" w:type="dxa"/>
          </w:tcPr>
          <w:p>
            <w:pPr>
              <w:spacing w:before="0" w:after="0" w:line="240" w:lineRule="auto"/>
              <w:jc w:val="left"/>
            </w:pPr>
            <w:r>
              <w:rPr>
                <w:sz w:val="20"/>
                <w:szCs w:val="20"/>
              </w:rPr>
              <w:t xml:space="preserve">0.628</w:t>
            </w:r>
          </w:p>
        </w:tc>
        <w:tc>
          <w:tcPr>
            <w:tcW w:w="1612" w:type="dxa"/>
          </w:tcPr>
          <w:p>
            <w:pPr>
              <w:spacing w:before="0" w:after="0" w:line="240" w:lineRule="auto"/>
              <w:jc w:val="left"/>
            </w:pPr>
            <w:r>
              <w:rPr>
                <w:sz w:val="20"/>
                <w:szCs w:val="20"/>
              </w:rPr>
              <w:t xml:space="preserve">0.541</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0.142</w:t>
            </w:r>
          </w:p>
        </w:tc>
      </w:tr>
      <w:tr>
        <w:tc>
          <w:tcPr>
            <w:tcW w:w="1255" w:type="dxa"/>
          </w:tcPr>
          <w:p>
            <w:pPr>
              <w:spacing w:before="0" w:after="0" w:line="240" w:lineRule="auto"/>
              <w:jc w:val="left"/>
            </w:pPr>
            <w:r>
              <w:rPr>
                <w:sz w:val="20"/>
                <w:szCs w:val="20"/>
              </w:rPr>
              <w:t xml:space="preserve">4-hour (H4)</w:t>
            </w:r>
          </w:p>
        </w:tc>
        <w:tc>
          <w:tcPr>
            <w:tcW w:w="1047"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404" w:type="dxa"/>
          </w:tcPr>
          <w:p>
            <w:pPr>
              <w:spacing w:before="0" w:after="0" w:line="240" w:lineRule="auto"/>
              <w:jc w:val="left"/>
            </w:pPr>
            <w:r>
              <w:rPr>
                <w:sz w:val="20"/>
                <w:szCs w:val="20"/>
              </w:rPr>
              <w:t xml:space="preserve">−0.0020 [−0.0124, 0.0067]</w:t>
            </w:r>
          </w:p>
        </w:tc>
        <w:tc>
          <w:tcPr>
            <w:tcW w:w="1404" w:type="dxa"/>
          </w:tcPr>
          <w:p>
            <w:pPr>
              <w:spacing w:before="0" w:after="0" w:line="240" w:lineRule="auto"/>
              <w:jc w:val="left"/>
            </w:pPr>
            <w:r>
              <w:rPr>
                <w:sz w:val="20"/>
                <w:szCs w:val="20"/>
              </w:rPr>
              <w:t xml:space="preserve">0.760</w:t>
            </w:r>
          </w:p>
        </w:tc>
        <w:tc>
          <w:tcPr>
            <w:tcW w:w="1612" w:type="dxa"/>
          </w:tcPr>
          <w:p>
            <w:pPr>
              <w:spacing w:before="0" w:after="0" w:line="240" w:lineRule="auto"/>
              <w:jc w:val="left"/>
            </w:pPr>
            <w:r>
              <w:rPr>
                <w:sz w:val="20"/>
                <w:szCs w:val="20"/>
              </w:rPr>
              <w:t xml:space="preserve">0.667</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w:t>
            </w:r>
          </w:p>
        </w:tc>
      </w:tr>
    </w:tbl>
    <w:p>
      <w:pPr>
        <w:pStyle w:val="Compact"/>
      </w:pPr>
      <w:r>
        <w:rPr>
          <w:sz w:val="20"/>
          <w:szCs w:val="20"/>
        </w:rPr>
        <w:t xml:space="preserve">Notes: Slopes β of Eq. (13) over s ≤ s</w:t>
      </w:r>
      <w:r>
        <w:rPr>
          <w:vertAlign w:val="subscript"/>
          <w:sz w:val="20"/>
          <w:szCs w:val="20"/>
        </w:rPr>
        <w:t xml:space="preserve">rel</w:t>
      </w:r>
      <w:r>
        <w:rPr>
          <w:sz w:val="20"/>
          <w:szCs w:val="20"/>
        </w:rPr>
        <w:t xml:space="preserve">; P</w:t>
      </w:r>
      <w:r>
        <w:rPr>
          <w:vertAlign w:val="subscript"/>
          <w:sz w:val="20"/>
          <w:szCs w:val="20"/>
        </w:rPr>
        <w:t xml:space="preserve">cap</w:t>
      </w:r>
      <w:r>
        <w:rPr>
          <w:sz w:val="20"/>
          <w:szCs w:val="20"/>
        </w:rPr>
        <w:t xml:space="preserve">: overlap-purged mid-cap series. Holm, 19 tests: studentized p adjusted over the original 19 tests, which include three statistical proxies at M30 (Table S8); H</w:t>
      </w:r>
      <w:r>
        <w:rPr>
          <w:vertAlign w:val="subscript"/>
          <w:sz w:val="20"/>
          <w:szCs w:val="20"/>
        </w:rPr>
        <w:t xml:space="preserve">2</w:t>
      </w:r>
      <w:r>
        <w:rPr>
          <w:sz w:val="20"/>
          <w:szCs w:val="20"/>
        </w:rPr>
        <w:t xml:space="preserve"> </w:t>
      </w:r>
      <w:r>
        <w:rPr>
          <w:sz w:val="20"/>
          <w:szCs w:val="20"/>
        </w:rPr>
        <w:t xml:space="preserve">family: the eight broad-market tests; TOST: equivalence to zero with a margin of 0.001.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Positive slopes appear only for broad-market pairs at M30 and H1. In the H</w:t>
      </w:r>
      <w:r>
        <w:rPr>
          <w:rFonts w:ascii="Times New Roman" w:hAnsi="Times New Roman" w:cs="Times New Roman" w:eastAsia="Times New Roman"/>
          <w:vertAlign w:val="subscript"/>
          <w:sz w:val="24"/>
          <w:szCs w:val="24"/>
        </w:rPr>
        <w:t xml:space="preserve">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family, four slopes survive the Holm adjustment, with estimates of 0.0019–0.0024, a rise of approximately 0.01 across the reliable range. None is significant at 1D or H4; with the significant positive slopes at both frequencies that the rule requires, H</w:t>
      </w:r>
      <w:r>
        <w:rPr>
          <w:rFonts w:ascii="Times New Roman" w:hAnsi="Times New Roman" w:cs="Times New Roman" w:eastAsia="Times New Roman"/>
          <w:vertAlign w:val="subscript"/>
          <w:sz w:val="24"/>
          <w:szCs w:val="24"/>
        </w:rPr>
        <w:t xml:space="preserve">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supported on the full data. Over the original 19 tests, Holm keeps one studentized slope and Benjamini–Hochberg four, and with percentile p-values, none survives (smallest Benjamini–Hochberg-adjusted p = 0.057). The VN30–VN100 slope is equivalent to zero at M30 and H1 (TOST p = 0.007, 0.012), and the test is inconclusive elsewhere. The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slope is not significant at any frequency.</w:t>
      </w:r>
    </w:p>
    <w:p>
      <w:pPr>
        <w:pStyle w:val="BodyText"/>
        <w:spacing w:before="0" w:after="120" w:line="300" w:lineRule="auto"/>
        <w:jc w:val="both"/>
      </w:pPr>
      <w:r>
        <w:rPr>
          <w:rFonts w:ascii="Times New Roman" w:hAnsi="Times New Roman" w:cs="Times New Roman" w:eastAsia="Times New Roman"/>
          <w:sz w:val="24"/>
          <w:szCs w:val="24"/>
        </w:rPr>
        <w:t xml:space="preserve">Eq. (14) explains the flat nested slope: the damping factor (the sensitivity) is 0.106–0.112, at M30 and H1 the κ channel partly offsets the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channel, and the implied slope differs from the observed one by at most 0.8 × 10⁻⁵ (Table S13). A flat nested coefficient therefore says little about the tiers.</w:t>
      </w:r>
    </w:p>
    <w:p>
      <w:pPr>
        <w:pStyle w:val="BodyText"/>
        <w:spacing w:before="0" w:after="120" w:line="300" w:lineRule="auto"/>
        <w:jc w:val="both"/>
      </w:pPr>
      <w:r>
        <w:rPr>
          <w:rFonts w:ascii="Times New Roman" w:hAnsi="Times New Roman" w:cs="Times New Roman" w:eastAsia="Times New Roman"/>
          <w:sz w:val="24"/>
          <w:szCs w:val="24"/>
        </w:rPr>
        <w:t xml:space="preserve">The auction bars drive intraday results. The opening bar, where intraday volatility peaks (Andersen and Bollerslev, 1997), accounts for 10% of M30 bars but carries 37% of squared VN30 returns. The last bar holds the closing auction (Table S7). Without the opening bar, the H1 broad-market slopes fall to 0.0003 and −0.0005, and at M30 only VN30–VNINDEX stays significant (0.0020, p = 0.031). Without both auction bars, the M30 slopes are −0.00002 and −0.0002. Within the same replicates, the broad-market slopes exceed the VN30–VN100 slope at M30 and H1 (differences 0.0018–0.0024, p ≤ 0.003), but the differences vanish without the auction bars. The three-pair gap does not change (0.107 [0.094, 0.127] at M30 without the opening bar), and the slope intervals are stable across block lengths (Table S15). Horizon dependence is thus a property of the bars containing the overnight return and the call auctions, not of continuous trading.</w:t>
      </w:r>
    </w:p>
    <w:p>
      <w:pPr>
        <w:pStyle w:val="heading20"/>
        <w:numPr>
          <w:ilvl w:val="0"/>
          <w:numId w:val="0"/>
        </w:numPr>
      </w:pPr>
      <w:r>
        <w:rPr>
          <w:rFonts w:ascii="Times New Roman" w:hAnsi="Times New Roman" w:cs="Times New Roman" w:eastAsia="Times New Roman"/>
          <w:b/>
          <w:sz w:val="24"/>
          <w:szCs w:val="24"/>
        </w:rPr>
        <w:t xml:space="preserve">5.5 Crisis dependence (H</w:t>
      </w:r>
      <w:r>
        <w:rPr>
          <w:rFonts w:ascii="Times New Roman" w:hAnsi="Times New Roman" w:cs="Times New Roman" w:eastAsia="Times New Roman"/>
          <w:b/>
          <w:vertAlign w:val="subscript"/>
          <w:sz w:val="24"/>
          <w:szCs w:val="24"/>
        </w:rPr>
        <w:t xml:space="preserve">3</w:t>
      </w:r>
      <w:r>
        <w:rPr>
          <w:rFonts w:ascii="Times New Roman" w:hAnsi="Times New Roman" w:cs="Times New Roman" w:eastAsia="Times New Roman"/>
          <w:b/>
          <w:sz w:val="24"/>
          <w:szCs w:val="24"/>
        </w:rPr>
        <w:t xml:space="preserve">)</w:t>
      </w:r>
    </w:p>
    <w:p>
      <w:pPr>
        <w:pStyle w:val="p1a"/>
        <w:spacing w:before="0" w:after="120" w:line="300" w:lineRule="auto"/>
        <w:jc w:val="both"/>
      </w:pPr>
      <w:r>
        <w:rPr>
          <w:rFonts w:ascii="Times New Roman" w:hAnsi="Times New Roman" w:cs="Times New Roman" w:eastAsia="Times New Roman"/>
          <w:sz w:val="24"/>
          <w:szCs w:val="24"/>
        </w:rPr>
        <w:t xml:space="preserve">Table 7 presents the results of the Forbes–Rigobon and factor-model tests.</w:t>
      </w:r>
    </w:p>
    <w:p>
      <w:pPr>
        <w:pStyle w:val="tablecaption0"/>
      </w:pPr>
      <w:r>
        <w:rPr>
          <w:bCs/>
          <w:b/>
        </w:rPr>
        <w:t xml:space="preserve">Table 7</w:t>
      </w:r>
      <w:r>
        <w:t xml:space="preserve"> </w:t>
      </w:r>
      <w:r>
        <w:t xml:space="preserve">Crisis dependence between P</w:t>
      </w:r>
      <w:r>
        <w:rPr>
          <w:vertAlign w:val="subscript"/>
        </w:rPr>
        <w:t xml:space="preserve">cap</w:t>
      </w:r>
      <w:r>
        <w:t xml:space="preserve"> </w:t>
      </w:r>
      <w:r>
        <w:t xml:space="preserve">and VN30: adjusted correlation and factor-model tests</w:t>
      </w:r>
    </w:p>
    <w:tbl>
      <w:tblPr>
        <w:tblStyle w:val="TableGrid"/>
        <w:tblW w:type="pct" w:w="5000"/>
        <w:tblLook w:firstRow="1" w:lastRow="0" w:firstColumn="0" w:lastColumn="0" w:noHBand="0" w:noVBand="0" w:val="0020"/>
        <w:jc w:val="start"/>
      </w:tblPr>
      <w:tblGrid>
        <w:gridCol w:w="1745"/>
        <w:gridCol w:w="750"/>
        <w:gridCol w:w="750"/>
        <w:gridCol w:w="1225"/>
        <w:gridCol w:w="761"/>
        <w:gridCol w:w="750"/>
        <w:gridCol w:w="854"/>
        <w:gridCol w:w="1203"/>
        <w:gridCol w:w="1322"/>
      </w:tblGrid>
      <w:tr>
        <w:trPr>
          <w:tblHeader w:val="true"/>
        </w:trPr>
        <w:tc>
          <w:tcPr>
            <w:tcW w:w="1745" w:type="dxa"/>
          </w:tcPr>
          <w:p>
            <w:pPr>
              <w:spacing w:before="0" w:after="0" w:line="240" w:lineRule="auto"/>
              <w:jc w:val="left"/>
            </w:pPr>
            <w:r>
              <w:rPr>
                <w:sz w:val="20"/>
                <w:szCs w:val="20"/>
              </w:rPr>
              <w:t xml:space="preserve">Regime definition</w:t>
            </w:r>
          </w:p>
        </w:tc>
        <w:tc>
          <w:tcPr>
            <w:tcW w:w="750" w:type="dxa"/>
          </w:tcPr>
          <w:p>
            <w:pPr>
              <w:spacing w:before="0" w:after="0" w:line="240" w:lineRule="auto"/>
              <w:jc w:val="left"/>
            </w:pPr>
            <w:r>
              <w:rPr>
                <w:sz w:val="20"/>
                <w:szCs w:val="20"/>
              </w:rPr>
              <w:t xml:space="preserve">ρ</w:t>
            </w:r>
            <w:r>
              <w:rPr>
                <w:vertAlign w:val="subscript"/>
                <w:sz w:val="20"/>
                <w:szCs w:val="20"/>
              </w:rPr>
              <w:t xml:space="preserve">low</w:t>
            </w:r>
          </w:p>
        </w:tc>
        <w:tc>
          <w:tcPr>
            <w:tcW w:w="750" w:type="dxa"/>
          </w:tcPr>
          <w:p>
            <w:pPr>
              <w:spacing w:before="0" w:after="0" w:line="240" w:lineRule="auto"/>
              <w:jc w:val="left"/>
            </w:pPr>
            <w:r>
              <w:rPr>
                <w:sz w:val="20"/>
                <w:szCs w:val="20"/>
              </w:rPr>
              <w:t xml:space="preserve">ρ</w:t>
            </w:r>
            <w:r>
              <w:rPr>
                <w:vertAlign w:val="subscript"/>
                <w:sz w:val="20"/>
                <w:szCs w:val="20"/>
              </w:rPr>
              <w:t xml:space="preserve">high</w:t>
            </w:r>
          </w:p>
        </w:tc>
        <w:tc>
          <w:tcPr>
            <w:tcW w:w="1225" w:type="dxa"/>
          </w:tcPr>
          <w:p>
            <w:pPr>
              <w:spacing w:before="0" w:after="0" w:line="240" w:lineRule="auto"/>
              <w:jc w:val="left"/>
            </w:pPr>
            <w:r>
              <w:rPr>
                <w:sz w:val="20"/>
                <w:szCs w:val="20"/>
              </w:rPr>
              <w:t xml:space="preserve">ρ* − ρ</w:t>
            </w:r>
            <w:r>
              <w:rPr>
                <w:vertAlign w:val="subscript"/>
                <w:sz w:val="20"/>
                <w:szCs w:val="20"/>
              </w:rPr>
              <w:t xml:space="preserve">low</w:t>
            </w:r>
            <w:r>
              <w:rPr>
                <w:sz w:val="20"/>
                <w:szCs w:val="20"/>
              </w:rPr>
              <w:t xml:space="preserve"> </w:t>
            </w:r>
            <w:r>
              <w:rPr>
                <w:sz w:val="20"/>
                <w:szCs w:val="20"/>
              </w:rPr>
              <w:t xml:space="preserve">[95% CI]</w:t>
            </w:r>
          </w:p>
        </w:tc>
        <w:tc>
          <w:tcPr>
            <w:tcW w:w="761" w:type="dxa"/>
          </w:tcPr>
          <w:p>
            <w:pPr>
              <w:spacing w:before="0" w:after="0" w:line="240" w:lineRule="auto"/>
              <w:jc w:val="left"/>
            </w:pPr>
            <w:r>
              <w:rPr>
                <w:sz w:val="20"/>
                <w:szCs w:val="20"/>
              </w:rPr>
              <w:t xml:space="preserve">p (FR)</w:t>
            </w:r>
          </w:p>
        </w:tc>
        <w:tc>
          <w:tcPr>
            <w:tcW w:w="750" w:type="dxa"/>
          </w:tcPr>
          <w:p>
            <w:pPr>
              <w:spacing w:before="0" w:after="0" w:line="240" w:lineRule="auto"/>
              <w:jc w:val="left"/>
            </w:pPr>
            <w:r>
              <w:rPr>
                <w:sz w:val="20"/>
                <w:szCs w:val="20"/>
              </w:rPr>
              <w:t xml:space="preserve">β_low</w:t>
            </w:r>
          </w:p>
        </w:tc>
        <w:tc>
          <w:tcPr>
            <w:tcW w:w="854" w:type="dxa"/>
          </w:tcPr>
          <w:p>
            <w:pPr>
              <w:spacing w:before="0" w:after="0" w:line="240" w:lineRule="auto"/>
              <w:jc w:val="left"/>
            </w:pPr>
            <w:r>
              <w:rPr>
                <w:sz w:val="20"/>
                <w:szCs w:val="20"/>
              </w:rPr>
              <w:t xml:space="preserve">β_high</w:t>
            </w:r>
          </w:p>
        </w:tc>
        <w:tc>
          <w:tcPr>
            <w:tcW w:w="1203" w:type="dxa"/>
          </w:tcPr>
          <w:p>
            <w:pPr>
              <w:spacing w:before="0" w:after="0" w:line="240" w:lineRule="auto"/>
              <w:jc w:val="left"/>
            </w:pPr>
            <w:r>
              <w:rPr>
                <w:sz w:val="20"/>
                <w:szCs w:val="20"/>
              </w:rPr>
              <w:t xml:space="preserve">Δβ [95% CI]</w:t>
            </w:r>
          </w:p>
        </w:tc>
        <w:tc>
          <w:tcPr>
            <w:tcW w:w="1322" w:type="dxa"/>
          </w:tcPr>
          <w:p>
            <w:pPr>
              <w:spacing w:before="0" w:after="0" w:line="240" w:lineRule="auto"/>
              <w:jc w:val="left"/>
            </w:pPr>
            <w:r>
              <w:rPr>
                <w:sz w:val="20"/>
                <w:szCs w:val="20"/>
              </w:rPr>
              <w:t xml:space="preserve">Residual variance ratio [95% CI]</w:t>
            </w:r>
          </w:p>
        </w:tc>
      </w:tr>
      <w:tr>
        <w:tc>
          <w:tcPr>
            <w:tcW w:w="1745" w:type="dxa"/>
          </w:tcPr>
          <w:p>
            <w:pPr>
              <w:spacing w:before="0" w:after="0" w:line="240" w:lineRule="auto"/>
              <w:jc w:val="left"/>
            </w:pPr>
            <w:r>
              <w:rPr>
                <w:sz w:val="20"/>
                <w:szCs w:val="20"/>
              </w:rPr>
              <w:t xml:space="preserve">Chronological episodes</w:t>
            </w:r>
          </w:p>
        </w:tc>
        <w:tc>
          <w:tcPr>
            <w:tcW w:w="750" w:type="dxa"/>
          </w:tcPr>
          <w:p>
            <w:pPr>
              <w:spacing w:before="0" w:after="0" w:line="240" w:lineRule="auto"/>
              <w:jc w:val="left"/>
            </w:pPr>
            <w:r>
              <w:rPr>
                <w:sz w:val="20"/>
                <w:szCs w:val="20"/>
              </w:rPr>
              <w:t xml:space="preserve">0.847</w:t>
            </w:r>
          </w:p>
        </w:tc>
        <w:tc>
          <w:tcPr>
            <w:tcW w:w="750" w:type="dxa"/>
          </w:tcPr>
          <w:p>
            <w:pPr>
              <w:spacing w:before="0" w:after="0" w:line="240" w:lineRule="auto"/>
              <w:jc w:val="left"/>
            </w:pPr>
            <w:r>
              <w:rPr>
                <w:sz w:val="20"/>
                <w:szCs w:val="20"/>
              </w:rPr>
              <w:t xml:space="preserve">0.924</w:t>
            </w:r>
          </w:p>
        </w:tc>
        <w:tc>
          <w:tcPr>
            <w:tcW w:w="1225" w:type="dxa"/>
          </w:tcPr>
          <w:p>
            <w:pPr>
              <w:spacing w:before="0" w:after="0" w:line="240" w:lineRule="auto"/>
              <w:jc w:val="left"/>
            </w:pPr>
            <w:r>
              <w:rPr>
                <w:sz w:val="20"/>
                <w:szCs w:val="20"/>
              </w:rPr>
              <w:t xml:space="preserve">−0.044 [−0.082, 0.001]</w:t>
            </w:r>
          </w:p>
        </w:tc>
        <w:tc>
          <w:tcPr>
            <w:tcW w:w="761" w:type="dxa"/>
          </w:tcPr>
          <w:p>
            <w:pPr>
              <w:spacing w:before="0" w:after="0" w:line="240" w:lineRule="auto"/>
              <w:jc w:val="left"/>
            </w:pPr>
            <w:r>
              <w:rPr>
                <w:sz w:val="20"/>
                <w:szCs w:val="20"/>
              </w:rPr>
              <w:t xml:space="preserve">0.985</w:t>
            </w:r>
          </w:p>
        </w:tc>
        <w:tc>
          <w:tcPr>
            <w:tcW w:w="750" w:type="dxa"/>
          </w:tcPr>
          <w:p>
            <w:pPr>
              <w:spacing w:before="0" w:after="0" w:line="240" w:lineRule="auto"/>
              <w:jc w:val="left"/>
            </w:pPr>
            <w:r>
              <w:rPr>
                <w:sz w:val="20"/>
                <w:szCs w:val="20"/>
              </w:rPr>
              <w:t xml:space="preserve">0.919</w:t>
            </w:r>
          </w:p>
        </w:tc>
        <w:tc>
          <w:tcPr>
            <w:tcW w:w="854" w:type="dxa"/>
          </w:tcPr>
          <w:p>
            <w:pPr>
              <w:spacing w:before="0" w:after="0" w:line="240" w:lineRule="auto"/>
              <w:jc w:val="left"/>
            </w:pPr>
            <w:r>
              <w:rPr>
                <w:sz w:val="20"/>
                <w:szCs w:val="20"/>
              </w:rPr>
              <w:t xml:space="preserve">0.927</w:t>
            </w:r>
          </w:p>
        </w:tc>
        <w:tc>
          <w:tcPr>
            <w:tcW w:w="1203" w:type="dxa"/>
          </w:tcPr>
          <w:p>
            <w:pPr>
              <w:spacing w:before="0" w:after="0" w:line="240" w:lineRule="auto"/>
              <w:jc w:val="left"/>
            </w:pPr>
            <w:r>
              <w:rPr>
                <w:sz w:val="20"/>
                <w:szCs w:val="20"/>
              </w:rPr>
              <w:t xml:space="preserve">0.008 [−0.128, 0.140]</w:t>
            </w:r>
          </w:p>
        </w:tc>
        <w:tc>
          <w:tcPr>
            <w:tcW w:w="1322" w:type="dxa"/>
          </w:tcPr>
          <w:p>
            <w:pPr>
              <w:spacing w:before="0" w:after="0" w:line="240" w:lineRule="auto"/>
              <w:jc w:val="left"/>
            </w:pPr>
            <w:r>
              <w:rPr>
                <w:sz w:val="20"/>
                <w:szCs w:val="20"/>
              </w:rPr>
              <w:t xml:space="preserve">1.42 [0.91, 2.15]</w:t>
            </w:r>
          </w:p>
        </w:tc>
      </w:tr>
      <w:tr>
        <w:tc>
          <w:tcPr>
            <w:tcW w:w="1745" w:type="dxa"/>
          </w:tcPr>
          <w:p>
            <w:pPr>
              <w:spacing w:before="0" w:after="0" w:line="240" w:lineRule="auto"/>
              <w:jc w:val="left"/>
            </w:pPr>
            <w:r>
              <w:rPr>
                <w:sz w:val="20"/>
                <w:szCs w:val="20"/>
              </w:rPr>
              <w:t xml:space="preserve">VNINDEX volatility quartiles</w:t>
            </w:r>
          </w:p>
        </w:tc>
        <w:tc>
          <w:tcPr>
            <w:tcW w:w="750" w:type="dxa"/>
          </w:tcPr>
          <w:p>
            <w:pPr>
              <w:spacing w:before="0" w:after="0" w:line="240" w:lineRule="auto"/>
              <w:jc w:val="left"/>
            </w:pPr>
            <w:r>
              <w:rPr>
                <w:sz w:val="20"/>
                <w:szCs w:val="20"/>
              </w:rPr>
              <w:t xml:space="preserve">0.727</w:t>
            </w:r>
          </w:p>
        </w:tc>
        <w:tc>
          <w:tcPr>
            <w:tcW w:w="750" w:type="dxa"/>
          </w:tcPr>
          <w:p>
            <w:pPr>
              <w:spacing w:before="0" w:after="0" w:line="240" w:lineRule="auto"/>
              <w:jc w:val="left"/>
            </w:pPr>
            <w:r>
              <w:rPr>
                <w:sz w:val="20"/>
                <w:szCs w:val="20"/>
              </w:rPr>
              <w:t xml:space="preserve">0.928</w:t>
            </w:r>
          </w:p>
        </w:tc>
        <w:tc>
          <w:tcPr>
            <w:tcW w:w="1225" w:type="dxa"/>
          </w:tcPr>
          <w:p>
            <w:pPr>
              <w:spacing w:before="0" w:after="0" w:line="240" w:lineRule="auto"/>
              <w:jc w:val="left"/>
            </w:pPr>
            <w:r>
              <w:rPr>
                <w:sz w:val="20"/>
                <w:szCs w:val="20"/>
              </w:rPr>
              <w:t xml:space="preserve">−0.066 [−0.132, 0.008]</w:t>
            </w:r>
          </w:p>
        </w:tc>
        <w:tc>
          <w:tcPr>
            <w:tcW w:w="761" w:type="dxa"/>
          </w:tcPr>
          <w:p>
            <w:pPr>
              <w:spacing w:before="0" w:after="0" w:line="240" w:lineRule="auto"/>
              <w:jc w:val="left"/>
            </w:pPr>
            <w:r>
              <w:rPr>
                <w:sz w:val="20"/>
                <w:szCs w:val="20"/>
              </w:rPr>
              <w:t xml:space="preserve">0.974</w:t>
            </w:r>
          </w:p>
        </w:tc>
        <w:tc>
          <w:tcPr>
            <w:tcW w:w="750" w:type="dxa"/>
          </w:tcPr>
          <w:p>
            <w:pPr>
              <w:spacing w:before="0" w:after="0" w:line="240" w:lineRule="auto"/>
              <w:jc w:val="left"/>
            </w:pPr>
            <w:r>
              <w:rPr>
                <w:sz w:val="20"/>
                <w:szCs w:val="20"/>
              </w:rPr>
              <w:t xml:space="preserve">0.716</w:t>
            </w:r>
          </w:p>
        </w:tc>
        <w:tc>
          <w:tcPr>
            <w:tcW w:w="854" w:type="dxa"/>
          </w:tcPr>
          <w:p>
            <w:pPr>
              <w:spacing w:before="0" w:after="0" w:line="240" w:lineRule="auto"/>
              <w:jc w:val="left"/>
            </w:pPr>
            <w:r>
              <w:rPr>
                <w:sz w:val="20"/>
                <w:szCs w:val="20"/>
              </w:rPr>
              <w:t xml:space="preserve">0.956</w:t>
            </w:r>
          </w:p>
        </w:tc>
        <w:tc>
          <w:tcPr>
            <w:tcW w:w="1203" w:type="dxa"/>
          </w:tcPr>
          <w:p>
            <w:pPr>
              <w:spacing w:before="0" w:after="0" w:line="240" w:lineRule="auto"/>
              <w:jc w:val="left"/>
            </w:pPr>
            <w:r>
              <w:rPr>
                <w:sz w:val="20"/>
                <w:szCs w:val="20"/>
              </w:rPr>
              <w:t xml:space="preserve">0.240 [0.143, 0.332]</w:t>
            </w:r>
          </w:p>
        </w:tc>
        <w:tc>
          <w:tcPr>
            <w:tcW w:w="1322" w:type="dxa"/>
          </w:tcPr>
          <w:p>
            <w:pPr>
              <w:spacing w:before="0" w:after="0" w:line="240" w:lineRule="auto"/>
              <w:jc w:val="left"/>
            </w:pPr>
            <w:r>
              <w:rPr>
                <w:sz w:val="20"/>
                <w:szCs w:val="20"/>
              </w:rPr>
              <w:t xml:space="preserve">2.57 [1.75, 3.66]</w:t>
            </w:r>
          </w:p>
        </w:tc>
      </w:tr>
      <w:tr>
        <w:tc>
          <w:tcPr>
            <w:tcW w:w="1745" w:type="dxa"/>
          </w:tcPr>
          <w:p>
            <w:pPr>
              <w:spacing w:before="0" w:after="0" w:line="240" w:lineRule="auto"/>
              <w:jc w:val="left"/>
            </w:pPr>
            <w:r>
              <w:rPr>
                <w:sz w:val="20"/>
                <w:szCs w:val="20"/>
              </w:rPr>
              <w:t xml:space="preserve">VN30 volatility quartiles</w:t>
            </w:r>
          </w:p>
        </w:tc>
        <w:tc>
          <w:tcPr>
            <w:tcW w:w="750" w:type="dxa"/>
          </w:tcPr>
          <w:p>
            <w:pPr>
              <w:spacing w:before="0" w:after="0" w:line="240" w:lineRule="auto"/>
              <w:jc w:val="left"/>
            </w:pPr>
            <w:r>
              <w:rPr>
                <w:sz w:val="20"/>
                <w:szCs w:val="20"/>
              </w:rPr>
              <w:t xml:space="preserve">0.744</w:t>
            </w:r>
          </w:p>
        </w:tc>
        <w:tc>
          <w:tcPr>
            <w:tcW w:w="750" w:type="dxa"/>
          </w:tcPr>
          <w:p>
            <w:pPr>
              <w:spacing w:before="0" w:after="0" w:line="240" w:lineRule="auto"/>
              <w:jc w:val="left"/>
            </w:pPr>
            <w:r>
              <w:rPr>
                <w:sz w:val="20"/>
                <w:szCs w:val="20"/>
              </w:rPr>
              <w:t xml:space="preserve">0.932</w:t>
            </w:r>
          </w:p>
        </w:tc>
        <w:tc>
          <w:tcPr>
            <w:tcW w:w="1225" w:type="dxa"/>
          </w:tcPr>
          <w:p>
            <w:pPr>
              <w:spacing w:before="0" w:after="0" w:line="240" w:lineRule="auto"/>
              <w:jc w:val="left"/>
            </w:pPr>
            <w:r>
              <w:rPr>
                <w:sz w:val="20"/>
                <w:szCs w:val="20"/>
              </w:rPr>
              <w:t xml:space="preserve">−0.087 [−0.144, −0.018]</w:t>
            </w:r>
          </w:p>
        </w:tc>
        <w:tc>
          <w:tcPr>
            <w:tcW w:w="761" w:type="dxa"/>
          </w:tcPr>
          <w:p>
            <w:pPr>
              <w:spacing w:before="0" w:after="0" w:line="240" w:lineRule="auto"/>
              <w:jc w:val="left"/>
            </w:pPr>
            <w:r>
              <w:rPr>
                <w:sz w:val="20"/>
                <w:szCs w:val="20"/>
              </w:rPr>
              <w:t xml:space="preserve">0.998</w:t>
            </w:r>
          </w:p>
        </w:tc>
        <w:tc>
          <w:tcPr>
            <w:tcW w:w="750" w:type="dxa"/>
          </w:tcPr>
          <w:p>
            <w:pPr>
              <w:spacing w:before="0" w:after="0" w:line="240" w:lineRule="auto"/>
              <w:jc w:val="left"/>
            </w:pPr>
            <w:r>
              <w:rPr>
                <w:sz w:val="20"/>
                <w:szCs w:val="20"/>
              </w:rPr>
              <w:t xml:space="preserve">0.737</w:t>
            </w:r>
          </w:p>
        </w:tc>
        <w:tc>
          <w:tcPr>
            <w:tcW w:w="854" w:type="dxa"/>
          </w:tcPr>
          <w:p>
            <w:pPr>
              <w:spacing w:before="0" w:after="0" w:line="240" w:lineRule="auto"/>
              <w:jc w:val="left"/>
            </w:pPr>
            <w:r>
              <w:rPr>
                <w:sz w:val="20"/>
                <w:szCs w:val="20"/>
              </w:rPr>
              <w:t xml:space="preserve">0.948</w:t>
            </w:r>
          </w:p>
        </w:tc>
        <w:tc>
          <w:tcPr>
            <w:tcW w:w="1203" w:type="dxa"/>
          </w:tcPr>
          <w:p>
            <w:pPr>
              <w:spacing w:before="0" w:after="0" w:line="240" w:lineRule="auto"/>
              <w:jc w:val="left"/>
            </w:pPr>
            <w:r>
              <w:rPr>
                <w:sz w:val="20"/>
                <w:szCs w:val="20"/>
              </w:rPr>
              <w:t xml:space="preserve">0.210 [0.119, 0.306]</w:t>
            </w:r>
          </w:p>
        </w:tc>
        <w:tc>
          <w:tcPr>
            <w:tcW w:w="1322" w:type="dxa"/>
          </w:tcPr>
          <w:p>
            <w:pPr>
              <w:spacing w:before="0" w:after="0" w:line="240" w:lineRule="auto"/>
              <w:jc w:val="left"/>
            </w:pPr>
            <w:r>
              <w:rPr>
                <w:sz w:val="20"/>
                <w:szCs w:val="20"/>
              </w:rPr>
              <w:t xml:space="preserve">2.70 [1.92, 3.68]</w:t>
            </w:r>
          </w:p>
        </w:tc>
      </w:tr>
    </w:tbl>
    <w:p>
      <w:pPr>
        <w:pStyle w:val="Compact"/>
      </w:pPr>
      <w:r>
        <w:rPr>
          <w:sz w:val="20"/>
          <w:szCs w:val="20"/>
        </w:rPr>
        <w:t xml:space="preserve">Notes: Daily returns; ρ* from Eq. (15); p (FR): one-sided Forbes–Rigobon bootstrap p-value for H0: ρ* ≤ ρ</w:t>
      </w:r>
      <w:r>
        <w:rPr>
          <w:vertAlign w:val="subscript"/>
          <w:sz w:val="20"/>
          <w:szCs w:val="20"/>
        </w:rPr>
        <w:t xml:space="preserve">low</w:t>
      </w:r>
      <w:r>
        <w:rPr>
          <w:sz w:val="20"/>
          <w:szCs w:val="20"/>
        </w:rPr>
        <w:t xml:space="preserve">; β: ordinary least squares slope of P</w:t>
      </w:r>
      <w:r>
        <w:rPr>
          <w:vertAlign w:val="subscript"/>
          <w:sz w:val="20"/>
          <w:szCs w:val="20"/>
        </w:rPr>
        <w:t xml:space="preserve">cap</w:t>
      </w:r>
      <w:r>
        <w:rPr>
          <w:sz w:val="20"/>
          <w:szCs w:val="20"/>
        </w:rPr>
        <w:t xml:space="preserve"> </w:t>
      </w:r>
      <w:r>
        <w:rPr>
          <w:sz w:val="20"/>
          <w:szCs w:val="20"/>
        </w:rPr>
        <w:t xml:space="preserve">(overlap-purged mid-cap series) on VN30; residual variance ratio: crisis over calm. Chronological: 1,000 calm and 539 crisis days; quartiles: 739 days per regime.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raw correlation increases under every regime definition, from 0.847 to 0.924 chronologically and from 0.744 to 0.932 under VN30 quartiles. The adjusted crisis correlation never exceeds its calm level (one-sided p = 0.974–0.998, and above 0.93 across weights; Table S10), and under VN30 quartiles it is significantly lower (−0.087, [−0.144, −0.018]).</w:t>
      </w:r>
    </w:p>
    <w:p>
      <w:pPr>
        <w:pStyle w:val="BodyText"/>
        <w:spacing w:before="0" w:after="120" w:line="300" w:lineRule="auto"/>
        <w:jc w:val="both"/>
      </w:pPr>
      <w:r>
        <w:rPr>
          <w:rFonts w:ascii="Times New Roman" w:hAnsi="Times New Roman" w:cs="Times New Roman" w:eastAsia="Times New Roman"/>
          <w:sz w:val="24"/>
          <w:szCs w:val="24"/>
        </w:rPr>
        <w:t xml:space="preserve">The factor model explains this. The residual variance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rises by a factor of 2.70 [1.92, 3.68] under VN30 quartiles (2.57 under VNINDEX quartiles), which violates the assumption behind Eq. (15) and pushes ρ* down (Corsetti et al., 2005). The loading rises from 0.737 to 0.948 under VN30 quartiles (Δβ = 0.210, [0.119, 0.306], p &lt; 0.001) but not between chronological episodes (Δβ = 0.008, [−0.128, 0.140]). Neither result changes when 2021 is added as a crisis (789 days; Forbes–Rigobon p = 0.987; Δβ = −0.005, [−0.122, 0.124]). Under its decision rule, H</w:t>
      </w:r>
      <w:r>
        <w:rPr>
          <w:rFonts w:ascii="Times New Roman" w:hAnsi="Times New Roman" w:cs="Times New Roman" w:eastAsia="Times New Roman"/>
          <w:vertAlign w:val="subscript"/>
          <w:sz w:val="24"/>
          <w:szCs w:val="24"/>
        </w:rPr>
        <w:t xml:space="preserve">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not supported: on high-VN30-volatility days, mid caps respond more strongly to large caps and also carry more mid-cap-specific risk. Because the lower-tail dependence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(0.75 at the 5% quantile) exceeds its Gaussian-copula value (0.62; Table S5), we cannot distinguish a structural shift from a stable nonlinear relation.</w:t>
      </w:r>
    </w:p>
    <w:p>
      <w:pPr>
        <w:pStyle w:val="heading20"/>
        <w:numPr>
          <w:ilvl w:val="0"/>
          <w:numId w:val="0"/>
        </w:numPr>
      </w:pPr>
      <w:r>
        <w:rPr>
          <w:rFonts w:ascii="Times New Roman" w:hAnsi="Times New Roman" w:cs="Times New Roman" w:eastAsia="Times New Roman"/>
          <w:b/>
          <w:sz w:val="24"/>
          <w:szCs w:val="24"/>
        </w:rPr>
        <w:t xml:space="preserve">5.6 Portfolio variance (E3, H</w:t>
      </w:r>
      <w:r>
        <w:rPr>
          <w:rFonts w:ascii="Times New Roman" w:hAnsi="Times New Roman" w:cs="Times New Roman" w:eastAsia="Times New Roman"/>
          <w:b/>
          <w:vertAlign w:val="subscript"/>
          <w:sz w:val="24"/>
          <w:szCs w:val="24"/>
        </w:rPr>
        <w:t xml:space="preserve">4</w:t>
      </w:r>
      <w:r>
        <w:rPr>
          <w:rFonts w:ascii="Times New Roman" w:hAnsi="Times New Roman" w:cs="Times New Roman" w:eastAsia="Times New Roman"/>
          <w:b/>
          <w:sz w:val="24"/>
          <w:szCs w:val="24"/>
        </w:rPr>
        <w:t xml:space="preserve">)</w:t>
      </w:r>
    </w:p>
    <w:p>
      <w:pPr>
        <w:pStyle w:val="p1a"/>
        <w:spacing w:before="0" w:after="120" w:line="300" w:lineRule="auto"/>
        <w:jc w:val="both"/>
      </w:pPr>
      <w:r>
        <w:rPr>
          <w:rFonts w:ascii="Times New Roman" w:hAnsi="Times New Roman" w:cs="Times New Roman" w:eastAsia="Times New Roman"/>
          <w:sz w:val="24"/>
          <w:szCs w:val="24"/>
        </w:rPr>
        <w:t xml:space="preserve">Table 8 presents the in-sample misstatement and out-of-sample forecast comparison.</w:t>
      </w:r>
    </w:p>
    <w:p>
      <w:pPr>
        <w:pStyle w:val="tablecaption0"/>
      </w:pPr>
      <w:r>
        <w:rPr>
          <w:bCs/>
          <w:b/>
        </w:rPr>
        <w:t xml:space="preserve">Table 8</w:t>
      </w:r>
      <w:r>
        <w:t xml:space="preserve"> </w:t>
      </w:r>
      <w:r>
        <w:t xml:space="preserve">Portfolio variance: in-sample misstatement and out-of-sample forecast comparison</w:t>
      </w:r>
    </w:p>
    <w:tbl>
      <w:tblPr>
        <w:tblStyle w:val="TableGrid"/>
        <w:tblW w:type="pct" w:w="5000"/>
        <w:tblLook w:firstRow="1" w:lastRow="0" w:firstColumn="0" w:lastColumn="0" w:noHBand="0" w:noVBand="0" w:val="0020"/>
        <w:jc w:val="start"/>
      </w:tblPr>
      <w:tblGrid>
        <w:gridCol w:w="1992"/>
        <w:gridCol w:w="1319"/>
        <w:gridCol w:w="1542"/>
        <w:gridCol w:w="1674"/>
        <w:gridCol w:w="1514"/>
        <w:gridCol w:w="1319"/>
      </w:tblGrid>
      <w:tr>
        <w:trPr>
          <w:tblHeader w:val="true"/>
        </w:trPr>
        <w:tc>
          <w:tcPr>
            <w:tcW w:w="1992" w:type="dxa"/>
          </w:tcPr>
          <w:p>
            <w:pPr>
              <w:spacing w:before="0" w:after="0" w:line="240" w:lineRule="auto"/>
              <w:jc w:val="left"/>
            </w:pPr>
            <w:r>
              <w:rPr>
                <w:sz w:val="20"/>
                <w:szCs w:val="20"/>
              </w:rPr>
              <w:t xml:space="preserve">Regime or pair</w:t>
            </w:r>
          </w:p>
        </w:tc>
        <w:tc>
          <w:tcPr>
            <w:tcW w:w="1319" w:type="dxa"/>
          </w:tcPr>
          <w:p>
            <w:pPr>
              <w:spacing w:before="0" w:after="0" w:line="240" w:lineRule="auto"/>
              <w:jc w:val="left"/>
            </w:pPr>
            <w:r>
              <w:rPr>
                <w:sz w:val="20"/>
                <w:szCs w:val="20"/>
              </w:rPr>
              <w:t xml:space="preserve">Pair or static QLIKE</w:t>
            </w:r>
          </w:p>
        </w:tc>
        <w:tc>
          <w:tcPr>
            <w:tcW w:w="1542" w:type="dxa"/>
          </w:tcPr>
          <w:p>
            <w:pPr>
              <w:spacing w:before="0" w:after="0" w:line="240" w:lineRule="auto"/>
              <w:jc w:val="left"/>
            </w:pPr>
            <w:r>
              <w:rPr>
                <w:sz w:val="20"/>
                <w:szCs w:val="20"/>
              </w:rPr>
              <w:t xml:space="preserve">RE, % [95% CI] or EWMA QLIKE</w:t>
            </w:r>
          </w:p>
        </w:tc>
        <w:tc>
          <w:tcPr>
            <w:tcW w:w="1674" w:type="dxa"/>
          </w:tcPr>
          <w:p>
            <w:pPr>
              <w:spacing w:before="0" w:after="0" w:line="240" w:lineRule="auto"/>
              <w:jc w:val="left"/>
            </w:pPr>
            <w:r>
              <w:rPr>
                <w:sz w:val="20"/>
                <w:szCs w:val="20"/>
              </w:rPr>
              <w:t xml:space="preserve">Relative SE, % or regime QLIKE</w:t>
            </w:r>
          </w:p>
        </w:tc>
        <w:tc>
          <w:tcPr>
            <w:tcW w:w="1514" w:type="dxa"/>
          </w:tcPr>
          <w:p>
            <w:pPr>
              <w:spacing w:before="0" w:after="0" w:line="240" w:lineRule="auto"/>
              <w:jc w:val="left"/>
            </w:pPr>
            <w:r>
              <w:rPr>
                <w:sz w:val="20"/>
                <w:szCs w:val="20"/>
              </w:rPr>
              <w:t xml:space="preserve">RE/SE or DM, static vs EWMA</w:t>
            </w:r>
          </w:p>
        </w:tc>
        <w:tc>
          <w:tcPr>
            <w:tcW w:w="1319" w:type="dxa"/>
          </w:tcPr>
          <w:p>
            <w:pPr>
              <w:spacing w:before="0" w:after="0" w:line="240" w:lineRule="auto"/>
              <w:jc w:val="left"/>
            </w:pPr>
            <w:r>
              <w:rPr>
                <w:sz w:val="20"/>
                <w:szCs w:val="20"/>
              </w:rPr>
              <w:t xml:space="preserve">DM, static vs regime</w:t>
            </w:r>
          </w:p>
        </w:tc>
      </w:tr>
      <w:tr>
        <w:tc>
          <w:tcPr>
            <w:tcW w:w="9360" w:type="dxa"/>
            <w:gridSpan w:val="6"/>
          </w:tcPr>
          <w:p>
            <w:pPr>
              <w:spacing w:before="0" w:after="0" w:line="240" w:lineRule="auto"/>
              <w:jc w:val="left"/>
            </w:pPr>
            <w:r>
              <w:rPr>
                <w:iCs/>
                <w:i/>
                <w:sz w:val="20"/>
                <w:szCs w:val="20"/>
              </w:rPr>
              <w:t xml:space="preserve">Panel A: in-sample misstatement (E3)</w:t>
            </w:r>
          </w:p>
        </w:tc>
      </w:tr>
      <w:tr>
        <w:tc>
          <w:tcPr>
            <w:tcW w:w="1992" w:type="dxa"/>
          </w:tcPr>
          <w:p>
            <w:pPr>
              <w:spacing w:before="0" w:after="0" w:line="240" w:lineRule="auto"/>
              <w:jc w:val="left"/>
            </w:pPr>
            <w:r>
              <w:rPr>
                <w:sz w:val="20"/>
                <w:szCs w:val="20"/>
              </w:rPr>
              <w:t xml:space="preserve">Chronological, calm</w:t>
            </w:r>
          </w:p>
        </w:tc>
        <w:tc>
          <w:tcPr>
            <w:tcW w:w="1319"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542" w:type="dxa"/>
          </w:tcPr>
          <w:p>
            <w:pPr>
              <w:spacing w:before="0" w:after="0" w:line="240" w:lineRule="auto"/>
              <w:jc w:val="left"/>
            </w:pPr>
            <w:r>
              <w:rPr>
                <w:sz w:val="20"/>
                <w:szCs w:val="20"/>
              </w:rPr>
              <w:t xml:space="preserve">2.23 [0.71, 3.98]</w:t>
            </w:r>
          </w:p>
        </w:tc>
        <w:tc>
          <w:tcPr>
            <w:tcW w:w="1674" w:type="dxa"/>
          </w:tcPr>
          <w:p>
            <w:pPr>
              <w:spacing w:before="0" w:after="0" w:line="240" w:lineRule="auto"/>
              <w:jc w:val="left"/>
            </w:pPr>
            <w:r>
              <w:rPr>
                <w:sz w:val="20"/>
                <w:szCs w:val="20"/>
              </w:rPr>
              <w:t xml:space="preserve">15.6</w:t>
            </w:r>
          </w:p>
        </w:tc>
        <w:tc>
          <w:tcPr>
            <w:tcW w:w="1514" w:type="dxa"/>
          </w:tcPr>
          <w:p>
            <w:pPr>
              <w:spacing w:before="0" w:after="0" w:line="240" w:lineRule="auto"/>
              <w:jc w:val="left"/>
            </w:pPr>
            <w:r>
              <w:rPr>
                <w:sz w:val="20"/>
                <w:szCs w:val="20"/>
              </w:rPr>
              <w:t xml:space="preserve">0.14</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Chronological, calm</w:t>
            </w:r>
          </w:p>
        </w:tc>
        <w:tc>
          <w:tcPr>
            <w:tcW w:w="1319" w:type="dxa"/>
          </w:tcPr>
          <w:p>
            <w:pPr>
              <w:spacing w:before="0" w:after="0" w:line="240" w:lineRule="auto"/>
              <w:jc w:val="left"/>
            </w:pPr>
            <w:r>
              <w:rPr>
                <w:sz w:val="20"/>
                <w:szCs w:val="20"/>
              </w:rPr>
              <w:t xml:space="preserve">VN30–VN100</w:t>
            </w:r>
          </w:p>
        </w:tc>
        <w:tc>
          <w:tcPr>
            <w:tcW w:w="1542" w:type="dxa"/>
          </w:tcPr>
          <w:p>
            <w:pPr>
              <w:spacing w:before="0" w:after="0" w:line="240" w:lineRule="auto"/>
              <w:jc w:val="left"/>
            </w:pPr>
            <w:r>
              <w:rPr>
                <w:sz w:val="20"/>
                <w:szCs w:val="20"/>
              </w:rPr>
              <w:t xml:space="preserve">0.28 [0.11, 0.45]</w:t>
            </w:r>
          </w:p>
        </w:tc>
        <w:tc>
          <w:tcPr>
            <w:tcW w:w="1674" w:type="dxa"/>
          </w:tcPr>
          <w:p>
            <w:pPr>
              <w:spacing w:before="0" w:after="0" w:line="240" w:lineRule="auto"/>
              <w:jc w:val="left"/>
            </w:pPr>
            <w:r>
              <w:rPr>
                <w:sz w:val="20"/>
                <w:szCs w:val="20"/>
              </w:rPr>
              <w:t xml:space="preserve">13.3</w:t>
            </w:r>
          </w:p>
        </w:tc>
        <w:tc>
          <w:tcPr>
            <w:tcW w:w="1514" w:type="dxa"/>
          </w:tcPr>
          <w:p>
            <w:pPr>
              <w:spacing w:before="0" w:after="0" w:line="240" w:lineRule="auto"/>
              <w:jc w:val="left"/>
            </w:pPr>
            <w:r>
              <w:rPr>
                <w:sz w:val="20"/>
                <w:szCs w:val="20"/>
              </w:rPr>
              <w:t xml:space="preserve">0.02</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Chronological, crisis</w:t>
            </w:r>
          </w:p>
        </w:tc>
        <w:tc>
          <w:tcPr>
            <w:tcW w:w="1319"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542" w:type="dxa"/>
          </w:tcPr>
          <w:p>
            <w:pPr>
              <w:spacing w:before="0" w:after="0" w:line="240" w:lineRule="auto"/>
              <w:jc w:val="left"/>
            </w:pPr>
            <w:r>
              <w:rPr>
                <w:sz w:val="20"/>
                <w:szCs w:val="20"/>
              </w:rPr>
              <w:t xml:space="preserve">−1.84 [−3.01, −0.82]</w:t>
            </w:r>
          </w:p>
        </w:tc>
        <w:tc>
          <w:tcPr>
            <w:tcW w:w="1674" w:type="dxa"/>
          </w:tcPr>
          <w:p>
            <w:pPr>
              <w:spacing w:before="0" w:after="0" w:line="240" w:lineRule="auto"/>
              <w:jc w:val="left"/>
            </w:pPr>
            <w:r>
              <w:rPr>
                <w:sz w:val="20"/>
                <w:szCs w:val="20"/>
              </w:rPr>
              <w:t xml:space="preserve">14.3</w:t>
            </w:r>
          </w:p>
        </w:tc>
        <w:tc>
          <w:tcPr>
            <w:tcW w:w="1514" w:type="dxa"/>
          </w:tcPr>
          <w:p>
            <w:pPr>
              <w:spacing w:before="0" w:after="0" w:line="240" w:lineRule="auto"/>
              <w:jc w:val="left"/>
            </w:pPr>
            <w:r>
              <w:rPr>
                <w:sz w:val="20"/>
                <w:szCs w:val="20"/>
              </w:rPr>
              <w:t xml:space="preserve">0.13</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Chronological, crisis</w:t>
            </w:r>
          </w:p>
        </w:tc>
        <w:tc>
          <w:tcPr>
            <w:tcW w:w="1319" w:type="dxa"/>
          </w:tcPr>
          <w:p>
            <w:pPr>
              <w:spacing w:before="0" w:after="0" w:line="240" w:lineRule="auto"/>
              <w:jc w:val="left"/>
            </w:pPr>
            <w:r>
              <w:rPr>
                <w:sz w:val="20"/>
                <w:szCs w:val="20"/>
              </w:rPr>
              <w:t xml:space="preserve">VN30–VN100</w:t>
            </w:r>
          </w:p>
        </w:tc>
        <w:tc>
          <w:tcPr>
            <w:tcW w:w="1542" w:type="dxa"/>
          </w:tcPr>
          <w:p>
            <w:pPr>
              <w:spacing w:before="0" w:after="0" w:line="240" w:lineRule="auto"/>
              <w:jc w:val="left"/>
            </w:pPr>
            <w:r>
              <w:rPr>
                <w:sz w:val="20"/>
                <w:szCs w:val="20"/>
              </w:rPr>
              <w:t xml:space="preserve">−0.19 [−0.33, −0.08]</w:t>
            </w:r>
          </w:p>
        </w:tc>
        <w:tc>
          <w:tcPr>
            <w:tcW w:w="1674" w:type="dxa"/>
          </w:tcPr>
          <w:p>
            <w:pPr>
              <w:spacing w:before="0" w:after="0" w:line="240" w:lineRule="auto"/>
              <w:jc w:val="left"/>
            </w:pPr>
            <w:r>
              <w:rPr>
                <w:sz w:val="20"/>
                <w:szCs w:val="20"/>
              </w:rPr>
              <w:t xml:space="preserve">14.8</w:t>
            </w:r>
          </w:p>
        </w:tc>
        <w:tc>
          <w:tcPr>
            <w:tcW w:w="1514" w:type="dxa"/>
          </w:tcPr>
          <w:p>
            <w:pPr>
              <w:spacing w:before="0" w:after="0" w:line="240" w:lineRule="auto"/>
              <w:jc w:val="left"/>
            </w:pPr>
            <w:r>
              <w:rPr>
                <w:sz w:val="20"/>
                <w:szCs w:val="20"/>
              </w:rPr>
              <w:t xml:space="preserve">0.01</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VNINDEX quartiles, calm</w:t>
            </w:r>
          </w:p>
        </w:tc>
        <w:tc>
          <w:tcPr>
            <w:tcW w:w="1319"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542" w:type="dxa"/>
          </w:tcPr>
          <w:p>
            <w:pPr>
              <w:spacing w:before="0" w:after="0" w:line="240" w:lineRule="auto"/>
              <w:jc w:val="left"/>
            </w:pPr>
            <w:r>
              <w:rPr>
                <w:sz w:val="20"/>
                <w:szCs w:val="20"/>
              </w:rPr>
              <w:t xml:space="preserve">9.38 [6.28, 13.27]</w:t>
            </w:r>
          </w:p>
        </w:tc>
        <w:tc>
          <w:tcPr>
            <w:tcW w:w="1674" w:type="dxa"/>
          </w:tcPr>
          <w:p>
            <w:pPr>
              <w:spacing w:before="0" w:after="0" w:line="240" w:lineRule="auto"/>
              <w:jc w:val="left"/>
            </w:pPr>
            <w:r>
              <w:rPr>
                <w:sz w:val="20"/>
                <w:szCs w:val="20"/>
              </w:rPr>
              <w:t xml:space="preserve">6.3</w:t>
            </w:r>
          </w:p>
        </w:tc>
        <w:tc>
          <w:tcPr>
            <w:tcW w:w="1514" w:type="dxa"/>
          </w:tcPr>
          <w:p>
            <w:pPr>
              <w:spacing w:before="0" w:after="0" w:line="240" w:lineRule="auto"/>
              <w:jc w:val="left"/>
            </w:pPr>
            <w:r>
              <w:rPr>
                <w:sz w:val="20"/>
                <w:szCs w:val="20"/>
              </w:rPr>
              <w:t xml:space="preserve">1.50</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VNINDEX quartiles, calm</w:t>
            </w:r>
          </w:p>
        </w:tc>
        <w:tc>
          <w:tcPr>
            <w:tcW w:w="1319" w:type="dxa"/>
          </w:tcPr>
          <w:p>
            <w:pPr>
              <w:spacing w:before="0" w:after="0" w:line="240" w:lineRule="auto"/>
              <w:jc w:val="left"/>
            </w:pPr>
            <w:r>
              <w:rPr>
                <w:sz w:val="20"/>
                <w:szCs w:val="20"/>
              </w:rPr>
              <w:t xml:space="preserve">VN30–VN100</w:t>
            </w:r>
          </w:p>
        </w:tc>
        <w:tc>
          <w:tcPr>
            <w:tcW w:w="1542" w:type="dxa"/>
          </w:tcPr>
          <w:p>
            <w:pPr>
              <w:spacing w:before="0" w:after="0" w:line="240" w:lineRule="auto"/>
              <w:jc w:val="left"/>
            </w:pPr>
            <w:r>
              <w:rPr>
                <w:sz w:val="20"/>
                <w:szCs w:val="20"/>
              </w:rPr>
              <w:t xml:space="preserve">0.77 [0.49, 1.14]</w:t>
            </w:r>
          </w:p>
        </w:tc>
        <w:tc>
          <w:tcPr>
            <w:tcW w:w="1674" w:type="dxa"/>
          </w:tcPr>
          <w:p>
            <w:pPr>
              <w:spacing w:before="0" w:after="0" w:line="240" w:lineRule="auto"/>
              <w:jc w:val="left"/>
            </w:pPr>
            <w:r>
              <w:rPr>
                <w:sz w:val="20"/>
                <w:szCs w:val="20"/>
              </w:rPr>
              <w:t xml:space="preserve">5.3</w:t>
            </w:r>
          </w:p>
        </w:tc>
        <w:tc>
          <w:tcPr>
            <w:tcW w:w="1514" w:type="dxa"/>
          </w:tcPr>
          <w:p>
            <w:pPr>
              <w:spacing w:before="0" w:after="0" w:line="240" w:lineRule="auto"/>
              <w:jc w:val="left"/>
            </w:pPr>
            <w:r>
              <w:rPr>
                <w:sz w:val="20"/>
                <w:szCs w:val="20"/>
              </w:rPr>
              <w:t xml:space="preserve">0.14</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VNINDEX quartiles, crisis</w:t>
            </w:r>
          </w:p>
        </w:tc>
        <w:tc>
          <w:tcPr>
            <w:tcW w:w="1319"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542" w:type="dxa"/>
          </w:tcPr>
          <w:p>
            <w:pPr>
              <w:spacing w:before="0" w:after="0" w:line="240" w:lineRule="auto"/>
              <w:jc w:val="left"/>
            </w:pPr>
            <w:r>
              <w:rPr>
                <w:sz w:val="20"/>
                <w:szCs w:val="20"/>
              </w:rPr>
              <w:t xml:space="preserve">−2.07 [−2.88, −1.40]</w:t>
            </w:r>
          </w:p>
        </w:tc>
        <w:tc>
          <w:tcPr>
            <w:tcW w:w="1674" w:type="dxa"/>
          </w:tcPr>
          <w:p>
            <w:pPr>
              <w:spacing w:before="0" w:after="0" w:line="240" w:lineRule="auto"/>
              <w:jc w:val="left"/>
            </w:pPr>
            <w:r>
              <w:rPr>
                <w:sz w:val="20"/>
                <w:szCs w:val="20"/>
              </w:rPr>
              <w:t xml:space="preserve">8.8</w:t>
            </w:r>
          </w:p>
        </w:tc>
        <w:tc>
          <w:tcPr>
            <w:tcW w:w="1514" w:type="dxa"/>
          </w:tcPr>
          <w:p>
            <w:pPr>
              <w:spacing w:before="0" w:after="0" w:line="240" w:lineRule="auto"/>
              <w:jc w:val="left"/>
            </w:pPr>
            <w:r>
              <w:rPr>
                <w:sz w:val="20"/>
                <w:szCs w:val="20"/>
              </w:rPr>
              <w:t xml:space="preserve">0.23</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VNINDEX quartiles, crisis</w:t>
            </w:r>
          </w:p>
        </w:tc>
        <w:tc>
          <w:tcPr>
            <w:tcW w:w="1319" w:type="dxa"/>
          </w:tcPr>
          <w:p>
            <w:pPr>
              <w:spacing w:before="0" w:after="0" w:line="240" w:lineRule="auto"/>
              <w:jc w:val="left"/>
            </w:pPr>
            <w:r>
              <w:rPr>
                <w:sz w:val="20"/>
                <w:szCs w:val="20"/>
              </w:rPr>
              <w:t xml:space="preserve">VN30–VN100</w:t>
            </w:r>
          </w:p>
        </w:tc>
        <w:tc>
          <w:tcPr>
            <w:tcW w:w="1542" w:type="dxa"/>
          </w:tcPr>
          <w:p>
            <w:pPr>
              <w:spacing w:before="0" w:after="0" w:line="240" w:lineRule="auto"/>
              <w:jc w:val="left"/>
            </w:pPr>
            <w:r>
              <w:rPr>
                <w:sz w:val="20"/>
                <w:szCs w:val="20"/>
              </w:rPr>
              <w:t xml:space="preserve">−0.20 [−0.30, −0.13]</w:t>
            </w:r>
          </w:p>
        </w:tc>
        <w:tc>
          <w:tcPr>
            <w:tcW w:w="1674" w:type="dxa"/>
          </w:tcPr>
          <w:p>
            <w:pPr>
              <w:spacing w:before="0" w:after="0" w:line="240" w:lineRule="auto"/>
              <w:jc w:val="left"/>
            </w:pPr>
            <w:r>
              <w:rPr>
                <w:sz w:val="20"/>
                <w:szCs w:val="20"/>
              </w:rPr>
              <w:t xml:space="preserve">8.9</w:t>
            </w:r>
          </w:p>
        </w:tc>
        <w:tc>
          <w:tcPr>
            <w:tcW w:w="1514" w:type="dxa"/>
          </w:tcPr>
          <w:p>
            <w:pPr>
              <w:spacing w:before="0" w:after="0" w:line="240" w:lineRule="auto"/>
              <w:jc w:val="left"/>
            </w:pPr>
            <w:r>
              <w:rPr>
                <w:sz w:val="20"/>
                <w:szCs w:val="20"/>
              </w:rPr>
              <w:t xml:space="preserve">0.02</w:t>
            </w:r>
          </w:p>
        </w:tc>
        <w:tc>
          <w:tcPr>
            <w:tcW w:w="1319" w:type="dxa"/>
          </w:tcPr>
          <w:p>
            <w:pPr>
              <w:spacing w:before="0" w:after="0" w:line="240" w:lineRule="auto"/>
            </w:pPr>
          </w:p>
        </w:tc>
      </w:tr>
      <w:tr>
        <w:tc>
          <w:tcPr>
            <w:tcW w:w="9360" w:type="dxa"/>
            <w:gridSpan w:val="6"/>
          </w:tcPr>
          <w:p>
            <w:pPr>
              <w:spacing w:before="0" w:after="0" w:line="240" w:lineRule="auto"/>
              <w:jc w:val="left"/>
            </w:pPr>
            <w:r>
              <w:rPr>
                <w:iCs/>
                <w:i/>
                <w:sz w:val="20"/>
                <w:szCs w:val="20"/>
              </w:rPr>
              <w:t xml:space="preserve">Panel B: out-of-sample, 2023–2025 (H</w:t>
            </w:r>
            <w:r>
              <w:rPr>
                <w:vertAlign w:val="subscript"/>
                <w:iCs/>
                <w:i/>
                <w:sz w:val="20"/>
                <w:szCs w:val="20"/>
              </w:rPr>
              <w:t xml:space="preserve">4</w:t>
            </w:r>
            <w:r>
              <w:rPr>
                <w:iCs/>
                <w:i/>
                <w:sz w:val="20"/>
                <w:szCs w:val="20"/>
              </w:rPr>
              <w:t xml:space="preserve">)</w:t>
            </w:r>
          </w:p>
        </w:tc>
      </w:tr>
      <w:tr>
        <w:tc>
          <w:tcPr>
            <w:tcW w:w="1992"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319" w:type="dxa"/>
          </w:tcPr>
          <w:p>
            <w:pPr>
              <w:spacing w:before="0" w:after="0" w:line="240" w:lineRule="auto"/>
              <w:jc w:val="left"/>
            </w:pPr>
            <w:r>
              <w:rPr>
                <w:sz w:val="20"/>
                <w:szCs w:val="20"/>
              </w:rPr>
              <w:t xml:space="preserve">−7.7771</w:t>
            </w:r>
          </w:p>
        </w:tc>
        <w:tc>
          <w:tcPr>
            <w:tcW w:w="1542" w:type="dxa"/>
          </w:tcPr>
          <w:p>
            <w:pPr>
              <w:spacing w:before="0" w:after="0" w:line="240" w:lineRule="auto"/>
              <w:jc w:val="left"/>
            </w:pPr>
            <w:r>
              <w:rPr>
                <w:sz w:val="20"/>
                <w:szCs w:val="20"/>
              </w:rPr>
              <w:t xml:space="preserve">−7.7434</w:t>
            </w:r>
          </w:p>
        </w:tc>
        <w:tc>
          <w:tcPr>
            <w:tcW w:w="1674" w:type="dxa"/>
          </w:tcPr>
          <w:p>
            <w:pPr>
              <w:spacing w:before="0" w:after="0" w:line="240" w:lineRule="auto"/>
              <w:jc w:val="left"/>
            </w:pPr>
            <w:r>
              <w:rPr>
                <w:sz w:val="20"/>
                <w:szCs w:val="20"/>
              </w:rPr>
              <w:t xml:space="preserve">−7.7644</w:t>
            </w:r>
          </w:p>
        </w:tc>
        <w:tc>
          <w:tcPr>
            <w:tcW w:w="1514" w:type="dxa"/>
          </w:tcPr>
          <w:p>
            <w:pPr>
              <w:spacing w:before="0" w:after="0" w:line="240" w:lineRule="auto"/>
              <w:jc w:val="left"/>
            </w:pPr>
            <w:r>
              <w:rPr>
                <w:sz w:val="20"/>
                <w:szCs w:val="20"/>
              </w:rPr>
              <w:t xml:space="preserve">−1.69 (0.091)</w:t>
            </w:r>
          </w:p>
        </w:tc>
        <w:tc>
          <w:tcPr>
            <w:tcW w:w="1319" w:type="dxa"/>
          </w:tcPr>
          <w:p>
            <w:pPr>
              <w:spacing w:before="0" w:after="0" w:line="240" w:lineRule="auto"/>
              <w:jc w:val="left"/>
            </w:pPr>
            <w:r>
              <w:rPr>
                <w:sz w:val="20"/>
                <w:szCs w:val="20"/>
              </w:rPr>
              <w:t xml:space="preserve">−1.34 (0.179)</w:t>
            </w:r>
          </w:p>
        </w:tc>
      </w:tr>
      <w:tr>
        <w:tc>
          <w:tcPr>
            <w:tcW w:w="1992" w:type="dxa"/>
          </w:tcPr>
          <w:p>
            <w:pPr>
              <w:spacing w:before="0" w:after="0" w:line="240" w:lineRule="auto"/>
              <w:jc w:val="left"/>
            </w:pPr>
            <w:r>
              <w:rPr>
                <w:sz w:val="20"/>
                <w:szCs w:val="20"/>
              </w:rPr>
              <w:t xml:space="preserve">VN30–VN100</w:t>
            </w:r>
          </w:p>
        </w:tc>
        <w:tc>
          <w:tcPr>
            <w:tcW w:w="1319" w:type="dxa"/>
          </w:tcPr>
          <w:p>
            <w:pPr>
              <w:spacing w:before="0" w:after="0" w:line="240" w:lineRule="auto"/>
              <w:jc w:val="left"/>
            </w:pPr>
            <w:r>
              <w:rPr>
                <w:sz w:val="20"/>
                <w:szCs w:val="20"/>
              </w:rPr>
              <w:t xml:space="preserve">−7.8357</w:t>
            </w:r>
          </w:p>
        </w:tc>
        <w:tc>
          <w:tcPr>
            <w:tcW w:w="1542" w:type="dxa"/>
          </w:tcPr>
          <w:p>
            <w:pPr>
              <w:spacing w:before="0" w:after="0" w:line="240" w:lineRule="auto"/>
              <w:jc w:val="left"/>
            </w:pPr>
            <w:r>
              <w:rPr>
                <w:sz w:val="20"/>
                <w:szCs w:val="20"/>
              </w:rPr>
              <w:t xml:space="preserve">−7.8315</w:t>
            </w:r>
          </w:p>
        </w:tc>
        <w:tc>
          <w:tcPr>
            <w:tcW w:w="1674" w:type="dxa"/>
          </w:tcPr>
          <w:p>
            <w:pPr>
              <w:spacing w:before="0" w:after="0" w:line="240" w:lineRule="auto"/>
              <w:jc w:val="left"/>
            </w:pPr>
            <w:r>
              <w:rPr>
                <w:sz w:val="20"/>
                <w:szCs w:val="20"/>
              </w:rPr>
              <w:t xml:space="preserve">−7.8346</w:t>
            </w:r>
          </w:p>
        </w:tc>
        <w:tc>
          <w:tcPr>
            <w:tcW w:w="1514" w:type="dxa"/>
          </w:tcPr>
          <w:p>
            <w:pPr>
              <w:spacing w:before="0" w:after="0" w:line="240" w:lineRule="auto"/>
              <w:jc w:val="left"/>
            </w:pPr>
            <w:r>
              <w:rPr>
                <w:sz w:val="20"/>
                <w:szCs w:val="20"/>
              </w:rPr>
              <w:t xml:space="preserve">−1.74 (0.081)</w:t>
            </w:r>
          </w:p>
        </w:tc>
        <w:tc>
          <w:tcPr>
            <w:tcW w:w="1319" w:type="dxa"/>
          </w:tcPr>
          <w:p>
            <w:pPr>
              <w:spacing w:before="0" w:after="0" w:line="240" w:lineRule="auto"/>
              <w:jc w:val="left"/>
            </w:pPr>
            <w:r>
              <w:rPr>
                <w:sz w:val="20"/>
                <w:szCs w:val="20"/>
              </w:rPr>
              <w:t xml:space="preserve">−1.45 (0.146)</w:t>
            </w:r>
          </w:p>
        </w:tc>
      </w:tr>
      <w:tr>
        <w:tc>
          <w:tcPr>
            <w:tcW w:w="1992" w:type="dxa"/>
          </w:tcPr>
          <w:p>
            <w:pPr>
              <w:spacing w:before="0" w:after="0" w:line="240" w:lineRule="auto"/>
              <w:jc w:val="left"/>
            </w:pPr>
            <w:r>
              <w:rPr>
                <w:sz w:val="20"/>
                <w:szCs w:val="20"/>
              </w:rPr>
              <w:t xml:space="preserve">VN30–VNINDEX</w:t>
            </w:r>
          </w:p>
        </w:tc>
        <w:tc>
          <w:tcPr>
            <w:tcW w:w="1319" w:type="dxa"/>
          </w:tcPr>
          <w:p>
            <w:pPr>
              <w:spacing w:before="0" w:after="0" w:line="240" w:lineRule="auto"/>
              <w:jc w:val="left"/>
            </w:pPr>
            <w:r>
              <w:rPr>
                <w:sz w:val="20"/>
                <w:szCs w:val="20"/>
              </w:rPr>
              <w:t xml:space="preserve">−7.9298</w:t>
            </w:r>
          </w:p>
        </w:tc>
        <w:tc>
          <w:tcPr>
            <w:tcW w:w="1542" w:type="dxa"/>
          </w:tcPr>
          <w:p>
            <w:pPr>
              <w:spacing w:before="0" w:after="0" w:line="240" w:lineRule="auto"/>
              <w:jc w:val="left"/>
            </w:pPr>
            <w:r>
              <w:rPr>
                <w:sz w:val="20"/>
                <w:szCs w:val="20"/>
              </w:rPr>
              <w:t xml:space="preserve">−7.9258</w:t>
            </w:r>
          </w:p>
        </w:tc>
        <w:tc>
          <w:tcPr>
            <w:tcW w:w="1674" w:type="dxa"/>
          </w:tcPr>
          <w:p>
            <w:pPr>
              <w:spacing w:before="0" w:after="0" w:line="240" w:lineRule="auto"/>
              <w:jc w:val="left"/>
            </w:pPr>
            <w:r>
              <w:rPr>
                <w:sz w:val="20"/>
                <w:szCs w:val="20"/>
              </w:rPr>
              <w:t xml:space="preserve">−7.9252</w:t>
            </w:r>
          </w:p>
        </w:tc>
        <w:tc>
          <w:tcPr>
            <w:tcW w:w="1514" w:type="dxa"/>
          </w:tcPr>
          <w:p>
            <w:pPr>
              <w:spacing w:before="0" w:after="0" w:line="240" w:lineRule="auto"/>
              <w:jc w:val="left"/>
            </w:pPr>
            <w:r>
              <w:rPr>
                <w:sz w:val="20"/>
                <w:szCs w:val="20"/>
              </w:rPr>
              <w:t xml:space="preserve">−1.82 (0.069)</w:t>
            </w:r>
          </w:p>
        </w:tc>
        <w:tc>
          <w:tcPr>
            <w:tcW w:w="1319" w:type="dxa"/>
          </w:tcPr>
          <w:p>
            <w:pPr>
              <w:spacing w:before="0" w:after="0" w:line="240" w:lineRule="auto"/>
              <w:jc w:val="left"/>
            </w:pPr>
            <w:r>
              <w:rPr>
                <w:sz w:val="20"/>
                <w:szCs w:val="20"/>
              </w:rPr>
              <w:t xml:space="preserve">−1.44 (0.150)</w:t>
            </w:r>
          </w:p>
        </w:tc>
      </w:tr>
      <w:tr>
        <w:tc>
          <w:tcPr>
            <w:tcW w:w="1992" w:type="dxa"/>
          </w:tcPr>
          <w:p>
            <w:pPr>
              <w:spacing w:before="0" w:after="0" w:line="240" w:lineRule="auto"/>
              <w:jc w:val="left"/>
            </w:pPr>
            <w:r>
              <w:rPr>
                <w:sz w:val="20"/>
                <w:szCs w:val="20"/>
              </w:rPr>
              <w:t xml:space="preserve">VN100–VNINDEX</w:t>
            </w:r>
          </w:p>
        </w:tc>
        <w:tc>
          <w:tcPr>
            <w:tcW w:w="1319" w:type="dxa"/>
          </w:tcPr>
          <w:p>
            <w:pPr>
              <w:spacing w:before="0" w:after="0" w:line="240" w:lineRule="auto"/>
              <w:jc w:val="left"/>
            </w:pPr>
            <w:r>
              <w:rPr>
                <w:sz w:val="20"/>
                <w:szCs w:val="20"/>
              </w:rPr>
              <w:t xml:space="preserve">−7.8904</w:t>
            </w:r>
          </w:p>
        </w:tc>
        <w:tc>
          <w:tcPr>
            <w:tcW w:w="1542" w:type="dxa"/>
          </w:tcPr>
          <w:p>
            <w:pPr>
              <w:spacing w:before="0" w:after="0" w:line="240" w:lineRule="auto"/>
              <w:jc w:val="left"/>
            </w:pPr>
            <w:r>
              <w:rPr>
                <w:sz w:val="20"/>
                <w:szCs w:val="20"/>
              </w:rPr>
              <w:t xml:space="preserve">−7.8880</w:t>
            </w:r>
          </w:p>
        </w:tc>
        <w:tc>
          <w:tcPr>
            <w:tcW w:w="1674" w:type="dxa"/>
          </w:tcPr>
          <w:p>
            <w:pPr>
              <w:spacing w:before="0" w:after="0" w:line="240" w:lineRule="auto"/>
              <w:jc w:val="left"/>
            </w:pPr>
            <w:r>
              <w:rPr>
                <w:sz w:val="20"/>
                <w:szCs w:val="20"/>
              </w:rPr>
              <w:t xml:space="preserve">−7.8867</w:t>
            </w:r>
          </w:p>
        </w:tc>
        <w:tc>
          <w:tcPr>
            <w:tcW w:w="1514" w:type="dxa"/>
          </w:tcPr>
          <w:p>
            <w:pPr>
              <w:spacing w:before="0" w:after="0" w:line="240" w:lineRule="auto"/>
              <w:jc w:val="left"/>
            </w:pPr>
            <w:r>
              <w:rPr>
                <w:sz w:val="20"/>
                <w:szCs w:val="20"/>
              </w:rPr>
              <w:t xml:space="preserve">−1.64 (0.100)</w:t>
            </w:r>
          </w:p>
        </w:tc>
        <w:tc>
          <w:tcPr>
            <w:tcW w:w="1319" w:type="dxa"/>
          </w:tcPr>
          <w:p>
            <w:pPr>
              <w:spacing w:before="0" w:after="0" w:line="240" w:lineRule="auto"/>
              <w:jc w:val="left"/>
            </w:pPr>
            <w:r>
              <w:rPr>
                <w:sz w:val="20"/>
                <w:szCs w:val="20"/>
              </w:rPr>
              <w:t xml:space="preserve">−1.43 (0.153)</w:t>
            </w:r>
          </w:p>
        </w:tc>
      </w:tr>
    </w:tbl>
    <w:p>
      <w:pPr>
        <w:pStyle w:val="Compact"/>
      </w:pPr>
      <w:r>
        <w:rPr>
          <w:sz w:val="20"/>
          <w:szCs w:val="20"/>
        </w:rPr>
        <w:t xml:space="preserve">Notes: Panel A: RE: relative error of Eq. (16) for an equally weighted position; P</w:t>
      </w:r>
      <w:r>
        <w:rPr>
          <w:vertAlign w:val="subscript"/>
          <w:sz w:val="20"/>
          <w:szCs w:val="20"/>
        </w:rPr>
        <w:t xml:space="preserve">cap</w:t>
      </w:r>
      <w:r>
        <w:rPr>
          <w:sz w:val="20"/>
          <w:szCs w:val="20"/>
        </w:rPr>
        <w:t xml:space="preserve">: overlap-purged mid-cap series; relative SE: bootstrap standard error of the regime portfolio variance. Panel B: QLIKE: quasi-likelihood loss; EWMA: exponentially weighted moving average; mean QLIKE over 735 evaluation days; DM: Diebold–Mariano t-statistic (p) on the QLIKE difference, negative when the static correlation has a lower loss.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In sample, a static correlation overstates the variance of an equally weighted VN30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position by 2.23% in chronological calm periods and 9.38% in the low-volatility quartile and understates it by 1.84% and 2.07% in crisis regimes. For nested pairs, the misstatement is at most 2.35% (Table S14). Relative to the sampling error, the magnitudes are small: |RE| is 0.13–1.50 standard errors of the regime variance for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and at most 0.43 for nested pairs. Out of sample, the static correlation has the lowest mean QLIKE for every pair, and all Diebold–Mariano statistics are negative (p = 0.069–0.179). H</w:t>
      </w:r>
      <w:r>
        <w:rPr>
          <w:rFonts w:ascii="Times New Roman" w:hAnsi="Times New Roman" w:cs="Times New Roman" w:eastAsia="Times New Roman"/>
          <w:vertAlign w:val="subscript"/>
          <w:sz w:val="24"/>
          <w:szCs w:val="24"/>
        </w:rPr>
        <w:t xml:space="preserve">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not supported: regime variation in correlations is real in sample but too small or too poorly timed to exploit.</w:t>
      </w:r>
    </w:p>
    <w:p>
      <w:pPr>
        <w:pStyle w:val="heading20"/>
        <w:numPr>
          <w:ilvl w:val="0"/>
          <w:numId w:val="0"/>
        </w:numPr>
      </w:pPr>
      <w:r>
        <w:rPr>
          <w:rFonts w:ascii="Times New Roman" w:hAnsi="Times New Roman" w:cs="Times New Roman" w:eastAsia="Times New Roman"/>
          <w:b/>
          <w:sz w:val="24"/>
          <w:szCs w:val="24"/>
        </w:rPr>
        <w:t xml:space="preserve">5.7 Further robustness</w:t>
      </w:r>
    </w:p>
    <w:p>
      <w:pPr>
        <w:pStyle w:val="p1a"/>
        <w:spacing w:before="0" w:after="120" w:line="300" w:lineRule="auto"/>
        <w:jc w:val="both"/>
      </w:pPr>
      <w:r>
        <w:rPr>
          <w:rFonts w:ascii="Times New Roman" w:hAnsi="Times New Roman" w:cs="Times New Roman" w:eastAsia="Times New Roman"/>
          <w:sz w:val="24"/>
          <w:szCs w:val="24"/>
        </w:rPr>
        <w:t xml:space="preserve">None of the further checks changed the conclusions. DMCA (Kristoufek, 2014) satisfies the same identity, so it checks only the detrending, giving a purged coefficient of 0.882–0.891 and a three-pair gap of 0.086–0.096 (Table S4). The daily three-pair gap interval stays within 0.070–0.119 for blocks of 5–60 days (Table S6), and the daily VN30–VNINDEX average is 0.9665, 0.9663, and 0.9667 for detrending orders 1–3. Proxies that replace the free-float weight, such as the VN30–VN100 correlation (0.9865–0.9885), are unstable (Table S8), and shuffled surrogates attribute most of the multifractal range to fat tails (Fig. S1). Lead–lag, hedge-effectiveness, and episode statistics are in Tables S9, S11, and S12.</w:t>
      </w:r>
    </w:p>
    <w:p>
      <w:pPr>
        <w:pStyle w:val="heading20"/>
        <w:numPr>
          <w:ilvl w:val="0"/>
          <w:numId w:val="0"/>
        </w:numPr>
      </w:pPr>
      <w:r>
        <w:rPr>
          <w:rFonts w:ascii="Times New Roman" w:hAnsi="Times New Roman" w:cs="Times New Roman" w:eastAsia="Times New Roman"/>
          <w:b/>
          <w:sz w:val="24"/>
          <w:szCs w:val="24"/>
        </w:rPr>
        <w:t xml:space="preserve">5.8 Summary</w:t>
      </w:r>
    </w:p>
    <w:p>
      <w:pPr>
        <w:pStyle w:val="p1a"/>
        <w:spacing w:before="0" w:after="120" w:line="300" w:lineRule="auto"/>
        <w:jc w:val="both"/>
      </w:pPr>
      <w:r>
        <w:rPr>
          <w:rFonts w:ascii="Times New Roman" w:hAnsi="Times New Roman" w:cs="Times New Roman" w:eastAsia="Times New Roman"/>
          <w:sz w:val="24"/>
          <w:szCs w:val="24"/>
        </w:rPr>
        <w:t xml:space="preserve">Table 9 summarizes the estimands and the hypotheses.</w:t>
      </w:r>
    </w:p>
    <w:p>
      <w:pPr>
        <w:pStyle w:val="tablecaption0"/>
      </w:pPr>
      <w:r>
        <w:rPr>
          <w:bCs/>
          <w:b/>
        </w:rPr>
        <w:t xml:space="preserve">Table 9</w:t>
      </w:r>
      <w:r>
        <w:t xml:space="preserve"> </w:t>
      </w:r>
      <w:r>
        <w:t xml:space="preserve">Summary of estimands and hypothesis tests</w:t>
      </w:r>
    </w:p>
    <w:tbl>
      <w:tblPr>
        <w:tblStyle w:val="TableGrid"/>
        <w:tblW w:type="pct" w:w="5000"/>
        <w:tblLook w:firstRow="1" w:lastRow="0" w:firstColumn="0" w:lastColumn="0" w:noHBand="0" w:noVBand="0" w:val="0020"/>
        <w:jc w:val="start"/>
      </w:tblPr>
      <w:tblGrid>
        <w:gridCol w:w="1705"/>
        <w:gridCol w:w="1793"/>
        <w:gridCol w:w="2508"/>
        <w:gridCol w:w="1322"/>
        <w:gridCol w:w="2032"/>
      </w:tblGrid>
      <w:tr>
        <w:trPr>
          <w:tblHeader w:val="true"/>
        </w:trPr>
        <w:tc>
          <w:tcPr>
            <w:tcW w:w="1705" w:type="dxa"/>
          </w:tcPr>
          <w:p>
            <w:pPr>
              <w:spacing w:before="0" w:after="0" w:line="240" w:lineRule="auto"/>
              <w:jc w:val="left"/>
            </w:pPr>
            <w:r>
              <w:rPr>
                <w:sz w:val="20"/>
                <w:szCs w:val="20"/>
              </w:rPr>
              <w:t xml:space="preserve">Item</w:t>
            </w:r>
          </w:p>
        </w:tc>
        <w:tc>
          <w:tcPr>
            <w:tcW w:w="1793" w:type="dxa"/>
          </w:tcPr>
          <w:p>
            <w:pPr>
              <w:spacing w:before="0" w:after="0" w:line="240" w:lineRule="auto"/>
              <w:jc w:val="left"/>
            </w:pPr>
            <w:r>
              <w:rPr>
                <w:sz w:val="20"/>
                <w:szCs w:val="20"/>
              </w:rPr>
              <w:t xml:space="preserve">Statistic</w:t>
            </w:r>
          </w:p>
        </w:tc>
        <w:tc>
          <w:tcPr>
            <w:tcW w:w="2508" w:type="dxa"/>
          </w:tcPr>
          <w:p>
            <w:pPr>
              <w:spacing w:before="0" w:after="0" w:line="240" w:lineRule="auto"/>
              <w:jc w:val="left"/>
            </w:pPr>
            <w:r>
              <w:rPr>
                <w:sz w:val="20"/>
                <w:szCs w:val="20"/>
              </w:rPr>
              <w:t xml:space="preserve">Evidence</w:t>
            </w:r>
          </w:p>
        </w:tc>
        <w:tc>
          <w:tcPr>
            <w:tcW w:w="1322" w:type="dxa"/>
          </w:tcPr>
          <w:p>
            <w:pPr>
              <w:spacing w:before="0" w:after="0" w:line="240" w:lineRule="auto"/>
              <w:jc w:val="left"/>
            </w:pPr>
            <w:r>
              <w:rPr>
                <w:sz w:val="20"/>
                <w:szCs w:val="20"/>
              </w:rPr>
              <w:t xml:space="preserve">Outcome</w:t>
            </w:r>
          </w:p>
        </w:tc>
        <w:tc>
          <w:tcPr>
            <w:tcW w:w="2032" w:type="dxa"/>
          </w:tcPr>
          <w:p>
            <w:pPr>
              <w:spacing w:before="0" w:after="0" w:line="240" w:lineRule="auto"/>
              <w:jc w:val="left"/>
            </w:pPr>
            <w:r>
              <w:rPr>
                <w:sz w:val="20"/>
                <w:szCs w:val="20"/>
              </w:rPr>
              <w:t xml:space="preserve">Comment</w:t>
            </w:r>
          </w:p>
        </w:tc>
      </w:tr>
      <w:tr>
        <w:tc>
          <w:tcPr>
            <w:tcW w:w="1705" w:type="dxa"/>
          </w:tcPr>
          <w:p>
            <w:pPr>
              <w:spacing w:before="0" w:after="0" w:line="240" w:lineRule="auto"/>
              <w:jc w:val="left"/>
            </w:pPr>
            <w:r>
              <w:rPr>
                <w:sz w:val="20"/>
                <w:szCs w:val="20"/>
              </w:rPr>
              <w:t xml:space="preserve">E1 Benchmark and attribution</w:t>
            </w:r>
          </w:p>
        </w:tc>
        <w:tc>
          <w:tcPr>
            <w:tcW w:w="1793" w:type="dxa"/>
          </w:tcPr>
          <w:p>
            <w:pPr>
              <w:spacing w:before="0" w:after="0" w:line="240" w:lineRule="auto"/>
              <w:jc w:val="left"/>
            </w:pPr>
            <w:r>
              <w:rPr>
                <w:sz w:val="20"/>
                <w:szCs w:val="20"/>
              </w:rPr>
              <w:t xml:space="preserve">ρ̲; Shapley overlap share</w:t>
            </w:r>
          </w:p>
        </w:tc>
        <w:tc>
          <w:tcPr>
            <w:tcW w:w="2508" w:type="dxa"/>
          </w:tcPr>
          <w:p>
            <w:pPr>
              <w:spacing w:before="0" w:after="0" w:line="240" w:lineRule="auto"/>
              <w:jc w:val="left"/>
            </w:pPr>
            <w:r>
              <w:rPr>
                <w:sz w:val="20"/>
                <w:szCs w:val="20"/>
              </w:rPr>
              <w:t xml:space="preserve">ρ̲ 0.893–0.900; Shapley 0.505–0.508</w:t>
            </w:r>
          </w:p>
        </w:tc>
        <w:tc>
          <w:tcPr>
            <w:tcW w:w="1322" w:type="dxa"/>
          </w:tcPr>
          <w:p>
            <w:pPr>
              <w:spacing w:before="0" w:after="0" w:line="240" w:lineRule="auto"/>
              <w:jc w:val="left"/>
            </w:pPr>
            <w:r>
              <w:rPr>
                <w:sz w:val="20"/>
                <w:szCs w:val="20"/>
              </w:rPr>
              <w:t xml:space="preserve">Estimated (not a test)</w:t>
            </w:r>
          </w:p>
        </w:tc>
        <w:tc>
          <w:tcPr>
            <w:tcW w:w="2032" w:type="dxa"/>
          </w:tcPr>
          <w:p>
            <w:pPr>
              <w:spacing w:before="0" w:after="0" w:line="240" w:lineRule="auto"/>
              <w:jc w:val="left"/>
            </w:pPr>
            <w:r>
              <w:rPr>
                <w:sz w:val="20"/>
                <w:szCs w:val="20"/>
              </w:rPr>
              <w:t xml:space="preserve">Attribution depends mainly on the weight</w:t>
            </w:r>
          </w:p>
        </w:tc>
      </w:tr>
      <w:tr>
        <w:tc>
          <w:tcPr>
            <w:tcW w:w="1705" w:type="dxa"/>
          </w:tcPr>
          <w:p>
            <w:pPr>
              <w:spacing w:before="0" w:after="0" w:line="240" w:lineRule="auto"/>
              <w:jc w:val="left"/>
            </w:pPr>
            <w:r>
              <w:rPr>
                <w:sz w:val="20"/>
                <w:szCs w:val="20"/>
              </w:rPr>
              <w:t xml:space="preserve">E2 Sensitivity</w:t>
            </w:r>
          </w:p>
        </w:tc>
        <w:tc>
          <w:tcPr>
            <w:tcW w:w="1793" w:type="dxa"/>
          </w:tcPr>
          <w:p>
            <w:pPr>
              <w:spacing w:before="0" w:after="0" w:line="240" w:lineRule="auto"/>
              <w:jc w:val="left"/>
            </w:pPr>
            <w:r>
              <w:rPr>
                <w:sz w:val="20"/>
                <w:szCs w:val="20"/>
              </w:rPr>
              <w:t xml:space="preserve">Eq. (10)</w:t>
            </w:r>
          </w:p>
        </w:tc>
        <w:tc>
          <w:tcPr>
            <w:tcW w:w="2508" w:type="dxa"/>
          </w:tcPr>
          <w:p>
            <w:pPr>
              <w:spacing w:before="0" w:after="0" w:line="240" w:lineRule="auto"/>
              <w:jc w:val="left"/>
            </w:pPr>
            <w:r>
              <w:rPr>
                <w:sz w:val="20"/>
                <w:szCs w:val="20"/>
              </w:rPr>
              <w:t xml:space="preserve">0.106–0.112; with weight uncertainty 0.07–0.17</w:t>
            </w:r>
          </w:p>
        </w:tc>
        <w:tc>
          <w:tcPr>
            <w:tcW w:w="1322" w:type="dxa"/>
          </w:tcPr>
          <w:p>
            <w:pPr>
              <w:spacing w:before="0" w:after="0" w:line="240" w:lineRule="auto"/>
              <w:jc w:val="left"/>
            </w:pPr>
            <w:r>
              <w:rPr>
                <w:sz w:val="20"/>
                <w:szCs w:val="20"/>
              </w:rPr>
              <w:t xml:space="preserve">Estimated (not a test)</w:t>
            </w:r>
          </w:p>
        </w:tc>
        <w:tc>
          <w:tcPr>
            <w:tcW w:w="2032" w:type="dxa"/>
          </w:tcPr>
          <w:p>
            <w:pPr>
              <w:spacing w:before="0" w:after="0" w:line="240" w:lineRule="auto"/>
              <w:jc w:val="left"/>
            </w:pPr>
            <w:r>
              <w:rPr>
                <w:sz w:val="20"/>
                <w:szCs w:val="20"/>
              </w:rPr>
              <w:t xml:space="preserve">Purged changes damped about tenfold</w:t>
            </w:r>
          </w:p>
        </w:tc>
      </w:tr>
      <w:tr>
        <w:tc>
          <w:tcPr>
            <w:tcW w:w="1705" w:type="dxa"/>
          </w:tcPr>
          <w:p>
            <w:pPr>
              <w:spacing w:before="0" w:after="0" w:line="240" w:lineRule="auto"/>
              <w:jc w:val="left"/>
            </w:pPr>
            <w:r>
              <w:rPr>
                <w:sz w:val="20"/>
                <w:szCs w:val="20"/>
              </w:rPr>
              <w:t xml:space="preserve">E3 In-sample misstatement</w:t>
            </w:r>
          </w:p>
        </w:tc>
        <w:tc>
          <w:tcPr>
            <w:tcW w:w="1793" w:type="dxa"/>
          </w:tcPr>
          <w:p>
            <w:pPr>
              <w:spacing w:before="0" w:after="0" w:line="240" w:lineRule="auto"/>
              <w:jc w:val="left"/>
            </w:pPr>
            <w:r>
              <w:rPr>
                <w:sz w:val="20"/>
                <w:szCs w:val="20"/>
              </w:rPr>
              <w:t xml:space="preserve">RE, Eq. (16)</w:t>
            </w:r>
          </w:p>
        </w:tc>
        <w:tc>
          <w:tcPr>
            <w:tcW w:w="2508"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–VN30 −2.1% to 9.4%; mostly below one SE</w:t>
            </w:r>
          </w:p>
        </w:tc>
        <w:tc>
          <w:tcPr>
            <w:tcW w:w="1322" w:type="dxa"/>
          </w:tcPr>
          <w:p>
            <w:pPr>
              <w:spacing w:before="0" w:after="0" w:line="240" w:lineRule="auto"/>
              <w:jc w:val="left"/>
            </w:pPr>
            <w:r>
              <w:rPr>
                <w:sz w:val="20"/>
                <w:szCs w:val="20"/>
              </w:rPr>
              <w:t xml:space="preserve">Estimated (not a test)</w:t>
            </w:r>
          </w:p>
        </w:tc>
        <w:tc>
          <w:tcPr>
            <w:tcW w:w="2032" w:type="dxa"/>
          </w:tcPr>
          <w:p>
            <w:pPr>
              <w:spacing w:before="0" w:after="0" w:line="240" w:lineRule="auto"/>
              <w:jc w:val="left"/>
            </w:pPr>
            <w:r>
              <w:rPr>
                <w:sz w:val="20"/>
                <w:szCs w:val="20"/>
              </w:rPr>
              <w:t xml:space="preserve">Sign pattern expected from pooling</w:t>
            </w:r>
          </w:p>
        </w:tc>
      </w:tr>
      <w:tr>
        <w:tc>
          <w:tcPr>
            <w:tcW w:w="1705" w:type="dxa"/>
          </w:tcPr>
          <w:p>
            <w:pPr>
              <w:spacing w:before="0" w:after="0" w:line="240" w:lineRule="auto"/>
              <w:jc w:val="left"/>
            </w:pPr>
            <w:r>
              <w:rPr>
                <w:sz w:val="20"/>
                <w:szCs w:val="20"/>
              </w:rPr>
              <w:t xml:space="preserve">H</w:t>
            </w:r>
            <w:r>
              <w:rPr>
                <w:vertAlign w:val="subscript"/>
                <w:sz w:val="20"/>
                <w:szCs w:val="20"/>
              </w:rPr>
              <w:t xml:space="preserve">1</w:t>
            </w:r>
            <w:r>
              <w:rPr>
                <w:sz w:val="20"/>
                <w:szCs w:val="20"/>
              </w:rPr>
              <w:t xml:space="preserve"> </w:t>
            </w:r>
            <w:r>
              <w:rPr>
                <w:sz w:val="20"/>
                <w:szCs w:val="20"/>
              </w:rPr>
              <w:t xml:space="preserve">Material overlap gap</w:t>
            </w:r>
          </w:p>
        </w:tc>
        <w:tc>
          <w:tcPr>
            <w:tcW w:w="1793" w:type="dxa"/>
          </w:tcPr>
          <w:p>
            <w:pPr>
              <w:spacing w:before="0" w:after="0" w:line="240" w:lineRule="auto"/>
              <w:jc w:val="left"/>
            </w:pPr>
            <w:r>
              <w:rPr>
                <w:sz w:val="20"/>
                <w:szCs w:val="20"/>
              </w:rPr>
              <w:t xml:space="preserve">Like-for-like gap; lower CI &gt; 0.05</w:t>
            </w:r>
          </w:p>
        </w:tc>
        <w:tc>
          <w:tcPr>
            <w:tcW w:w="2508" w:type="dxa"/>
          </w:tcPr>
          <w:p>
            <w:pPr>
              <w:spacing w:before="0" w:after="0" w:line="240" w:lineRule="auto"/>
              <w:jc w:val="left"/>
            </w:pPr>
            <w:r>
              <w:rPr>
                <w:sz w:val="20"/>
                <w:szCs w:val="20"/>
              </w:rPr>
              <w:t xml:space="preserve">Gap 0.099–0.104; lower CI ≥ 0.084</w:t>
            </w:r>
          </w:p>
        </w:tc>
        <w:tc>
          <w:tcPr>
            <w:tcW w:w="1322" w:type="dxa"/>
          </w:tcPr>
          <w:p>
            <w:pPr>
              <w:spacing w:before="0" w:after="0" w:line="240" w:lineRule="auto"/>
              <w:jc w:val="left"/>
            </w:pPr>
            <w:r>
              <w:rPr>
                <w:sz w:val="20"/>
                <w:szCs w:val="20"/>
              </w:rPr>
              <w:t xml:space="preserve">Supported</w:t>
            </w:r>
          </w:p>
        </w:tc>
        <w:tc>
          <w:tcPr>
            <w:tcW w:w="2032" w:type="dxa"/>
          </w:tcPr>
          <w:p>
            <w:pPr>
              <w:spacing w:before="0" w:after="0" w:line="240" w:lineRule="auto"/>
              <w:jc w:val="left"/>
            </w:pPr>
            <w:r>
              <w:rPr>
                <w:sz w:val="20"/>
                <w:szCs w:val="20"/>
              </w:rPr>
              <w:t xml:space="preserve">Holds under weight uncertainty</w:t>
            </w:r>
          </w:p>
        </w:tc>
      </w:tr>
      <w:tr>
        <w:tc>
          <w:tcPr>
            <w:tcW w:w="1705" w:type="dxa"/>
          </w:tcPr>
          <w:p>
            <w:pPr>
              <w:spacing w:before="0" w:after="0" w:line="240" w:lineRule="auto"/>
              <w:jc w:val="left"/>
            </w:pPr>
            <w:r>
              <w:rPr>
                <w:sz w:val="20"/>
                <w:szCs w:val="20"/>
              </w:rPr>
              <w:t xml:space="preserve">H</w:t>
            </w:r>
            <w:r>
              <w:rPr>
                <w:vertAlign w:val="subscript"/>
                <w:sz w:val="20"/>
                <w:szCs w:val="20"/>
              </w:rPr>
              <w:t xml:space="preserve">2</w:t>
            </w:r>
            <w:r>
              <w:rPr>
                <w:sz w:val="20"/>
                <w:szCs w:val="20"/>
              </w:rPr>
              <w:t xml:space="preserve"> </w:t>
            </w:r>
            <w:r>
              <w:rPr>
                <w:sz w:val="20"/>
                <w:szCs w:val="20"/>
              </w:rPr>
              <w:t xml:space="preserve">Horizon dependence</w:t>
            </w:r>
          </w:p>
        </w:tc>
        <w:tc>
          <w:tcPr>
            <w:tcW w:w="1793" w:type="dxa"/>
          </w:tcPr>
          <w:p>
            <w:pPr>
              <w:spacing w:before="0" w:after="0" w:line="240" w:lineRule="auto"/>
              <w:jc w:val="left"/>
            </w:pPr>
            <w:r>
              <w:rPr>
                <w:sz w:val="20"/>
                <w:szCs w:val="20"/>
              </w:rPr>
              <w:t xml:space="preserve">Studentized slopes; Holm (H</w:t>
            </w:r>
            <w:r>
              <w:rPr>
                <w:vertAlign w:val="subscript"/>
                <w:sz w:val="20"/>
                <w:szCs w:val="20"/>
              </w:rPr>
              <w:t xml:space="preserve">2</w:t>
            </w:r>
            <w:r>
              <w:rPr>
                <w:sz w:val="20"/>
                <w:szCs w:val="20"/>
              </w:rPr>
              <w:t xml:space="preserve"> </w:t>
            </w:r>
            <w:r>
              <w:rPr>
                <w:sz w:val="20"/>
                <w:szCs w:val="20"/>
              </w:rPr>
              <w:t xml:space="preserve">family); TOST</w:t>
            </w:r>
          </w:p>
        </w:tc>
        <w:tc>
          <w:tcPr>
            <w:tcW w:w="2508" w:type="dxa"/>
          </w:tcPr>
          <w:p>
            <w:pPr>
              <w:spacing w:before="0" w:after="0" w:line="240" w:lineRule="auto"/>
              <w:jc w:val="left"/>
            </w:pPr>
            <w:r>
              <w:rPr>
                <w:sz w:val="20"/>
                <w:szCs w:val="20"/>
              </w:rPr>
              <w:t xml:space="preserve">4 of 8 broad-market slopes significant, all at M30 or H1; VN30–VN100 equivalent to zero at M30, H1</w:t>
            </w:r>
          </w:p>
        </w:tc>
        <w:tc>
          <w:tcPr>
            <w:tcW w:w="1322" w:type="dxa"/>
          </w:tcPr>
          <w:p>
            <w:pPr>
              <w:spacing w:before="0" w:after="0" w:line="240" w:lineRule="auto"/>
              <w:jc w:val="left"/>
            </w:pPr>
            <w:r>
              <w:rPr>
                <w:sz w:val="20"/>
                <w:szCs w:val="20"/>
              </w:rPr>
              <w:t xml:space="preserve">Supported</w:t>
            </w:r>
          </w:p>
        </w:tc>
        <w:tc>
          <w:tcPr>
            <w:tcW w:w="2032" w:type="dxa"/>
          </w:tcPr>
          <w:p>
            <w:pPr>
              <w:spacing w:before="0" w:after="0" w:line="240" w:lineRule="auto"/>
              <w:jc w:val="left"/>
            </w:pPr>
            <w:r>
              <w:rPr>
                <w:sz w:val="20"/>
                <w:szCs w:val="20"/>
              </w:rPr>
              <w:t xml:space="preserve">Not robust: vanishes without the auction bars</w:t>
            </w:r>
          </w:p>
        </w:tc>
      </w:tr>
      <w:tr>
        <w:tc>
          <w:tcPr>
            <w:tcW w:w="1705" w:type="dxa"/>
          </w:tcPr>
          <w:p>
            <w:pPr>
              <w:spacing w:before="0" w:after="0" w:line="240" w:lineRule="auto"/>
              <w:jc w:val="left"/>
            </w:pPr>
            <w:r>
              <w:rPr>
                <w:sz w:val="20"/>
                <w:szCs w:val="20"/>
              </w:rPr>
              <w:t xml:space="preserve">H</w:t>
            </w:r>
            <w:r>
              <w:rPr>
                <w:vertAlign w:val="subscript"/>
                <w:sz w:val="20"/>
                <w:szCs w:val="20"/>
              </w:rPr>
              <w:t xml:space="preserve">3</w:t>
            </w:r>
            <w:r>
              <w:rPr>
                <w:sz w:val="20"/>
                <w:szCs w:val="20"/>
              </w:rPr>
              <w:t xml:space="preserve"> </w:t>
            </w:r>
            <w:r>
              <w:rPr>
                <w:sz w:val="20"/>
                <w:szCs w:val="20"/>
              </w:rPr>
              <w:t xml:space="preserve">Contagion</w:t>
            </w:r>
          </w:p>
        </w:tc>
        <w:tc>
          <w:tcPr>
            <w:tcW w:w="1793" w:type="dxa"/>
          </w:tcPr>
          <w:p>
            <w:pPr>
              <w:spacing w:before="0" w:after="0" w:line="240" w:lineRule="auto"/>
              <w:jc w:val="left"/>
            </w:pPr>
            <w:r>
              <w:rPr>
                <w:sz w:val="20"/>
                <w:szCs w:val="20"/>
              </w:rPr>
              <w:t xml:space="preserve">Forbes–Rigobon adjustment and Δβ, VN30 regimes</w:t>
            </w:r>
          </w:p>
        </w:tc>
        <w:tc>
          <w:tcPr>
            <w:tcW w:w="2508" w:type="dxa"/>
          </w:tcPr>
          <w:p>
            <w:pPr>
              <w:spacing w:before="0" w:after="0" w:line="240" w:lineRule="auto"/>
              <w:jc w:val="left"/>
            </w:pPr>
            <w:r>
              <w:rPr>
                <w:sz w:val="20"/>
                <w:szCs w:val="20"/>
              </w:rPr>
              <w:t xml:space="preserve">Forbes–Rigobon p = 0.998; Δβ = 0.210, p &lt; 0.001</w:t>
            </w:r>
          </w:p>
        </w:tc>
        <w:tc>
          <w:tcPr>
            <w:tcW w:w="1322" w:type="dxa"/>
          </w:tcPr>
          <w:p>
            <w:pPr>
              <w:spacing w:before="0" w:after="0" w:line="240" w:lineRule="auto"/>
              <w:jc w:val="left"/>
            </w:pPr>
            <w:r>
              <w:rPr>
                <w:sz w:val="20"/>
                <w:szCs w:val="20"/>
              </w:rPr>
              <w:t xml:space="preserve">Not supported</w:t>
            </w:r>
          </w:p>
        </w:tc>
        <w:tc>
          <w:tcPr>
            <w:tcW w:w="2032" w:type="dxa"/>
          </w:tcPr>
          <w:p>
            <w:pPr>
              <w:spacing w:before="0" w:after="0" w:line="240" w:lineRule="auto"/>
              <w:jc w:val="left"/>
            </w:pPr>
            <w:r>
              <w:rPr>
                <w:sz w:val="20"/>
                <w:szCs w:val="20"/>
              </w:rPr>
              <w:t xml:space="preserve">Loading rises on high-volatility days; residual variance rises too</w:t>
            </w:r>
          </w:p>
        </w:tc>
      </w:tr>
      <w:tr>
        <w:tc>
          <w:tcPr>
            <w:tcW w:w="1705" w:type="dxa"/>
          </w:tcPr>
          <w:p>
            <w:pPr>
              <w:spacing w:before="0" w:after="0" w:line="240" w:lineRule="auto"/>
              <w:jc w:val="left"/>
            </w:pPr>
            <w:r>
              <w:rPr>
                <w:sz w:val="20"/>
                <w:szCs w:val="20"/>
              </w:rPr>
              <w:t xml:space="preserve">H</w:t>
            </w:r>
            <w:r>
              <w:rPr>
                <w:vertAlign w:val="subscript"/>
                <w:sz w:val="20"/>
                <w:szCs w:val="20"/>
              </w:rPr>
              <w:t xml:space="preserve">4</w:t>
            </w:r>
            <w:r>
              <w:rPr>
                <w:sz w:val="20"/>
                <w:szCs w:val="20"/>
              </w:rPr>
              <w:t xml:space="preserve"> </w:t>
            </w:r>
            <w:r>
              <w:rPr>
                <w:sz w:val="20"/>
                <w:szCs w:val="20"/>
              </w:rPr>
              <w:t xml:space="preserve">Value of regime conditioning</w:t>
            </w:r>
          </w:p>
        </w:tc>
        <w:tc>
          <w:tcPr>
            <w:tcW w:w="1793" w:type="dxa"/>
          </w:tcPr>
          <w:p>
            <w:pPr>
              <w:spacing w:before="0" w:after="0" w:line="240" w:lineRule="auto"/>
              <w:jc w:val="left"/>
            </w:pPr>
            <w:r>
              <w:rPr>
                <w:sz w:val="20"/>
                <w:szCs w:val="20"/>
              </w:rPr>
              <w:t xml:space="preserve">QLIKE; Diebold–Mariano</w:t>
            </w:r>
          </w:p>
        </w:tc>
        <w:tc>
          <w:tcPr>
            <w:tcW w:w="2508" w:type="dxa"/>
          </w:tcPr>
          <w:p>
            <w:pPr>
              <w:spacing w:before="0" w:after="0" w:line="240" w:lineRule="auto"/>
              <w:jc w:val="left"/>
            </w:pPr>
            <w:r>
              <w:rPr>
                <w:sz w:val="20"/>
                <w:szCs w:val="20"/>
              </w:rPr>
              <w:t xml:space="preserve">Static lowest for all pairs; p 0.07–0.18</w:t>
            </w:r>
          </w:p>
        </w:tc>
        <w:tc>
          <w:tcPr>
            <w:tcW w:w="1322" w:type="dxa"/>
          </w:tcPr>
          <w:p>
            <w:pPr>
              <w:spacing w:before="0" w:after="0" w:line="240" w:lineRule="auto"/>
              <w:jc w:val="left"/>
            </w:pPr>
            <w:r>
              <w:rPr>
                <w:sz w:val="20"/>
                <w:szCs w:val="20"/>
              </w:rPr>
              <w:t xml:space="preserve">Not supported</w:t>
            </w:r>
          </w:p>
        </w:tc>
        <w:tc>
          <w:tcPr>
            <w:tcW w:w="2032" w:type="dxa"/>
          </w:tcPr>
          <w:p>
            <w:pPr>
              <w:spacing w:before="0" w:after="0" w:line="240" w:lineRule="auto"/>
              <w:jc w:val="left"/>
            </w:pPr>
            <w:r>
              <w:rPr>
                <w:sz w:val="20"/>
                <w:szCs w:val="20"/>
              </w:rPr>
              <w:t xml:space="preserve">Static correlation has the lowest loss</w:t>
            </w:r>
          </w:p>
        </w:tc>
      </w:tr>
    </w:tbl>
    <w:p>
      <w:pPr>
        <w:pStyle w:val="Compact"/>
      </w:pPr>
      <w:r>
        <w:rPr>
          <w:sz w:val="20"/>
          <w:szCs w:val="20"/>
        </w:rPr>
        <w:t xml:space="preserve">Notes: Decision rules for H</w:t>
      </w:r>
      <w:r>
        <w:rPr>
          <w:vertAlign w:val="subscript"/>
          <w:sz w:val="20"/>
          <w:szCs w:val="20"/>
        </w:rPr>
        <w:t xml:space="preserve">1</w:t>
      </w:r>
      <w:r>
        <w:rPr>
          <w:sz w:val="20"/>
          <w:szCs w:val="20"/>
        </w:rPr>
        <w:t xml:space="preserve">–H</w:t>
      </w:r>
      <w:r>
        <w:rPr>
          <w:vertAlign w:val="subscript"/>
          <w:sz w:val="20"/>
          <w:szCs w:val="20"/>
        </w:rPr>
        <w:t xml:space="preserve">4</w:t>
      </w:r>
      <w:r>
        <w:rPr>
          <w:sz w:val="20"/>
          <w:szCs w:val="20"/>
        </w:rPr>
        <w:t xml:space="preserve"> </w:t>
      </w:r>
      <w:r>
        <w:rPr>
          <w:sz w:val="20"/>
          <w:szCs w:val="20"/>
        </w:rPr>
        <w:t xml:space="preserve">in Section 2.7; all tests at the 5% level; RE: relative error of portfolio variance; SE: standard error; TOST: two one-sided tests; QLIKE: quasi-likelihood loss; CI: confidence interval. Source: Authors’ calculations.</w:t>
      </w:r>
    </w:p>
    <w:p>
      <w:pPr>
        <w:pStyle w:val="heading1"/>
        <w:numPr>
          <w:ilvl w:val="0"/>
          <w:numId w:val="0"/>
        </w:numPr>
      </w:pPr>
      <w:r>
        <w:rPr>
          <w:rFonts w:ascii="Times New Roman" w:hAnsi="Times New Roman" w:cs="Times New Roman" w:eastAsia="Times New Roman"/>
          <w:b/>
          <w:sz w:val="24"/>
          <w:szCs w:val="24"/>
        </w:rPr>
        <w:t xml:space="preserve">6 Discussion</w:t>
      </w:r>
    </w:p>
    <w:p>
      <w:pPr>
        <w:pStyle w:val="heading20"/>
        <w:numPr>
          <w:ilvl w:val="0"/>
          <w:numId w:val="0"/>
        </w:numPr>
      </w:pPr>
      <w:r>
        <w:rPr>
          <w:rFonts w:ascii="Times New Roman" w:hAnsi="Times New Roman" w:cs="Times New Roman" w:eastAsia="Times New Roman"/>
          <w:b/>
          <w:sz w:val="24"/>
          <w:szCs w:val="24"/>
        </w:rPr>
        <w:t xml:space="preserve">6.1 Mechanisms</w:t>
      </w:r>
    </w:p>
    <w:p>
      <w:pPr>
        <w:pStyle w:val="p1a"/>
        <w:spacing w:before="0" w:after="120" w:line="300" w:lineRule="auto"/>
        <w:jc w:val="both"/>
      </w:pPr>
      <w:r>
        <w:rPr>
          <w:rFonts w:ascii="Times New Roman" w:hAnsi="Times New Roman" w:cs="Times New Roman" w:eastAsia="Times New Roman"/>
          <w:sz w:val="24"/>
          <w:szCs w:val="24"/>
        </w:rPr>
        <w:t xml:space="preserve">Because a child’s variation enters every covariance and both standard deviations of a nested pair, Lemma 1 pins the coefficient near a benchmark set by the weight and relative amplitude. With VN30 at 68% of VN100, the benchmark is near 0.90 and the bound near 0.87, so the observed 0.99 says little about how mid caps move with large caps.</w:t>
      </w:r>
    </w:p>
    <w:p>
      <w:pPr>
        <w:pStyle w:val="BodyText"/>
        <w:spacing w:before="0" w:after="120" w:line="300" w:lineRule="auto"/>
        <w:jc w:val="both"/>
      </w:pPr>
      <w:r>
        <w:rPr>
          <w:rFonts w:ascii="Times New Roman" w:hAnsi="Times New Roman" w:cs="Times New Roman" w:eastAsia="Times New Roman"/>
          <w:sz w:val="24"/>
          <w:szCs w:val="24"/>
        </w:rPr>
        <w:t xml:space="preserve">The purged series has the features that the size literature predicts. Daily VN30 returns lead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returns (cross-autocorrelation 0.084, [0.028, 0.136]) while the reverse is negligible (0.007), an asymmetry of 0.076 [0.048, 0.102]; at intraday frequencies, the lead is symmetric (Table S9). The auction-bar horizon dependence of broad-market pairs fits the Epps (1979) effect for small, less liquid stocks (Chen et al., 2021; Tran and Tran, 2025). The higher loading on high-volatility days has several candidate sources that our data cannot rank: herding (Nguyen et al., 2023) and sector connectedness (Bui et al., 2022), limit hits under the ±7% band, margin calls, and foreign flows into large caps.</w:t>
      </w:r>
    </w:p>
    <w:p>
      <w:pPr>
        <w:pStyle w:val="heading20"/>
        <w:numPr>
          <w:ilvl w:val="0"/>
          <w:numId w:val="0"/>
        </w:numPr>
      </w:pPr>
      <w:r>
        <w:rPr>
          <w:rFonts w:ascii="Times New Roman" w:hAnsi="Times New Roman" w:cs="Times New Roman" w:eastAsia="Times New Roman"/>
          <w:b/>
          <w:sz w:val="24"/>
          <w:szCs w:val="24"/>
        </w:rPr>
        <w:t xml:space="preserve">6.2 Implications</w:t>
      </w:r>
    </w:p>
    <w:p>
      <w:pPr>
        <w:pStyle w:val="p1a"/>
        <w:spacing w:before="0" w:after="120" w:line="300" w:lineRule="auto"/>
        <w:jc w:val="both"/>
      </w:pPr>
      <w:r>
        <w:rPr>
          <w:rFonts w:ascii="Times New Roman" w:hAnsi="Times New Roman" w:cs="Times New Roman" w:eastAsia="Times New Roman"/>
          <w:sz w:val="24"/>
          <w:szCs w:val="24"/>
        </w:rPr>
        <w:t xml:space="preserve">Box 1 decomposes nested correlations from published series and the index weight. Its key outputs are the purged coefficient and the sensitivity, whose inverse of about 10 shows how ill-conditioned the index-level number is. For hedging, a minimum-variance VN30 hedge removes a share ρ² of mid-cap variance (Ederington, 1979), 0.79 [0.75, 0.82] over the full sample but 0.53 [0.45, 0.61] in the low-volatility quartile and 0.86 in the high-volatility quartile (Table S11). Hedging the VNMIDCAP exchange-traded fund with VN30 futures leaves about a fifth of the variance on average and about half in calm markets. The case for regime-conditioned tier correlations is not supported: their in-sample gain is mostly within sampling error and vanishes out of sample.</w:t>
      </w:r>
    </w:p>
    <w:p>
      <w:pPr>
        <w:pStyle w:val="heading20"/>
        <w:numPr>
          <w:ilvl w:val="0"/>
          <w:numId w:val="0"/>
        </w:numPr>
      </w:pPr>
      <w:r>
        <w:rPr>
          <w:rFonts w:ascii="Times New Roman" w:hAnsi="Times New Roman" w:cs="Times New Roman" w:eastAsia="Times New Roman"/>
          <w:b/>
          <w:sz w:val="24"/>
          <w:szCs w:val="24"/>
        </w:rPr>
        <w:t xml:space="preserve">6.3 Transferability and limitations</w:t>
      </w:r>
    </w:p>
    <w:p>
      <w:pPr>
        <w:pStyle w:val="p1a"/>
        <w:spacing w:before="0" w:after="120" w:line="300" w:lineRule="auto"/>
        <w:jc w:val="both"/>
      </w:pPr>
      <w:r>
        <w:rPr>
          <w:rFonts w:ascii="Times New Roman" w:hAnsi="Times New Roman" w:cs="Times New Roman" w:eastAsia="Times New Roman"/>
          <w:sz w:val="24"/>
          <w:szCs w:val="24"/>
        </w:rPr>
        <w:t xml:space="preserve">Lemma 1 applies to any child contained in its parent with a known weight under one weighting scheme. Fig. 4 shows benchmarks above 0.7 whenever the child holds half of the parent and the remaining constituents are no more volatile, so large components fixed by construction should be common in families such as SET50 within SET100 or IDX30 within LQ45; we did not compute them because we could not verify their weights. With partial overlap, the shared constituents form a third component, and Eq. (7) does not apply directly. We did not decompose the broad-market pairs: VNINDEX uses full capitalization and VN100 free-float capitalization, so VN100 is not a fixed-weight component of VNINDEX. The mismatch term of Eq. (12) cannot be bounded without constituent data, and the three-pair gap is therefore descriptive for these pairs.</w:t>
      </w:r>
    </w:p>
    <w:p>
      <w:pPr>
        <w:pStyle w:val="BodyText"/>
        <w:spacing w:before="0" w:after="120" w:line="300" w:lineRule="auto"/>
        <w:jc w:val="both"/>
      </w:pPr>
      <w:r>
        <w:rPr>
          <w:rFonts w:ascii="Times New Roman" w:hAnsi="Times New Roman" w:cs="Times New Roman" w:eastAsia="Times New Roman"/>
          <w:sz w:val="24"/>
          <w:szCs w:val="24"/>
        </w:rPr>
        <w:t xml:space="preserve">The evidence comes from one exchange and three indices; therefore, the magnitudes should not be generalized beyond the HOSE. The purged series rests on one factsheet weight; a weight path from semi-annual reviews would narrow the attribution intervals, which weight error dominates. We could not validate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against the published VNMIDCAP index or the FUEDCMID net asset value; therefore, we call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overlap-purged rather than economic. Index-level prices cannot separate microstructure from diffusion, crisis evidence depends on the regime definition, and the out-of-sample period covers three years. The FTSE Russell reclassification from September 2026 offers a test: if foreign inflows raise the large-cap weight or lower the volatility of the remaining constituents relative to large caps, Eq. (8) predicts a higher benchmark.</w:t>
      </w:r>
    </w:p>
    <w:p>
      <w:pPr>
        <w:pStyle w:val="heading1"/>
        <w:numPr>
          <w:ilvl w:val="0"/>
          <w:numId w:val="0"/>
        </w:numPr>
      </w:pPr>
      <w:r>
        <w:rPr>
          <w:rFonts w:ascii="Times New Roman" w:hAnsi="Times New Roman" w:cs="Times New Roman" w:eastAsia="Times New Roman"/>
          <w:b/>
          <w:sz w:val="24"/>
          <w:szCs w:val="24"/>
        </w:rPr>
        <w:t xml:space="preserve">7 Conclusion</w:t>
      </w:r>
    </w:p>
    <w:p>
      <w:pPr>
        <w:pStyle w:val="p1a"/>
        <w:spacing w:before="0" w:after="120" w:line="300" w:lineRule="auto"/>
        <w:jc w:val="both"/>
      </w:pPr>
      <w:r>
        <w:rPr>
          <w:rFonts w:ascii="Times New Roman" w:hAnsi="Times New Roman" w:cs="Times New Roman" w:eastAsia="Times New Roman"/>
          <w:sz w:val="24"/>
          <w:szCs w:val="24"/>
        </w:rPr>
        <w:t xml:space="preserve">Correlations between nested equity indices contain a component fixed by construction. Extending the part–whole identity to scale-wise detrended coefficients yields a benchmark, a lower bound, a sensitivity and an order-free attribution from index-level inputs. On the HOSE, the VN30–VN100 coefficient moves by only about 0.11 per unit change in the purged coefficient, and removing the overlap lowers the correlation with large caps by about 0.10. The purged series shows a large-to-small lead and a higher mid-cap loading together with more mid-cap-specific risk on volatile days; horizon effects in broad-market pairs are confined to the auction bars; and regime-conditioned correlations bring no out-of-sample gain. Users of index-level data should decompose nested correlations before reading them as evidence about diversification between tiers.</w:t>
      </w:r>
    </w:p>
    <w:p>
      <w:pPr>
        <w:pStyle w:val="heading1"/>
        <w:numPr>
          <w:ilvl w:val="0"/>
          <w:numId w:val="0"/>
        </w:numPr>
      </w:pPr>
      <w:r>
        <w:rPr>
          <w:rFonts w:ascii="Times New Roman" w:hAnsi="Times New Roman" w:cs="Times New Roman" w:eastAsia="Times New Roman"/>
          <w:b/>
          <w:sz w:val="24"/>
          <w:szCs w:val="24"/>
        </w:rPr>
        <w:t xml:space="preserve">References</w:t>
      </w:r>
    </w:p>
    <w:p>
      <w:pPr>
        <w:pStyle w:val="referenceitem"/>
      </w:pPr>
      <w:r>
        <w:rPr>
          <w:rFonts w:ascii="Times New Roman" w:hAnsi="Times New Roman" w:cs="Times New Roman" w:eastAsia="Times New Roman"/>
          <w:sz w:val="22"/>
          <w:szCs w:val="22"/>
        </w:rPr>
        <w:t xml:space="preserve">Abdul Karim, B., &amp; Xin Ning, H. (2013). Driving forces of the ASEAN-5 stock markets integration. Asia-Pacific Journal of Business Administration, 5(3), 186–191. https://doi.org/10.1108/APJBA-07-2012-0053</w:t>
      </w:r>
    </w:p>
    <w:p>
      <w:pPr>
        <w:pStyle w:val="referenceitem"/>
      </w:pPr>
      <w:r>
        <w:rPr>
          <w:rFonts w:ascii="Times New Roman" w:hAnsi="Times New Roman" w:cs="Times New Roman" w:eastAsia="Times New Roman"/>
          <w:sz w:val="22"/>
          <w:szCs w:val="22"/>
        </w:rPr>
        <w:t xml:space="preserve">Akhtaruzzaman, M., Boubaker, S., &amp; Sensoy, A. (2021). Financial contagion during COVID–19 crisis. Finance Research Letters, 38, 101604. https://doi.org/10.1016/j.frl.2020.101604</w:t>
      </w:r>
    </w:p>
    <w:p>
      <w:pPr>
        <w:pStyle w:val="referenceitem"/>
      </w:pPr>
      <w:r>
        <w:rPr>
          <w:rFonts w:ascii="Times New Roman" w:hAnsi="Times New Roman" w:cs="Times New Roman" w:eastAsia="Times New Roman"/>
          <w:sz w:val="22"/>
          <w:szCs w:val="22"/>
        </w:rPr>
        <w:t xml:space="preserve">Al Rababa’a, A. R., Alomari, M., &amp; McMillan, D. (2021). Multiscale stock-bond correlation: Implications for risk management. Research in International Business and Finance, 58, 101435. https://doi.org/10.1016/j.ribaf.2021.101435</w:t>
      </w:r>
    </w:p>
    <w:p>
      <w:pPr>
        <w:pStyle w:val="referenceitem"/>
      </w:pPr>
      <w:r>
        <w:rPr>
          <w:rFonts w:ascii="Times New Roman" w:hAnsi="Times New Roman" w:cs="Times New Roman" w:eastAsia="Times New Roman"/>
          <w:sz w:val="22"/>
          <w:szCs w:val="22"/>
        </w:rPr>
        <w:t xml:space="preserve">Andersen, T. G., &amp; Bollerslev, T. (1997). Intraday periodicity and volatility persistence in financial markets. Journal of Empirical Finance, 4(2–3), 115–158. https://doi.org/10.1016/S0927-5398(97)00004-2</w:t>
      </w:r>
    </w:p>
    <w:p>
      <w:pPr>
        <w:pStyle w:val="referenceitem"/>
      </w:pPr>
      <w:r>
        <w:rPr>
          <w:rFonts w:ascii="Times New Roman" w:hAnsi="Times New Roman" w:cs="Times New Roman" w:eastAsia="Times New Roman"/>
          <w:sz w:val="22"/>
          <w:szCs w:val="22"/>
        </w:rPr>
        <w:t xml:space="preserve">Ang, A., &amp; Chen, J. (2002). Asymmetric correlations of equity portfolios. Journal of Financial Economics, 63(3), 443–494. https://doi.org/10.1016/S0304-405X(02)00068-5</w:t>
      </w:r>
    </w:p>
    <w:p>
      <w:pPr>
        <w:pStyle w:val="referenceitem"/>
      </w:pPr>
      <w:r>
        <w:rPr>
          <w:rFonts w:ascii="Times New Roman" w:hAnsi="Times New Roman" w:cs="Times New Roman" w:eastAsia="Times New Roman"/>
          <w:sz w:val="22"/>
          <w:szCs w:val="22"/>
        </w:rPr>
        <w:t xml:space="preserve">Barberis, N., Shleifer, A., &amp; Wurgler, J. (2005). Comovement. Journal of Financial Economics, 75(2), 283–317. https://doi.org/10.1016/j.jfineco.2004.04.003</w:t>
      </w:r>
    </w:p>
    <w:p>
      <w:pPr>
        <w:pStyle w:val="referenceitem"/>
      </w:pPr>
      <w:r>
        <w:rPr>
          <w:rFonts w:ascii="Times New Roman" w:hAnsi="Times New Roman" w:cs="Times New Roman" w:eastAsia="Times New Roman"/>
          <w:sz w:val="22"/>
          <w:szCs w:val="22"/>
        </w:rPr>
        <w:t xml:space="preserve">Benjamini, Y., &amp; Hochberg, Y. (1995). Controlling the false discovery rate: A practical and powerful approach to multiple testing. Journal of the Royal Statistical Society: Series B (Methodological), 57(1), 289–300. https://doi.org/10.1111/j.2517-6161.1995.tb02031.x</w:t>
      </w:r>
    </w:p>
    <w:p>
      <w:pPr>
        <w:pStyle w:val="referenceitem"/>
      </w:pPr>
      <w:r>
        <w:rPr>
          <w:rFonts w:ascii="Times New Roman" w:hAnsi="Times New Roman" w:cs="Times New Roman" w:eastAsia="Times New Roman"/>
          <w:sz w:val="22"/>
          <w:szCs w:val="22"/>
        </w:rPr>
        <w:t xml:space="preserve">Benkraiem, R., Garfatta, R., Lakhal, F., &amp; Zorgati, I. (2022). Financial contagion intensity during the COVID-19 outbreak: A copula approach. International Review of Financial Analysis, 81, 102136. https://doi.org/10.1016/j.irfa.2022.102136</w:t>
      </w:r>
    </w:p>
    <w:p>
      <w:pPr>
        <w:pStyle w:val="referenceitem"/>
      </w:pPr>
      <w:r>
        <w:rPr>
          <w:rFonts w:ascii="Times New Roman" w:hAnsi="Times New Roman" w:cs="Times New Roman" w:eastAsia="Times New Roman"/>
          <w:sz w:val="22"/>
          <w:szCs w:val="22"/>
        </w:rPr>
        <w:t xml:space="preserve">Bui, H. Q., Tran, T., Pham, T. T., Nguyen, H. L.-P., &amp; Vo, D. H. (2022). Market volatility and spillover across 24 sectors in Vietnam. Cogent Economics &amp; Finance, 10(1), 2122188. https://doi.org/10.1080/23322039.2022.2122188</w:t>
      </w:r>
    </w:p>
    <w:p>
      <w:pPr>
        <w:pStyle w:val="referenceitem"/>
      </w:pPr>
      <w:r>
        <w:rPr>
          <w:rFonts w:ascii="Times New Roman" w:hAnsi="Times New Roman" w:cs="Times New Roman" w:eastAsia="Times New Roman"/>
          <w:sz w:val="22"/>
          <w:szCs w:val="22"/>
        </w:rPr>
        <w:t xml:space="preserve">Chang, P., Pienaar, E., &amp; Gebbie, T. (2021). The Epps effect under alternative sampling schemes. Physica A: Statistical Mechanics and its Applications, 583, 126329. https://doi.org/10.1016/j.physa.2021.126329</w:t>
      </w:r>
    </w:p>
    <w:p>
      <w:pPr>
        <w:pStyle w:val="referenceitem"/>
      </w:pPr>
      <w:r>
        <w:rPr>
          <w:rFonts w:ascii="Times New Roman" w:hAnsi="Times New Roman" w:cs="Times New Roman" w:eastAsia="Times New Roman"/>
          <w:sz w:val="22"/>
          <w:szCs w:val="22"/>
        </w:rPr>
        <w:t xml:space="preserve">Chen, H., Singal, V., &amp; Whitelaw, R. F. (2016). Comovement revisited. Journal of Financial Economics, 121(3), 624–644. https://doi.org/10.1016/j.jfineco.2016.05.007</w:t>
      </w:r>
    </w:p>
    <w:p>
      <w:pPr>
        <w:pStyle w:val="referenceitem"/>
      </w:pPr>
      <w:r>
        <w:rPr>
          <w:rFonts w:ascii="Times New Roman" w:hAnsi="Times New Roman" w:cs="Times New Roman" w:eastAsia="Times New Roman"/>
          <w:sz w:val="22"/>
          <w:szCs w:val="22"/>
        </w:rPr>
        <w:t xml:space="preserve">Chen, R., Geng, H., Lin, H., &amp; Nguyen, P. T. L. (2021). Liquidity, informed trading, and a market surveillance system: Evidence from the Vietnamese stock market. Pacific-Basin Finance Journal, 67, 101567. https://doi.org/10.1016/j.pacfin.2021.101567</w:t>
      </w:r>
    </w:p>
    <w:p>
      <w:pPr>
        <w:pStyle w:val="referenceitem"/>
      </w:pPr>
      <w:r>
        <w:rPr>
          <w:rFonts w:ascii="Times New Roman" w:hAnsi="Times New Roman" w:cs="Times New Roman" w:eastAsia="Times New Roman"/>
          <w:sz w:val="22"/>
          <w:szCs w:val="22"/>
        </w:rPr>
        <w:t xml:space="preserve">Chen, Y., Zhang, J., Lu, L., &amp; Xie, Z. (2024). Cross-correlation and multifractality analysis of the Chinese and American stock markets based on the MF-DCCA model. Heliyon, 10(17), e36537. https://doi.org/10.1016/j.heliyon.2024.e36537</w:t>
      </w:r>
    </w:p>
    <w:p>
      <w:pPr>
        <w:pStyle w:val="referenceitem"/>
      </w:pPr>
      <w:r>
        <w:rPr>
          <w:rFonts w:ascii="Times New Roman" w:hAnsi="Times New Roman" w:cs="Times New Roman" w:eastAsia="Times New Roman"/>
          <w:sz w:val="22"/>
          <w:szCs w:val="22"/>
        </w:rPr>
        <w:t xml:space="preserve">Cohen, J. (1988). Statistical power analysis for the behavioral sciences (2nd ed.). Lawrence Erlbaum Associates. https://doi.org/10.4324/9780203771587</w:t>
      </w:r>
    </w:p>
    <w:p>
      <w:pPr>
        <w:pStyle w:val="referenceitem"/>
      </w:pPr>
      <w:r>
        <w:rPr>
          <w:rFonts w:ascii="Times New Roman" w:hAnsi="Times New Roman" w:cs="Times New Roman" w:eastAsia="Times New Roman"/>
          <w:sz w:val="22"/>
          <w:szCs w:val="22"/>
        </w:rPr>
        <w:t xml:space="preserve">Corsetti, G., Pericoli, M., &amp; Sbracia, M. (2005).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Some contagion, some interdependence</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More pitfalls in tests of financial contagion. Journal of International Money and Finance, 24(8), 1177–1199. https://doi.org/10.1016/j.jimonfin.2005.08.012</w:t>
      </w:r>
    </w:p>
    <w:p>
      <w:pPr>
        <w:pStyle w:val="referenceitem"/>
      </w:pPr>
      <w:r>
        <w:rPr>
          <w:rFonts w:ascii="Times New Roman" w:hAnsi="Times New Roman" w:cs="Times New Roman" w:eastAsia="Times New Roman"/>
          <w:sz w:val="22"/>
          <w:szCs w:val="22"/>
        </w:rPr>
        <w:t xml:space="preserve">Cremers, K. J. M., &amp; Petajisto, A. (2009). How active is your fund manager? A new measure that predicts performance. The Review of Financial Studies, 22(9), 3329–3365. https://doi.org/10.1093/rfs/hhp057</w:t>
      </w:r>
    </w:p>
    <w:p>
      <w:pPr>
        <w:pStyle w:val="referenceitem"/>
      </w:pPr>
      <w:r>
        <w:rPr>
          <w:rFonts w:ascii="Times New Roman" w:hAnsi="Times New Roman" w:cs="Times New Roman" w:eastAsia="Times New Roman"/>
          <w:sz w:val="22"/>
          <w:szCs w:val="22"/>
        </w:rPr>
        <w:t xml:space="preserve">Cureton, E. E. (1966). Corrected item-test correlations. Psychometrika, 31(1), 93–96. https://doi.org/10.1007/BF02289461</w:t>
      </w:r>
    </w:p>
    <w:p>
      <w:pPr>
        <w:pStyle w:val="referenceitem"/>
      </w:pPr>
      <w:r>
        <w:rPr>
          <w:rFonts w:ascii="Times New Roman" w:hAnsi="Times New Roman" w:cs="Times New Roman" w:eastAsia="Times New Roman"/>
          <w:sz w:val="22"/>
          <w:szCs w:val="22"/>
        </w:rPr>
        <w:t xml:space="preserve">DeCoste, J. (2025). Comovement and S&amp;P 500 membership. Global Finance Journal, 65, 101110. https://doi.org/10.1016/j.gfj.2025.101110</w:t>
      </w:r>
    </w:p>
    <w:p>
      <w:pPr>
        <w:pStyle w:val="referenceitem"/>
      </w:pPr>
      <w:r>
        <w:rPr>
          <w:rFonts w:ascii="Times New Roman" w:hAnsi="Times New Roman" w:cs="Times New Roman" w:eastAsia="Times New Roman"/>
          <w:sz w:val="22"/>
          <w:szCs w:val="22"/>
        </w:rPr>
        <w:t xml:space="preserve">Diebold, F. X., &amp; Mariano, R. S. (1995). Comparing predictive accuracy. Journal of Business &amp; Economic Statistics, 13(3), 253–263. https://doi.org/10.1080/07350015.1995.10524599</w:t>
      </w:r>
    </w:p>
    <w:p>
      <w:pPr>
        <w:pStyle w:val="referenceitem"/>
      </w:pPr>
      <w:r>
        <w:rPr>
          <w:rFonts w:ascii="Times New Roman" w:hAnsi="Times New Roman" w:cs="Times New Roman" w:eastAsia="Times New Roman"/>
          <w:sz w:val="22"/>
          <w:szCs w:val="22"/>
        </w:rPr>
        <w:t xml:space="preserve">Ederington, L. H. (1979). The hedging performance of the new futures markets. The Journal of Finance, 34(1), 157–170. https://doi.org/10.1111/j.1540-6261.1979.tb02077.x</w:t>
      </w:r>
    </w:p>
    <w:p>
      <w:pPr>
        <w:pStyle w:val="referenceitem"/>
      </w:pPr>
      <w:r>
        <w:rPr>
          <w:rFonts w:ascii="Times New Roman" w:hAnsi="Times New Roman" w:cs="Times New Roman" w:eastAsia="Times New Roman"/>
          <w:sz w:val="22"/>
          <w:szCs w:val="22"/>
        </w:rPr>
        <w:t xml:space="preserve">Epps, T. W. (1979). Comovements in stock prices in the very short run. Journal of the American Statistical Association, 74(366), 291–298. https://doi.org/10.1080/01621459.1979.10482508</w:t>
      </w:r>
    </w:p>
    <w:p>
      <w:pPr>
        <w:pStyle w:val="referenceitem"/>
      </w:pPr>
      <w:r>
        <w:rPr>
          <w:rFonts w:ascii="Times New Roman" w:hAnsi="Times New Roman" w:cs="Times New Roman" w:eastAsia="Times New Roman"/>
          <w:sz w:val="22"/>
          <w:szCs w:val="22"/>
        </w:rPr>
        <w:t xml:space="preserve">Forbes, K. J., &amp; Rigobon, R. (2002). No contagion, only interdependence: Measuring stock market comovements. The Journal of Finance, 57(5), 2223–2261. https://doi.org/10.1111/0022-1082.00494</w:t>
      </w:r>
    </w:p>
    <w:p>
      <w:pPr>
        <w:pStyle w:val="referenceitem"/>
      </w:pPr>
      <w:r>
        <w:rPr>
          <w:rFonts w:ascii="Times New Roman" w:hAnsi="Times New Roman" w:cs="Times New Roman" w:eastAsia="Times New Roman"/>
          <w:sz w:val="22"/>
          <w:szCs w:val="22"/>
        </w:rPr>
        <w:t xml:space="preserve">FTSE Russell. (2025, October 7). FTSE Russell announces results of September 2025 semi-annual country classification review [Press release]. London Stock Exchange Group. https://www.lseg.com/en/media-centre/press-releases/ftse-russell/2025/ftse-russell-country-classification-september-2025</w:t>
      </w:r>
    </w:p>
    <w:p>
      <w:pPr>
        <w:pStyle w:val="referenceitem"/>
      </w:pPr>
      <w:r>
        <w:rPr>
          <w:rFonts w:ascii="Times New Roman" w:hAnsi="Times New Roman" w:cs="Times New Roman" w:eastAsia="Times New Roman"/>
          <w:sz w:val="22"/>
          <w:szCs w:val="22"/>
        </w:rPr>
        <w:t xml:space="preserve">Ge, X., &amp; Lin, A. (2021). Multiscale multifractal detrended partial cross-correlation analysis of Chinese and American stock markets. Chaos, Solitons &amp; Fractals, 145, 110731. https://doi.org/10.1016/j.chaos.2021.110731</w:t>
      </w:r>
    </w:p>
    <w:p>
      <w:pPr>
        <w:pStyle w:val="referenceitem"/>
      </w:pPr>
      <w:r>
        <w:rPr>
          <w:rFonts w:ascii="Times New Roman" w:hAnsi="Times New Roman" w:cs="Times New Roman" w:eastAsia="Times New Roman"/>
          <w:sz w:val="22"/>
          <w:szCs w:val="22"/>
        </w:rPr>
        <w:t xml:space="preserve">Government of Vietnam. (2020). Decree No. 155/2020/ND-CP of 31 December 2020 detailing and guiding the implementation of a number of articles of the Law on Securities. Hanoi.</w:t>
      </w:r>
    </w:p>
    <w:p>
      <w:pPr>
        <w:pStyle w:val="referenceitem"/>
      </w:pPr>
      <w:r>
        <w:rPr>
          <w:rFonts w:ascii="Times New Roman" w:hAnsi="Times New Roman" w:cs="Times New Roman" w:eastAsia="Times New Roman"/>
          <w:sz w:val="22"/>
          <w:szCs w:val="22"/>
        </w:rPr>
        <w:t xml:space="preserve">Government of Vietnam. (2025). Decree No. 245/2025/ND-CP of 11 September 2025 amending and supplementing a number of articles of Decree No. 155/2020/ND-CP. Hanoi.</w:t>
      </w:r>
    </w:p>
    <w:p>
      <w:pPr>
        <w:pStyle w:val="referenceitem"/>
      </w:pPr>
      <w:r>
        <w:rPr>
          <w:rFonts w:ascii="Times New Roman" w:hAnsi="Times New Roman" w:cs="Times New Roman" w:eastAsia="Times New Roman"/>
          <w:sz w:val="22"/>
          <w:szCs w:val="22"/>
        </w:rPr>
        <w:t xml:space="preserve">Greenwood, R. (2008). Excess comovement of stock returns: Evidence from cross-sectional variation in Nikkei 225 weights. The Review of Financial Studies, 21(3), 1153–1186. https://doi.org/10.1093/rfs/hhm052</w:t>
      </w:r>
    </w:p>
    <w:p>
      <w:pPr>
        <w:pStyle w:val="referenceitem"/>
      </w:pPr>
      <w:r>
        <w:rPr>
          <w:rFonts w:ascii="Times New Roman" w:hAnsi="Times New Roman" w:cs="Times New Roman" w:eastAsia="Times New Roman"/>
          <w:sz w:val="22"/>
          <w:szCs w:val="22"/>
        </w:rPr>
        <w:t xml:space="preserve">Greenwood, R., &amp; Sammon, M. (2025). The disappearing index effect. The Journal of Finance, 80(2), 657–698. https://doi.org/10.1111/jofi.13410</w:t>
      </w:r>
    </w:p>
    <w:p>
      <w:pPr>
        <w:pStyle w:val="referenceitem"/>
      </w:pPr>
      <w:r>
        <w:rPr>
          <w:rFonts w:ascii="Times New Roman" w:hAnsi="Times New Roman" w:cs="Times New Roman" w:eastAsia="Times New Roman"/>
          <w:sz w:val="22"/>
          <w:szCs w:val="22"/>
        </w:rPr>
        <w:t xml:space="preserve">Guedes, E. F., da Silva Filho, A. M., &amp; Zebende, G. F. (2021). Detrended multiple cross-correlation coefficient with sliding windows approach. Physica A: Statistical Mechanics and its Applications, 574, 125990. https://doi.org/10.1016/j.physa.2021.125990</w:t>
      </w:r>
    </w:p>
    <w:p>
      <w:pPr>
        <w:pStyle w:val="referenceitem"/>
      </w:pPr>
      <w:r>
        <w:rPr>
          <w:rFonts w:ascii="Times New Roman" w:hAnsi="Times New Roman" w:cs="Times New Roman" w:eastAsia="Times New Roman"/>
          <w:sz w:val="22"/>
          <w:szCs w:val="22"/>
        </w:rPr>
        <w:t xml:space="preserve">Guo, Y., Li, P., &amp; Li, A. (2021). Tail risk contagion between international financial markets during COVID-19 pandemic. International Review of Financial Analysis, 73, 101649. https://doi.org/10.1016/j.irfa.2020.101649</w:t>
      </w:r>
    </w:p>
    <w:p>
      <w:pPr>
        <w:pStyle w:val="referenceitem"/>
      </w:pPr>
      <w:r>
        <w:rPr>
          <w:rFonts w:ascii="Times New Roman" w:hAnsi="Times New Roman" w:cs="Times New Roman" w:eastAsia="Times New Roman"/>
          <w:sz w:val="22"/>
          <w:szCs w:val="22"/>
        </w:rPr>
        <w:t xml:space="preserve">Ho Chi Minh City Stock Exchange. (2022, September 29). Listing and official trading of DCVFMVNMIDCAP ETF fund certificates [Press release]. HOSE.</w:t>
      </w:r>
    </w:p>
    <w:p>
      <w:pPr>
        <w:pStyle w:val="referenceitem"/>
      </w:pPr>
      <w:r>
        <w:rPr>
          <w:rFonts w:ascii="Times New Roman" w:hAnsi="Times New Roman" w:cs="Times New Roman" w:eastAsia="Times New Roman"/>
          <w:sz w:val="22"/>
          <w:szCs w:val="22"/>
        </w:rPr>
        <w:t xml:space="preserve">Holm, S. (1979). A simple sequentially rejective multiple test procedure. Scandinavian Journal of Statistics, 6(2), 65–70. https://www.jstor.org/stable/4615733</w:t>
      </w:r>
    </w:p>
    <w:p>
      <w:pPr>
        <w:pStyle w:val="referenceitem"/>
      </w:pPr>
      <w:r>
        <w:rPr>
          <w:rFonts w:ascii="Times New Roman" w:hAnsi="Times New Roman" w:cs="Times New Roman" w:eastAsia="Times New Roman"/>
          <w:sz w:val="22"/>
          <w:szCs w:val="22"/>
        </w:rPr>
        <w:t xml:space="preserve">Hong, H., &amp; Stein, J. C. (1999). A unified theory of underreaction, momentum trading, and overreaction in asset markets. The Journal of Finance, 54(6), 2143–2184. https://doi.org/10.1111/0022-1082.00184</w:t>
      </w:r>
    </w:p>
    <w:p>
      <w:pPr>
        <w:pStyle w:val="referenceitem"/>
      </w:pPr>
      <w:r>
        <w:rPr>
          <w:rFonts w:ascii="Times New Roman" w:hAnsi="Times New Roman" w:cs="Times New Roman" w:eastAsia="Times New Roman"/>
          <w:sz w:val="22"/>
          <w:szCs w:val="22"/>
        </w:rPr>
        <w:t xml:space="preserve">Hou, K. (2007). Industry information diffusion and the lead-lag effect in stock returns. The Review of Financial Studies, 20(4), 1113–1138. https://doi.org/10.1093/rfs/hhm003</w:t>
      </w:r>
    </w:p>
    <w:p>
      <w:pPr>
        <w:pStyle w:val="referenceitem"/>
      </w:pPr>
      <w:r>
        <w:rPr>
          <w:rFonts w:ascii="Times New Roman" w:hAnsi="Times New Roman" w:cs="Times New Roman" w:eastAsia="Times New Roman"/>
          <w:sz w:val="22"/>
          <w:szCs w:val="22"/>
        </w:rPr>
        <w:t xml:space="preserve">J.P. Morgan/Reuters. (1996). RiskMetrics: Technical document (4th ed.). Morgan Guaranty Trust Company.</w:t>
      </w:r>
    </w:p>
    <w:p>
      <w:pPr>
        <w:pStyle w:val="referenceitem"/>
      </w:pPr>
      <w:r>
        <w:rPr>
          <w:rFonts w:ascii="Times New Roman" w:hAnsi="Times New Roman" w:cs="Times New Roman" w:eastAsia="Times New Roman"/>
          <w:sz w:val="22"/>
          <w:szCs w:val="22"/>
        </w:rPr>
        <w:t xml:space="preserve">Jiang, Z.-Q., &amp; Zhou, W.-X. (2011). Multifractal detrending moving-average cross-correlation analysis. Physical Review E, 84(1), 016106. https://doi.org/10.1103/PhysRevE.84.016106</w:t>
      </w:r>
    </w:p>
    <w:p>
      <w:pPr>
        <w:pStyle w:val="referenceitem"/>
      </w:pPr>
      <w:r>
        <w:rPr>
          <w:rFonts w:ascii="Times New Roman" w:hAnsi="Times New Roman" w:cs="Times New Roman" w:eastAsia="Times New Roman"/>
          <w:sz w:val="22"/>
          <w:szCs w:val="22"/>
        </w:rPr>
        <w:t xml:space="preserve">Kakinaka, S., Hayakawa, T., Kato, D., &amp; Umeno, K. (2025). Fractal portfolio strategies: Does scale preference of investors matter? Applied Economics Letters, 32(3), 415–421. https://doi.org/10.1080/13504851.2023.2274298</w:t>
      </w:r>
    </w:p>
    <w:p>
      <w:pPr>
        <w:pStyle w:val="referenceitem"/>
      </w:pPr>
      <w:r>
        <w:rPr>
          <w:rFonts w:ascii="Times New Roman" w:hAnsi="Times New Roman" w:cs="Times New Roman" w:eastAsia="Times New Roman"/>
          <w:sz w:val="22"/>
          <w:szCs w:val="22"/>
        </w:rPr>
        <w:t xml:space="preserve">Kantelhardt, J. W., Zschiegner, S. A., Koscielny-Bunde, E., Havlin, S., Bunde, A., &amp; Stanley, H. E. (2002). Multifractal detrended fluctuation analysis of nonstationary time series. Physica A: Statistical Mechanics and its Applications, 316(1–4), 87–114. https://doi.org/10.1016/S0378-4371(02)01383-3</w:t>
      </w:r>
    </w:p>
    <w:p>
      <w:pPr>
        <w:pStyle w:val="referenceitem"/>
      </w:pPr>
      <w:r>
        <w:rPr>
          <w:rFonts w:ascii="Times New Roman" w:hAnsi="Times New Roman" w:cs="Times New Roman" w:eastAsia="Times New Roman"/>
          <w:sz w:val="22"/>
          <w:szCs w:val="22"/>
        </w:rPr>
        <w:t xml:space="preserve">Kristoufek, L. (2014). Detrending moving-average cross-correlation coefficient: Measuring cross-correlations between non-stationary series. Physica A: Statistical Mechanics and its Applications, 406, 169–175. https://doi.org/10.1016/j.physa.2014.03.015</w:t>
      </w:r>
    </w:p>
    <w:p>
      <w:pPr>
        <w:pStyle w:val="referenceitem"/>
      </w:pPr>
      <w:r>
        <w:rPr>
          <w:rFonts w:ascii="Times New Roman" w:hAnsi="Times New Roman" w:cs="Times New Roman" w:eastAsia="Times New Roman"/>
          <w:sz w:val="22"/>
          <w:szCs w:val="22"/>
        </w:rPr>
        <w:t xml:space="preserve">Le, T. T. V., Dang, T. P. T., &amp; Phan, T. H. N. (2025). The nonlinear dependence of the Vietnam stock market on the Asian stock market: Evidence from a quantile-on-quantile regression. International Journal of Innovative Research and Scientific Studies, 8(4), 535–553. https://doi.org/10.53894/ijirss.v8i4.7901</w:t>
      </w:r>
    </w:p>
    <w:p>
      <w:pPr>
        <w:pStyle w:val="referenceitem"/>
      </w:pPr>
      <w:r>
        <w:rPr>
          <w:rFonts w:ascii="Times New Roman" w:hAnsi="Times New Roman" w:cs="Times New Roman" w:eastAsia="Times New Roman"/>
          <w:sz w:val="22"/>
          <w:szCs w:val="22"/>
        </w:rPr>
        <w:t xml:space="preserve">Lean, H. H., &amp; Teng, K. T. (2013). Integration of world leaders and emerging powers into the Malaysian stock market: A DCC-MGARCH approach. Economic Modelling, 32, 333–342. https://doi.org/10.1016/j.econmod.2013.02.013</w:t>
      </w:r>
    </w:p>
    <w:p>
      <w:pPr>
        <w:pStyle w:val="referenceitem"/>
      </w:pPr>
      <w:r>
        <w:rPr>
          <w:rFonts w:ascii="Times New Roman" w:hAnsi="Times New Roman" w:cs="Times New Roman" w:eastAsia="Times New Roman"/>
          <w:sz w:val="22"/>
          <w:szCs w:val="22"/>
        </w:rPr>
        <w:t xml:space="preserve">Liao, Y., Coakley, J., &amp; Kellard, N. (2022). Index tracking and beta arbitrage effects in comovement. International Review of Financial Analysis, 83, 102330. https://doi.org/10.1016/j.irfa.2022.102330</w:t>
      </w:r>
    </w:p>
    <w:p>
      <w:pPr>
        <w:pStyle w:val="referenceitem"/>
      </w:pPr>
      <w:r>
        <w:rPr>
          <w:rFonts w:ascii="Times New Roman" w:hAnsi="Times New Roman" w:cs="Times New Roman" w:eastAsia="Times New Roman"/>
          <w:sz w:val="22"/>
          <w:szCs w:val="22"/>
        </w:rPr>
        <w:t xml:space="preserve">Lo, A. W., &amp; MacKinlay, A. C. (1990). When are contrarian profits due to stock market overreaction? The Review of Financial Studies, 3(2), 175–205. https://doi.org/10.1093/rfs/3.2.175</w:t>
      </w:r>
    </w:p>
    <w:p>
      <w:pPr>
        <w:pStyle w:val="referenceitem"/>
      </w:pPr>
      <w:r>
        <w:rPr>
          <w:rFonts w:ascii="Times New Roman" w:hAnsi="Times New Roman" w:cs="Times New Roman" w:eastAsia="Times New Roman"/>
          <w:sz w:val="22"/>
          <w:szCs w:val="22"/>
        </w:rPr>
        <w:t xml:space="preserve">Longin, F., &amp; Solnik, B. (2001). Extreme correlation of international equity markets. The Journal of Finance, 56(2), 649–676. https://doi.org/10.1111/0022-1082.00340</w:t>
      </w:r>
    </w:p>
    <w:p>
      <w:pPr>
        <w:pStyle w:val="referenceitem"/>
      </w:pPr>
      <w:r>
        <w:rPr>
          <w:rFonts w:ascii="Times New Roman" w:hAnsi="Times New Roman" w:cs="Times New Roman" w:eastAsia="Times New Roman"/>
          <w:sz w:val="22"/>
          <w:szCs w:val="22"/>
        </w:rPr>
        <w:t xml:space="preserve">Markowitz, H. (1952). Portfolio selection. The Journal of Finance, 7(1), 77–91. https://doi.org/10.1111/j.1540-6261.1952.tb01525.x</w:t>
      </w:r>
    </w:p>
    <w:p>
      <w:pPr>
        <w:pStyle w:val="referenceitem"/>
      </w:pPr>
      <w:r>
        <w:rPr>
          <w:rFonts w:ascii="Times New Roman" w:hAnsi="Times New Roman" w:cs="Times New Roman" w:eastAsia="Times New Roman"/>
          <w:sz w:val="22"/>
          <w:szCs w:val="22"/>
        </w:rPr>
        <w:t xml:space="preserve">Ministry of Finance of Vietnam. (2020). Circular No. 120/2020/TT-BTC of 31 December 2020 on trading of listed and registered shares, fund certificates, corporate bonds and covered warrants listed on the securities trading system. Hanoi.</w:t>
      </w:r>
    </w:p>
    <w:p>
      <w:pPr>
        <w:pStyle w:val="referenceitem"/>
      </w:pPr>
      <w:r>
        <w:rPr>
          <w:rFonts w:ascii="Times New Roman" w:hAnsi="Times New Roman" w:cs="Times New Roman" w:eastAsia="Times New Roman"/>
          <w:sz w:val="22"/>
          <w:szCs w:val="22"/>
        </w:rPr>
        <w:t xml:space="preserve">Newey, W. K., &amp; West, K. D. (1987). A simple, positive semi-definite, heteroskedasticity and autocorrelation consistent covariance matrix. Econometrica, 55(3), 703–708. https://doi.org/10.2307/1913610</w:t>
      </w:r>
    </w:p>
    <w:p>
      <w:pPr>
        <w:pStyle w:val="referenceitem"/>
      </w:pPr>
      <w:r>
        <w:rPr>
          <w:rFonts w:ascii="Times New Roman" w:hAnsi="Times New Roman" w:cs="Times New Roman" w:eastAsia="Times New Roman"/>
          <w:sz w:val="22"/>
          <w:szCs w:val="22"/>
        </w:rPr>
        <w:t xml:space="preserve">Nguyen, H. M., Bakry, W., &amp; Vuong, T. H. G. (2023). COVID-19 pandemic and herd behavior: Evidence from a frontier market. Journal of Behavioral and Experimental Finance, 38, 100807. https://doi.org/10.1016/j.jbef.2023.100807</w:t>
      </w:r>
    </w:p>
    <w:p>
      <w:pPr>
        <w:pStyle w:val="referenceitem"/>
      </w:pPr>
      <w:r>
        <w:rPr>
          <w:rFonts w:ascii="Times New Roman" w:hAnsi="Times New Roman" w:cs="Times New Roman" w:eastAsia="Times New Roman"/>
          <w:sz w:val="22"/>
          <w:szCs w:val="22"/>
        </w:rPr>
        <w:t xml:space="preserve">Okorie, D. I., &amp; Lin, B. (2021). Stock markets and the COVID-19 fractal contagion effects. Finance Research Letters, 38, 101640. https://doi.org/10.1016/j.frl.2020.101640</w:t>
      </w:r>
    </w:p>
    <w:p>
      <w:pPr>
        <w:pStyle w:val="referenceitem"/>
      </w:pPr>
      <w:r>
        <w:rPr>
          <w:rFonts w:ascii="Times New Roman" w:hAnsi="Times New Roman" w:cs="Times New Roman" w:eastAsia="Times New Roman"/>
          <w:sz w:val="22"/>
          <w:szCs w:val="22"/>
        </w:rPr>
        <w:t xml:space="preserve">Oświęcimka, P., Drożdż, S., Forczek, M., Jadach, S., &amp; Kwapień, J. (2014). Detrended cross-correlation analysis consistently extended to multifractality. Physical Review E, 89(2), 022805. https://doi.org/10.1103/PhysRevE.89.022805</w:t>
      </w:r>
    </w:p>
    <w:p>
      <w:pPr>
        <w:pStyle w:val="referenceitem"/>
      </w:pPr>
      <w:r>
        <w:rPr>
          <w:rFonts w:ascii="Times New Roman" w:hAnsi="Times New Roman" w:cs="Times New Roman" w:eastAsia="Times New Roman"/>
          <w:sz w:val="22"/>
          <w:szCs w:val="22"/>
        </w:rPr>
        <w:t xml:space="preserve">Patton, A. J. (2011). Volatility forecast comparison using imperfect volatility proxies. Journal of Econometrics, 160(1), 246–256. https://doi.org/10.1016/j.jeconom.2010.03.034</w:t>
      </w:r>
    </w:p>
    <w:p>
      <w:pPr>
        <w:pStyle w:val="referenceitem"/>
      </w:pPr>
      <w:r>
        <w:rPr>
          <w:rFonts w:ascii="Times New Roman" w:hAnsi="Times New Roman" w:cs="Times New Roman" w:eastAsia="Times New Roman"/>
          <w:sz w:val="22"/>
          <w:szCs w:val="22"/>
        </w:rPr>
        <w:t xml:space="preserve">Pearson, K. (1897). Mathematical contributions to the theory of evolution.—On a form of spurious correlation which may arise when indices are used in the measurement of organs. Proceedings of the Royal Society of London, 60, 489–498. https://doi.org/10.1098/rspl.1896.0076</w:t>
      </w:r>
    </w:p>
    <w:p>
      <w:pPr>
        <w:pStyle w:val="referenceitem"/>
      </w:pPr>
      <w:r>
        <w:rPr>
          <w:rFonts w:ascii="Times New Roman" w:hAnsi="Times New Roman" w:cs="Times New Roman" w:eastAsia="Times New Roman"/>
          <w:sz w:val="22"/>
          <w:szCs w:val="22"/>
        </w:rPr>
        <w:t xml:space="preserve">Peng, C.-K., Buldyrev, S. V., Havlin, S., Simons, M., Stanley, H. E., &amp; Goldberger, A. L. (1994). Mosaic organization of DNA nucleotides. Physical Review E, 49(2), 1685–1689. https://doi.org/10.1103/PhysRevE.49.1685</w:t>
      </w:r>
    </w:p>
    <w:p>
      <w:pPr>
        <w:pStyle w:val="referenceitem"/>
      </w:pPr>
      <w:r>
        <w:rPr>
          <w:rFonts w:ascii="Times New Roman" w:hAnsi="Times New Roman" w:cs="Times New Roman" w:eastAsia="Times New Roman"/>
          <w:sz w:val="22"/>
          <w:szCs w:val="22"/>
        </w:rPr>
        <w:t xml:space="preserve">Podobnik, B., Jiang, Z.-Q., Zhou, W.-X., &amp; Stanley, H. E. (2011). Statistical tests for power-law cross-correlated processes. Physical Review E, 84(6), 066118. https://doi.org/10.1103/PhysRevE.84.066118</w:t>
      </w:r>
    </w:p>
    <w:p>
      <w:pPr>
        <w:pStyle w:val="referenceitem"/>
      </w:pPr>
      <w:r>
        <w:rPr>
          <w:rFonts w:ascii="Times New Roman" w:hAnsi="Times New Roman" w:cs="Times New Roman" w:eastAsia="Times New Roman"/>
          <w:sz w:val="22"/>
          <w:szCs w:val="22"/>
        </w:rPr>
        <w:t xml:space="preserve">Podobnik, B., &amp; Stanley, H. E. (2008). Detrended cross-correlation analysis: A new method for analyzing two nonstationary time series. Physical Review Letters, 100(8), 084102. https://doi.org/10.1103/PhysRevLett.100.084102</w:t>
      </w:r>
    </w:p>
    <w:p>
      <w:pPr>
        <w:pStyle w:val="referenceitem"/>
      </w:pPr>
      <w:r>
        <w:rPr>
          <w:rFonts w:ascii="Times New Roman" w:hAnsi="Times New Roman" w:cs="Times New Roman" w:eastAsia="Times New Roman"/>
          <w:sz w:val="22"/>
          <w:szCs w:val="22"/>
        </w:rPr>
        <w:t xml:space="preserve">Politis, D. N., &amp; Romano, J. P. (1994). The stationary bootstrap. Journal of the American Statistical Association, 89(428), 1303–1313. https://doi.org/10.1080/01621459.1994.10476870</w:t>
      </w:r>
    </w:p>
    <w:p>
      <w:pPr>
        <w:pStyle w:val="referenceitem"/>
      </w:pPr>
      <w:r>
        <w:rPr>
          <w:rFonts w:ascii="Times New Roman" w:hAnsi="Times New Roman" w:cs="Times New Roman" w:eastAsia="Times New Roman"/>
          <w:sz w:val="22"/>
          <w:szCs w:val="22"/>
        </w:rPr>
        <w:t xml:space="preserve">Rigobon, R. (2003). Identification through heteroskedasticity. The Review of Economics and Statistics, 85(4), 777–792. https://doi.org/10.1162/003465303772815727</w:t>
      </w:r>
    </w:p>
    <w:p>
      <w:pPr>
        <w:pStyle w:val="referenceitem"/>
      </w:pPr>
      <w:r>
        <w:rPr>
          <w:rFonts w:ascii="Times New Roman" w:hAnsi="Times New Roman" w:cs="Times New Roman" w:eastAsia="Times New Roman"/>
          <w:sz w:val="22"/>
          <w:szCs w:val="22"/>
        </w:rPr>
        <w:t xml:space="preserve">Santana, T. P., Horta, N., Revez, C., Dias, R. M. T. S., &amp; Zebende, G. F. (2023). Effects of interdependence and contagion on crude oil and precious metals according to ρDCCA: A COVID-19 case study. Sustainability, 15(5), 3945. https://doi.org/10.3390/su15053945</w:t>
      </w:r>
    </w:p>
    <w:p>
      <w:pPr>
        <w:pStyle w:val="referenceitem"/>
      </w:pPr>
      <w:r>
        <w:rPr>
          <w:rFonts w:ascii="Times New Roman" w:hAnsi="Times New Roman" w:cs="Times New Roman" w:eastAsia="Times New Roman"/>
          <w:sz w:val="22"/>
          <w:szCs w:val="22"/>
        </w:rPr>
        <w:t xml:space="preserve">Schuirmann, D. J. (1987). A comparison of the two one-sided tests procedure and the power approach for assessing the equivalence of average bioavailability. Journal of Pharmacokinetics and Biopharmaceutics, 15(6), 657–680. https://doi.org/10.1007/BF01068419</w:t>
      </w:r>
    </w:p>
    <w:p>
      <w:pPr>
        <w:pStyle w:val="referenceitem"/>
      </w:pPr>
      <w:r>
        <w:rPr>
          <w:rFonts w:ascii="Times New Roman" w:hAnsi="Times New Roman" w:cs="Times New Roman" w:eastAsia="Times New Roman"/>
          <w:sz w:val="22"/>
          <w:szCs w:val="22"/>
        </w:rPr>
        <w:t xml:space="preserve">Shapley, L. S. (1953). A value for n-person games. In H. W. Kuhn &amp; A. W. Tucker (Eds.), Contributions to the theory of games II (pp. 307–317). Princeton University Press. https://doi.org/10.1515/9781400881970-018</w:t>
      </w:r>
    </w:p>
    <w:p>
      <w:pPr>
        <w:pStyle w:val="referenceitem"/>
      </w:pPr>
      <w:r>
        <w:rPr>
          <w:rFonts w:ascii="Times New Roman" w:hAnsi="Times New Roman" w:cs="Times New Roman" w:eastAsia="Times New Roman"/>
          <w:sz w:val="22"/>
          <w:szCs w:val="22"/>
        </w:rPr>
        <w:t xml:space="preserve">Tilfani, O., Ferreira, P., &amp; El Boukfaoui, M. Y. (2021). Dynamic cross-correlation and dynamic contagion of stock markets: A sliding windows approach with the DCCA correlation coefficient. Empirical Economics, 60(3), 1127–1156. https://doi.org/10.1007/s00181-019-01806-1</w:t>
      </w:r>
    </w:p>
    <w:p>
      <w:pPr>
        <w:pStyle w:val="referenceitem"/>
      </w:pPr>
      <w:r>
        <w:rPr>
          <w:rFonts w:ascii="Times New Roman" w:hAnsi="Times New Roman" w:cs="Times New Roman" w:eastAsia="Times New Roman"/>
          <w:sz w:val="22"/>
          <w:szCs w:val="22"/>
        </w:rPr>
        <w:t xml:space="preserve">Tran, M. H., &amp; Tran, N. M. (2025). High-frequency dynamics of the Vietnam stock market. VNU Journal of Economics and Business, 5(2), 51–59. https://doi.org/10.57110/vnu-jeb.v5i2.395</w:t>
      </w:r>
    </w:p>
    <w:p>
      <w:pPr>
        <w:pStyle w:val="referenceitem"/>
      </w:pPr>
      <w:r>
        <w:rPr>
          <w:rFonts w:ascii="Times New Roman" w:hAnsi="Times New Roman" w:cs="Times New Roman" w:eastAsia="Times New Roman"/>
          <w:sz w:val="22"/>
          <w:szCs w:val="22"/>
        </w:rPr>
        <w:t xml:space="preserve">Vietnam Securities Depository. (2015). Decision No. 211/QĐ-VSD of 18 December 2015 promulgating the Regulation on clearing and settlement of securities transactions. Hanoi.</w:t>
      </w:r>
    </w:p>
    <w:p>
      <w:pPr>
        <w:pStyle w:val="referenceitem"/>
      </w:pPr>
      <w:r>
        <w:rPr>
          <w:rFonts w:ascii="Times New Roman" w:hAnsi="Times New Roman" w:cs="Times New Roman" w:eastAsia="Times New Roman"/>
          <w:sz w:val="22"/>
          <w:szCs w:val="22"/>
        </w:rPr>
        <w:t xml:space="preserve">Wang, F., Ye, X., Chen, H., &amp; Wu, C. (2021). A portfolio strategy of stock market based on mean-MF-X-DMA model. Chaos, Solitons &amp; Fractals, 143, 110645. https://doi.org/10.1016/j.chaos.2020.110645</w:t>
      </w:r>
    </w:p>
    <w:p>
      <w:pPr>
        <w:pStyle w:val="referenceitem"/>
      </w:pPr>
      <w:r>
        <w:rPr>
          <w:rFonts w:ascii="Times New Roman" w:hAnsi="Times New Roman" w:cs="Times New Roman" w:eastAsia="Times New Roman"/>
          <w:sz w:val="22"/>
          <w:szCs w:val="22"/>
        </w:rPr>
        <w:t xml:space="preserve">Zebende, G. F. (2011). DCCA cross-correlation coefficient: Quantifying level of cross-correlation. Physica A: Statistical Mechanics and its Applications, 390(4), 614–618. https://doi.org/10.1016/j.physa.2010.10.022</w:t>
      </w:r>
    </w:p>
    <w:p>
      <w:pPr>
        <w:pStyle w:val="referenceitem"/>
      </w:pPr>
      <w:r>
        <w:rPr>
          <w:rFonts w:ascii="Times New Roman" w:hAnsi="Times New Roman" w:cs="Times New Roman" w:eastAsia="Times New Roman"/>
          <w:sz w:val="22"/>
          <w:szCs w:val="22"/>
        </w:rPr>
        <w:t xml:space="preserve">Zhou, W., Huang, J., &amp; Wang, M. (2025). Multifractal characteristics and information flow analysis of stock markets based on multifractal detrended cross-correlation analysis and transfer entropy. Fractal and Fractional, 9(1), 14. https://doi.org/10.3390/fractalfract9010014</w:t>
      </w:r>
    </w:p>
    <w:p>
      <w:pPr>
        <w:pStyle w:val="referenceitem"/>
      </w:pPr>
      <w:r>
        <w:rPr>
          <w:rFonts w:ascii="Times New Roman" w:hAnsi="Times New Roman" w:cs="Times New Roman" w:eastAsia="Times New Roman"/>
          <w:sz w:val="22"/>
          <w:szCs w:val="22"/>
        </w:rPr>
        <w:t xml:space="preserve">Zhou, W.-X. (2008). Multifractal detrended cross-correlation analysis for two nonstationary signals. Physical Review E, 77(6), 066211. https://doi.org/10.1103/PhysRevE.77.066211</w:t>
      </w:r>
    </w:p>
    <w:sectPr w:rsidR="0034643B" w:rsidRPr="00F57207">
      <w:footnotePr>
        <w:numRestart w:val="eachSect"/>
      </w:footnotePr>
      <w:pgSz w:h="16838" w:w="11906"/>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Noto Sans">
    <w:panose1 w:val="020B0502040504090204"/>
    <w:charset w:val="00"/>
    <w:family w:val="swiss"/>
    <w:pitch w:val="variable"/>
    <w:sig w:usb0="E00082FF" w:usb1="400078FF" w:usb2="08000029" w:usb3="00000000" w:csb0="0000019F" w:csb1="00000000"/>
  </w:font>
  <w:font w:name="Liberation Sans">
    <w:panose1 w:val="020B0604020202020204"/>
    <w:charset w:val="00"/>
    <w:family w:val="roman"/>
    <w:pitch w:val="default"/>
  </w:font>
  <w:font w:name="Linux Libertine G">
    <w:panose1 w:val="020B0604020202020204"/>
    <w:charset w:val="00"/>
    <w:family w:val="roman"/>
    <w:pitch w:val="default"/>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null">
    <w:altName w:val="Cambria"/>
    <w:panose1 w:val="020B0604020202020204"/>
    <w:charset w:val="00"/>
    <w:family w:val="roman"/>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F427FF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64A4709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1A4A4B11"/>
    <w:multiLevelType w:val="multilevel"/>
    <w:tmpl w:val="10F4ADD0"/>
    <w:lvl w:ilvl="0">
      <w:start w:val="1"/>
      <w:numFmt w:val="bullet"/>
      <w:pStyle w:val="Aufzhlungszeichen"/>
      <w:lvlText w:val=""/>
      <w:lvlJc w:val="left"/>
      <w:pPr>
        <w:tabs>
          <w:tab w:pos="360" w:val="num"/>
        </w:tabs>
        <w:ind w:hanging="360" w:left="360"/>
      </w:pPr>
      <w:rPr>
        <w:rFonts w:ascii="Symbol" w:cs="Symbol" w:hAnsi="Symbol" w:hint="default"/>
      </w:r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3">
    <w:nsid w:val="3C350A71"/>
    <w:multiLevelType w:val="multilevel"/>
    <w:tmpl w:val="7A72F900"/>
    <w:lvl w:ilvl="0">
      <w:start w:val="1"/>
      <w:numFmt w:val="decimal"/>
      <w:pStyle w:val="heading1"/>
      <w:lvlText w:val="%1"/>
      <w:lvlJc w:val="left"/>
      <w:pPr>
        <w:tabs>
          <w:tab w:pos="567" w:val="num"/>
        </w:tabs>
        <w:ind w:hanging="567" w:left="567"/>
      </w:pPr>
    </w:lvl>
    <w:lvl w:ilvl="1">
      <w:start w:val="1"/>
      <w:numFmt w:val="decimal"/>
      <w:lvlText w:val="%1.%2"/>
      <w:lvlJc w:val="left"/>
      <w:pPr>
        <w:tabs>
          <w:tab w:pos="567" w:val="num"/>
        </w:tabs>
        <w:ind w:hanging="567" w:left="567"/>
      </w:pPr>
    </w:lvl>
    <w:lvl w:ilvl="2">
      <w:start w:val="1"/>
      <w:numFmt w:val="decimal"/>
      <w:lvlText w:val="%1.%2.%3"/>
      <w:lvlJc w:val="left"/>
      <w:pPr>
        <w:tabs>
          <w:tab w:pos="851" w:val="num"/>
        </w:tabs>
        <w:ind w:hanging="851" w:left="851"/>
      </w:pPr>
    </w:lvl>
    <w:lvl w:ilvl="3">
      <w:start w:val="1"/>
      <w:numFmt w:val="decimal"/>
      <w:lvlText w:val="%1.%2.%3.%4"/>
      <w:lvlJc w:val="left"/>
      <w:pPr>
        <w:tabs>
          <w:tab w:pos="851" w:val="num"/>
        </w:tabs>
        <w:ind w:hanging="851" w:left="851"/>
      </w:pPr>
    </w:lvl>
    <w:lvl w:ilvl="4">
      <w:start w:val="1"/>
      <w:numFmt w:val="decimal"/>
      <w:lvlText w:val="%1.%2.%3.%4.%5"/>
      <w:lvlJc w:val="left"/>
      <w:pPr>
        <w:tabs>
          <w:tab w:pos="964" w:val="num"/>
        </w:tabs>
        <w:ind w:hanging="964" w:left="964"/>
      </w:pPr>
      <w:rPr>
        <w:rFonts w:ascii="Times New Roman" w:cs="Times New Roman" w:hAnsi="Times New Roman"/>
        <w:b w:val="0"/>
        <w:i/>
        <w:sz w:val="20"/>
      </w:rPr>
    </w:lvl>
    <w:lvl w:ilvl="5">
      <w:start w:val="1"/>
      <w:numFmt w:val="decimal"/>
      <w:lvlText w:val="%1.%2.%3.%4.%5.%6"/>
      <w:lvlJc w:val="left"/>
      <w:pPr>
        <w:tabs>
          <w:tab w:pos="1152" w:val="num"/>
        </w:tabs>
        <w:ind w:hanging="1152" w:left="1152"/>
      </w:pPr>
    </w:lvl>
    <w:lvl w:ilvl="6">
      <w:start w:val="1"/>
      <w:numFmt w:val="decimal"/>
      <w:lvlText w:val="%1.%2.%3.%4.%5.%6.%7"/>
      <w:lvlJc w:val="left"/>
      <w:pPr>
        <w:tabs>
          <w:tab w:pos="1296" w:val="num"/>
        </w:tabs>
        <w:ind w:hanging="1296" w:left="1296"/>
      </w:pPr>
    </w:lvl>
    <w:lvl w:ilvl="7">
      <w:start w:val="1"/>
      <w:numFmt w:val="decimal"/>
      <w:lvlText w:val="%1.%2.%3.%4.%5.%6.%7.%8"/>
      <w:lvlJc w:val="left"/>
      <w:pPr>
        <w:tabs>
          <w:tab w:pos="1440" w:val="num"/>
        </w:tabs>
        <w:ind w:hanging="1440" w:left="1440"/>
      </w:pPr>
    </w:lvl>
    <w:lvl w:ilvl="8">
      <w:start w:val="1"/>
      <w:numFmt w:val="decimal"/>
      <w:lvlText w:val="%1.%2.%3.%4.%5.%6.%7.%8.%9"/>
      <w:lvlJc w:val="left"/>
      <w:pPr>
        <w:tabs>
          <w:tab w:pos="1584" w:val="num"/>
        </w:tabs>
        <w:ind w:hanging="1584" w:left="1584"/>
      </w:pPr>
    </w:lvl>
  </w:abstractNum>
  <w:abstractNum w15:restartNumberingAfterBreak="0" w:abstractNumId="4">
    <w:nsid w:val="467112F0"/>
    <w:multiLevelType w:val="multilevel"/>
    <w:tmpl w:val="5836672C"/>
    <w:lvl w:ilvl="0">
      <w:start w:val="1"/>
      <w:numFmt w:val="bullet"/>
      <w:pStyle w:val="bulletitem"/>
      <w:lvlText w:val=""/>
      <w:lvlJc w:val="left"/>
      <w:pPr>
        <w:tabs>
          <w:tab w:pos="227" w:val="num"/>
        </w:tabs>
        <w:ind w:hanging="227" w:left="227"/>
      </w:pPr>
      <w:rPr>
        <w:rFonts w:ascii="Symbol" w:cs="Symbol" w:hAnsi="Symbol" w:hint="default"/>
      </w:rPr>
    </w:lvl>
    <w:lvl w:ilvl="1">
      <w:start w:val="1"/>
      <w:numFmt w:val="bullet"/>
      <w:lvlText w:val="─"/>
      <w:lvlJc w:val="left"/>
      <w:pPr>
        <w:tabs>
          <w:tab w:pos="454" w:val="num"/>
        </w:tabs>
        <w:ind w:hanging="227" w:left="454"/>
      </w:pPr>
      <w:rPr>
        <w:rFonts w:ascii="Times New Roman" w:cs="Times New Roman" w:hAnsi="Times New Roman" w:hint="cs"/>
      </w:rPr>
    </w:lvl>
    <w:lvl w:ilvl="2">
      <w:start w:val="1"/>
      <w:numFmt w:val="bullet"/>
      <w:lvlText w:val="o"/>
      <w:lvlJc w:val="left"/>
      <w:pPr>
        <w:tabs>
          <w:tab w:pos="680" w:val="num"/>
        </w:tabs>
        <w:ind w:hanging="226" w:left="680"/>
      </w:pPr>
      <w:rPr>
        <w:rFonts w:ascii="Courier New" w:cs="Courier New" w:hAnsi="Courier New" w:hint="default"/>
      </w:rPr>
    </w:lvl>
    <w:lvl w:ilvl="3">
      <w:start w:val="1"/>
      <w:numFmt w:val="bullet"/>
      <w:lvlText w:val=""/>
      <w:lvlJc w:val="left"/>
      <w:pPr>
        <w:tabs>
          <w:tab w:pos="907" w:val="num"/>
        </w:tabs>
        <w:ind w:hanging="227" w:left="907"/>
      </w:pPr>
      <w:rPr>
        <w:rFonts w:ascii="Wingdings" w:cs="Wingdings" w:hAnsi="Wingdings" w:hint="default"/>
      </w:rPr>
    </w:lvl>
    <w:lvl w:ilvl="4">
      <w:start w:val="1"/>
      <w:numFmt w:val="bullet"/>
      <w:lvlText w:val="o"/>
      <w:lvlJc w:val="left"/>
      <w:pPr>
        <w:tabs>
          <w:tab w:pos="1134" w:val="num"/>
        </w:tabs>
        <w:ind w:hanging="227" w:left="1134"/>
      </w:pPr>
      <w:rPr>
        <w:rFonts w:ascii="Courier New" w:cs="Courier New" w:hAnsi="Courier New" w:hint="default"/>
      </w:rPr>
    </w:lvl>
    <w:lvl w:ilvl="5">
      <w:start w:val="1"/>
      <w:numFmt w:val="bullet"/>
      <w:lvlText w:val=""/>
      <w:lvlJc w:val="left"/>
      <w:pPr>
        <w:tabs>
          <w:tab w:pos="1361" w:val="num"/>
        </w:tabs>
        <w:ind w:hanging="227" w:left="1361"/>
      </w:pPr>
      <w:rPr>
        <w:rFonts w:ascii="Wingdings" w:cs="Wingdings" w:hAnsi="Wingdings" w:hint="default"/>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o"/>
      <w:lvlJc w:val="left"/>
      <w:pPr>
        <w:tabs>
          <w:tab w:pos="1814" w:val="num"/>
        </w:tabs>
        <w:ind w:hanging="226" w:left="1814"/>
      </w:pPr>
      <w:rPr>
        <w:rFonts w:ascii="Courier New" w:cs="Courier New" w:hAnsi="Courier New" w:hint="default"/>
      </w:rPr>
    </w:lvl>
    <w:lvl w:ilvl="8">
      <w:start w:val="1"/>
      <w:numFmt w:val="bullet"/>
      <w:lvlText w:val=""/>
      <w:lvlJc w:val="left"/>
      <w:pPr>
        <w:tabs>
          <w:tab w:pos="2041" w:val="num"/>
        </w:tabs>
        <w:ind w:hanging="227" w:left="2041"/>
      </w:pPr>
      <w:rPr>
        <w:rFonts w:ascii="Wingdings" w:cs="Wingdings" w:hAnsi="Wingdings" w:hint="default"/>
      </w:rPr>
    </w:lvl>
  </w:abstractNum>
  <w:abstractNum w15:restartNumberingAfterBreak="0" w:abstractNumId="5">
    <w:nsid w:val="4C517F45"/>
    <w:multiLevelType w:val="multilevel"/>
    <w:tmpl w:val="7B804DE4"/>
    <w:lvl w:ilvl="0">
      <w:start w:val="1"/>
      <w:numFmt w:val="decimal"/>
      <w:pStyle w:val="Listennummer"/>
      <w:lvlText w:val="%1."/>
      <w:lvlJc w:val="left"/>
      <w:pPr>
        <w:tabs>
          <w:tab w:pos="227" w:val="num"/>
        </w:tabs>
        <w:ind w:hanging="227" w:left="227"/>
      </w:p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6">
    <w:nsid w:val="51A624D8"/>
    <w:multiLevelType w:val="multilevel"/>
    <w:tmpl w:val="7D0A74B6"/>
    <w:lvl w:ilvl="0">
      <w:start w:val="1"/>
      <w:numFmt w:val="decimal"/>
      <w:pStyle w:val="referenceitem"/>
      <w:lvlText w:val="%1."/>
      <w:lvlJc w:val="right"/>
      <w:pPr>
        <w:tabs>
          <w:tab w:pos="341" w:val="num"/>
        </w:tabs>
        <w:ind w:hanging="114" w:left="341"/>
      </w:pPr>
    </w:lvl>
    <w:lvl w:ilvl="1">
      <w:start w:val="1"/>
      <w:numFmt w:val="lowerLetter"/>
      <w:lvlText w:val="%2."/>
      <w:lvlJc w:val="left"/>
      <w:pPr>
        <w:tabs>
          <w:tab w:pos="2010" w:val="num"/>
        </w:tabs>
        <w:ind w:hanging="360" w:left="2010"/>
      </w:pPr>
    </w:lvl>
    <w:lvl w:ilvl="2">
      <w:start w:val="1"/>
      <w:numFmt w:val="lowerRoman"/>
      <w:lvlText w:val="%3."/>
      <w:lvlJc w:val="right"/>
      <w:pPr>
        <w:tabs>
          <w:tab w:pos="2730" w:val="num"/>
        </w:tabs>
        <w:ind w:hanging="180" w:left="2730"/>
      </w:pPr>
    </w:lvl>
    <w:lvl w:ilvl="3">
      <w:start w:val="1"/>
      <w:numFmt w:val="decimal"/>
      <w:lvlText w:val="%4."/>
      <w:lvlJc w:val="left"/>
      <w:pPr>
        <w:tabs>
          <w:tab w:pos="3450" w:val="num"/>
        </w:tabs>
        <w:ind w:hanging="360" w:left="3450"/>
      </w:pPr>
    </w:lvl>
    <w:lvl w:ilvl="4">
      <w:start w:val="1"/>
      <w:numFmt w:val="lowerLetter"/>
      <w:lvlText w:val="%5."/>
      <w:lvlJc w:val="left"/>
      <w:pPr>
        <w:tabs>
          <w:tab w:pos="4170" w:val="num"/>
        </w:tabs>
        <w:ind w:hanging="360" w:left="4170"/>
      </w:pPr>
    </w:lvl>
    <w:lvl w:ilvl="5">
      <w:start w:val="1"/>
      <w:numFmt w:val="lowerRoman"/>
      <w:lvlText w:val="%6."/>
      <w:lvlJc w:val="right"/>
      <w:pPr>
        <w:tabs>
          <w:tab w:pos="4890" w:val="num"/>
        </w:tabs>
        <w:ind w:hanging="180" w:left="4890"/>
      </w:pPr>
    </w:lvl>
    <w:lvl w:ilvl="6">
      <w:start w:val="1"/>
      <w:numFmt w:val="decimal"/>
      <w:lvlText w:val="%7."/>
      <w:lvlJc w:val="left"/>
      <w:pPr>
        <w:tabs>
          <w:tab w:pos="5610" w:val="num"/>
        </w:tabs>
        <w:ind w:hanging="360" w:left="5610"/>
      </w:pPr>
    </w:lvl>
    <w:lvl w:ilvl="7">
      <w:start w:val="1"/>
      <w:numFmt w:val="lowerLetter"/>
      <w:lvlText w:val="%8."/>
      <w:lvlJc w:val="left"/>
      <w:pPr>
        <w:tabs>
          <w:tab w:pos="6330" w:val="num"/>
        </w:tabs>
        <w:ind w:hanging="360" w:left="6330"/>
      </w:pPr>
    </w:lvl>
    <w:lvl w:ilvl="8">
      <w:start w:val="1"/>
      <w:numFmt w:val="lowerRoman"/>
      <w:lvlText w:val="%9."/>
      <w:lvlJc w:val="right"/>
      <w:pPr>
        <w:tabs>
          <w:tab w:pos="7050" w:val="num"/>
        </w:tabs>
        <w:ind w:hanging="180" w:left="7050"/>
      </w:pPr>
    </w:lvl>
  </w:abstractNum>
  <w:abstractNum w15:restartNumberingAfterBreak="0" w:abstractNumId="7">
    <w:nsid w:val="51F6076D"/>
    <w:multiLevelType w:val="multilevel"/>
    <w:tmpl w:val="07C2DB6C"/>
    <w:lvl w:ilvl="0">
      <w:start w:val="1"/>
      <w:numFmt w:val="bullet"/>
      <w:pStyle w:val="dashitem"/>
      <w:lvlText w:val="─"/>
      <w:lvlJc w:val="left"/>
      <w:pPr>
        <w:tabs>
          <w:tab w:pos="227" w:val="num"/>
        </w:tabs>
        <w:ind w:hanging="227" w:left="227"/>
      </w:pPr>
      <w:rPr>
        <w:rFonts w:ascii="Times New Roman" w:cs="Times New Roman" w:hAnsi="Times New Roman" w:hint="cs"/>
      </w:rPr>
    </w:lvl>
    <w:lvl w:ilvl="1">
      <w:start w:val="1"/>
      <w:numFmt w:val="bullet"/>
      <w:lvlText w:val=""/>
      <w:lvlJc w:val="left"/>
      <w:pPr>
        <w:tabs>
          <w:tab w:pos="454" w:val="num"/>
        </w:tabs>
        <w:ind w:hanging="227" w:left="454"/>
      </w:pPr>
      <w:rPr>
        <w:rFonts w:ascii="Symbol" w:cs="Symbol" w:hAnsi="Symbol" w:hint="default"/>
      </w:rPr>
    </w:lvl>
    <w:lvl w:ilvl="2">
      <w:start w:val="1"/>
      <w:numFmt w:val="bullet"/>
      <w:lvlText w:val="○"/>
      <w:lvlJc w:val="left"/>
      <w:pPr>
        <w:tabs>
          <w:tab w:pos="680" w:val="num"/>
        </w:tabs>
        <w:ind w:hanging="226" w:left="680"/>
      </w:pPr>
      <w:rPr>
        <w:rFonts w:ascii="Times New Roman" w:cs="Times New Roman" w:hAnsi="Times New Roman" w:hint="cs"/>
      </w:rPr>
    </w:lvl>
    <w:lvl w:ilvl="3">
      <w:start w:val="1"/>
      <w:numFmt w:val="bullet"/>
      <w:lvlText w:val="■"/>
      <w:lvlJc w:val="left"/>
      <w:pPr>
        <w:tabs>
          <w:tab w:pos="907" w:val="num"/>
        </w:tabs>
        <w:ind w:hanging="227" w:left="907"/>
      </w:pPr>
      <w:rPr>
        <w:rFonts w:ascii="Times New Roman" w:cs="Times New Roman" w:hAnsi="Times New Roman" w:hint="cs"/>
      </w:rPr>
    </w:lvl>
    <w:lvl w:ilvl="4">
      <w:start w:val="1"/>
      <w:numFmt w:val="bullet"/>
      <w:lvlText w:val="○"/>
      <w:lvlJc w:val="left"/>
      <w:pPr>
        <w:tabs>
          <w:tab w:pos="1134" w:val="num"/>
        </w:tabs>
        <w:ind w:hanging="227" w:left="1134"/>
      </w:pPr>
      <w:rPr>
        <w:rFonts w:ascii="Times New Roman" w:cs="Times New Roman" w:hAnsi="Times New Roman" w:hint="cs"/>
      </w:rPr>
    </w:lvl>
    <w:lvl w:ilvl="5">
      <w:start w:val="1"/>
      <w:numFmt w:val="bullet"/>
      <w:lvlText w:val="■"/>
      <w:lvlJc w:val="left"/>
      <w:pPr>
        <w:tabs>
          <w:tab w:pos="1361" w:val="num"/>
        </w:tabs>
        <w:ind w:hanging="227" w:left="1361"/>
      </w:pPr>
      <w:rPr>
        <w:rFonts w:ascii="Times New Roman" w:cs="Times New Roman" w:hAnsi="Times New Roman" w:hint="cs"/>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
      <w:lvlJc w:val="left"/>
      <w:pPr>
        <w:tabs>
          <w:tab w:pos="1814" w:val="num"/>
        </w:tabs>
        <w:ind w:hanging="226" w:left="1814"/>
      </w:pPr>
      <w:rPr>
        <w:rFonts w:ascii="Times New Roman" w:cs="Times New Roman" w:hAnsi="Times New Roman" w:hint="cs"/>
      </w:rPr>
    </w:lvl>
    <w:lvl w:ilvl="8">
      <w:start w:val="1"/>
      <w:numFmt w:val="bullet"/>
      <w:lvlText w:val="■"/>
      <w:lvlJc w:val="left"/>
      <w:pPr>
        <w:tabs>
          <w:tab w:pos="2041" w:val="num"/>
        </w:tabs>
        <w:ind w:hanging="227" w:left="2041"/>
      </w:pPr>
      <w:rPr>
        <w:rFonts w:ascii="Times New Roman" w:cs="Times New Roman" w:hAnsi="Times New Roman" w:hint="cs"/>
      </w:rPr>
    </w:lvl>
  </w:abstractNum>
  <w:abstractNum w15:restartNumberingAfterBreak="0" w:abstractNumId="8">
    <w:nsid w:val="7E3B5E8C"/>
    <w:multiLevelType w:val="multilevel"/>
    <w:tmpl w:val="FD0C398A"/>
    <w:lvl w:ilvl="0">
      <w:start w:val="1"/>
      <w:numFmt w:val="decimal"/>
      <w:pStyle w:val="numitem"/>
      <w:lvlText w:val="%1."/>
      <w:lvlJc w:val="right"/>
      <w:pPr>
        <w:tabs>
          <w:tab w:pos="0" w:val="num"/>
        </w:tabs>
        <w:ind w:hanging="57" w:left="227"/>
      </w:pPr>
    </w:lvl>
    <w:lvl w:ilvl="1">
      <w:start w:val="1"/>
      <w:numFmt w:val="lowerLetter"/>
      <w:lvlText w:val="(%2)"/>
      <w:lvlJc w:val="left"/>
      <w:pPr>
        <w:tabs>
          <w:tab w:pos="510" w:val="num"/>
        </w:tabs>
        <w:ind w:hanging="283" w:left="510"/>
      </w:pPr>
    </w:lvl>
    <w:lvl w:ilvl="2">
      <w:start w:val="1"/>
      <w:numFmt w:val="lowerRoman"/>
      <w:lvlText w:val="(%3)"/>
      <w:lvlJc w:val="left"/>
      <w:pPr>
        <w:tabs>
          <w:tab w:pos="851" w:val="num"/>
        </w:tabs>
        <w:ind w:hanging="341" w:left="851"/>
      </w:pPr>
    </w:lvl>
    <w:lvl w:ilvl="3">
      <w:start w:val="1"/>
      <w:numFmt w:val="decimal"/>
      <w:lvlText w:val="(%4)"/>
      <w:lvlJc w:val="left"/>
      <w:pPr>
        <w:tabs>
          <w:tab w:pos="1191" w:val="num"/>
        </w:tabs>
        <w:ind w:hanging="340" w:left="1191"/>
      </w:pPr>
    </w:lvl>
    <w:lvl w:ilvl="4">
      <w:start w:val="1"/>
      <w:numFmt w:val="lowerLetter"/>
      <w:lvlText w:val="(%5)"/>
      <w:lvlJc w:val="left"/>
      <w:pPr>
        <w:tabs>
          <w:tab w:pos="1474" w:val="num"/>
        </w:tabs>
        <w:ind w:hanging="283" w:left="1474"/>
      </w:pPr>
    </w:lvl>
    <w:lvl w:ilvl="5">
      <w:start w:val="1"/>
      <w:numFmt w:val="lowerRoman"/>
      <w:lvlText w:val="(%6)"/>
      <w:lvlJc w:val="left"/>
      <w:pPr>
        <w:tabs>
          <w:tab w:pos="1814" w:val="num"/>
        </w:tabs>
        <w:ind w:hanging="340" w:left="1814"/>
      </w:pPr>
    </w:lvl>
    <w:lvl w:ilvl="6">
      <w:start w:val="1"/>
      <w:numFmt w:val="decimal"/>
      <w:lvlText w:val="%7."/>
      <w:lvlJc w:val="left"/>
      <w:pPr>
        <w:tabs>
          <w:tab w:pos="2155" w:val="num"/>
        </w:tabs>
        <w:ind w:hanging="341" w:left="2155"/>
      </w:pPr>
    </w:lvl>
    <w:lvl w:ilvl="7">
      <w:start w:val="1"/>
      <w:numFmt w:val="lowerLetter"/>
      <w:lvlText w:val="%8."/>
      <w:lvlJc w:val="left"/>
      <w:pPr>
        <w:tabs>
          <w:tab w:pos="2381" w:val="num"/>
        </w:tabs>
        <w:ind w:hanging="226" w:left="2381"/>
      </w:pPr>
    </w:lvl>
    <w:lvl w:ilvl="8">
      <w:start w:val="1"/>
      <w:numFmt w:val="lowerRoman"/>
      <w:lvlText w:val="%9."/>
      <w:lvlJc w:val="left"/>
      <w:pPr>
        <w:tabs>
          <w:tab w:pos="2722" w:val="num"/>
        </w:tabs>
        <w:ind w:hanging="341" w:left="272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960186688" w:numId="1">
    <w:abstractNumId w:val="0"/>
  </w:num>
  <w:num w16cid:durableId="1113095680" w:numId="2">
    <w:abstractNumId w:val="1"/>
  </w:num>
  <w:num w16cid:durableId="49814577" w:numId="3">
    <w:abstractNumId w:val="4"/>
  </w:num>
  <w:num w16cid:durableId="707340148" w:numId="4">
    <w:abstractNumId w:val="4"/>
  </w:num>
  <w:num w16cid:durableId="613367619" w:numId="5">
    <w:abstractNumId w:val="7"/>
  </w:num>
  <w:num w16cid:durableId="460072155" w:numId="6">
    <w:abstractNumId w:val="7"/>
  </w:num>
  <w:num w16cid:durableId="1824420802" w:numId="7">
    <w:abstractNumId w:val="3"/>
  </w:num>
  <w:num w16cid:durableId="679044104"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69833279" w:numId="9">
    <w:abstractNumId w:val="8"/>
  </w:num>
  <w:num w16cid:durableId="1579755437"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32173230" w:numId="11">
    <w:abstractNumId w:val="6"/>
  </w:num>
  <w:num w16cid:durableId="1821381311"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68213398" w:numId="13">
    <w:abstractNumId w:val="2"/>
  </w:num>
  <w:num w16cid:durableId="1107194490" w:numId="14">
    <w:abstractNumId w:val="2"/>
  </w:num>
  <w:num w16cid:durableId="1330714144" w:numId="15">
    <w:abstractNumId w:val="5"/>
  </w:num>
  <w:num w16cid:durableId="1919435861" w:numId="16">
    <w:abstractNumId w:val="5"/>
    <w:lvlOverride w:ilvl="0">
      <w:startOverride w:val="1"/>
    </w:lvlOverride>
    <w:lvlOverride w:ilvl="1"/>
    <w:lvlOverride w:ilvl="2"/>
    <w:lvlOverride w:ilvl="3"/>
    <w:lvlOverride w:ilvl="4"/>
    <w:lvlOverride w:ilvl="5"/>
    <w:lvlOverride w:ilvl="6"/>
    <w:lvlOverride w:ilvl="7"/>
    <w:lvlOverride w:ilv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19"/>
  <w:embedSystemFont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lang w:bidi="ar-SA" w:eastAsia="zh-CN" w:val="en-US"/>
        <w:sz w:val="20"/>
        <w:szCs w:val="20"/>
      </w:rPr>
    </w:rPrDefault>
    <w:pPrDefault>
      <w:pPr>
        <w:spacing w:after="200"/>
      </w:pPr>
    </w:pPrDefault>
  </w:docDefaults>
  <w:latentStyles w:count="376" w:defLockedState="0" w:defQFormat="0" w:defSemiHidden="0" w:defUIPriority="0" w:defUnhideWhenUsed="0">
    <w:lsdException w:name="caption" w:qFormat="1"/>
    <w:lsdException w:name="FollowedHyperlink" w:uiPriority="99"/>
    <w:lsdException w:name="Strong" w:qFormat="1" w:uiPriority="22"/>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13079"/>
    <w:pPr>
      <w:spacing w:line="240" w:lineRule="auto" w:before="0" w:after="0"/>
      <w:jc w:val="both"/>
    </w:pPr>
    <w:rPr>
      <w:rFonts w:ascii="Times New Roman" w:hAnsi="Times New Roman" w:cs="Times New Roman" w:eastAsia="Times New Roman"/>
      <w:lang w:eastAsia="en-US"/>
      <w:sz w:val="20"/>
      <w:szCs w:val="20"/>
    </w:rPr>
  </w:style>
  <w:style w:styleId="Heading10" w:type="paragraph">
    <w:name w:val="heading 1"/>
    <w:basedOn w:val="Normal"/>
    <w:next w:val="BodyText"/>
    <w:link w:val="Heading1Char"/>
    <w:uiPriority w:val="9"/>
    <w:qFormat/>
    <w:rsid w:val="00A10FD9"/>
    <w:pPr>
      <w:keepNext/>
      <w:keepLines/>
      <w:outlineLvl w:val="0"/>
      <w:spacing w:line="240" w:lineRule="auto" w:before="120" w:after="60"/>
    </w:pPr>
    <w:rPr>
      <w:rFonts w:ascii="Times New Roman" w:hAnsi="Times New Roman" w:cs="Times New Roman" w:eastAsia="Times New Roman"/>
      <w:color w:themeColor="accent1" w:themeShade="BF" w:val="0F4761"/>
      <w:sz w:val="20"/>
      <w:szCs w:val="20"/>
    </w:rPr>
  </w:style>
  <w:style w:styleId="Heading2" w:type="paragraph">
    <w:name w:val="heading 2"/>
    <w:basedOn w:val="Normal"/>
    <w:next w:val="BodyText"/>
    <w:link w:val="Heading2Char"/>
    <w:uiPriority w:val="9"/>
    <w:semiHidden/>
    <w:unhideWhenUsed/>
    <w:qFormat/>
    <w:rsid w:val="00A10FD9"/>
    <w:pPr>
      <w:keepNext/>
      <w:keepLines/>
      <w:outlineLvl w:val="1"/>
      <w:spacing w:line="240" w:lineRule="auto" w:before="120" w:after="60"/>
    </w:pPr>
    <w:rPr>
      <w:rFonts w:ascii="Times New Roman" w:hAnsi="Times New Roman" w:cs="Times New Roman" w:eastAsia="Times New Roman"/>
      <w:color w:themeColor="accent1" w:themeShade="BF" w:val="0F4761"/>
      <w:sz w:val="20"/>
      <w:szCs w:val="20"/>
    </w:rPr>
  </w:style>
  <w:style w:styleId="Heading3" w:type="paragraph">
    <w:name w:val="heading 3"/>
    <w:basedOn w:val="Normal"/>
    <w:next w:val="BodyText"/>
    <w:link w:val="Heading3Char"/>
    <w:uiPriority w:val="9"/>
    <w:semiHidden/>
    <w:unhideWhenUsed/>
    <w:qFormat/>
    <w:rsid w:val="00A10FD9"/>
    <w:pPr>
      <w:keepNext/>
      <w:keepLines/>
      <w:outlineLvl w:val="2"/>
      <w:spacing w:line="240" w:lineRule="auto" w:before="120" w:after="60"/>
    </w:pPr>
    <w:rPr>
      <w:rFonts w:ascii="Times New Roman" w:hAnsi="Times New Roman" w:cs="Times New Roman" w:eastAsia="Times New Roman"/>
      <w:color w:themeColor="accent1" w:themeShade="BF" w:val="0F4761"/>
      <w:sz w:val="20"/>
      <w:szCs w:val="20"/>
    </w:rPr>
  </w:style>
  <w:style w:styleId="Heading4" w:type="paragraph">
    <w:name w:val="heading 4"/>
    <w:basedOn w:val="Normal"/>
    <w:next w:val="BodyText"/>
    <w:link w:val="Heading4Char"/>
    <w:uiPriority w:val="9"/>
    <w:semiHidden/>
    <w:unhideWhenUsed/>
    <w:qFormat/>
    <w:rsid w:val="00A10FD9"/>
    <w:pPr>
      <w:keepNext/>
      <w:keepLines/>
      <w:outlineLvl w:val="3"/>
      <w:spacing w:line="240" w:lineRule="auto" w:before="120" w:after="60"/>
    </w:pPr>
    <w:rPr>
      <w:rFonts w:ascii="Times New Roman" w:hAnsi="Times New Roman" w:cs="Times New Roman" w:eastAsia="Times New Roman"/>
      <w:i/>
      <w:iCs/>
      <w:color w:themeColor="accent1" w:themeShade="BF" w:val="0F4761"/>
      <w:sz w:val="20"/>
      <w:szCs w:val="20"/>
    </w:rPr>
  </w:style>
  <w:style w:styleId="Heading5" w:type="paragraph">
    <w:name w:val="heading 5"/>
    <w:basedOn w:val="Normal"/>
    <w:next w:val="BodyText"/>
    <w:link w:val="Heading5Char"/>
    <w:uiPriority w:val="9"/>
    <w:semiHidden/>
    <w:unhideWhenUsed/>
    <w:qFormat/>
    <w:rsid w:val="00A10FD9"/>
    <w:pPr>
      <w:keepNext/>
      <w:keepLines/>
      <w:outlineLvl w:val="4"/>
      <w:spacing w:line="240" w:lineRule="auto" w:before="120" w:after="60"/>
    </w:pPr>
    <w:rPr>
      <w:rFonts w:ascii="Times New Roman" w:hAnsi="Times New Roman" w:cs="Times New Roman" w:eastAsia="Times New Roman"/>
      <w:color w:themeColor="accent1" w:themeShade="BF" w:val="0F4761"/>
      <w:sz w:val="20"/>
      <w:szCs w:val="20"/>
    </w:rPr>
  </w:style>
  <w:style w:styleId="Heading6" w:type="paragraph">
    <w:name w:val="heading 6"/>
    <w:basedOn w:val="Normal"/>
    <w:next w:val="BodyText"/>
    <w:link w:val="Heading6Char"/>
    <w:uiPriority w:val="9"/>
    <w:semiHidden/>
    <w:unhideWhenUsed/>
    <w:qFormat/>
    <w:rsid w:val="00A10FD9"/>
    <w:pPr>
      <w:keepNext/>
      <w:keepLines/>
      <w:outlineLvl w:val="5"/>
      <w:spacing w:line="240" w:lineRule="auto" w:before="120" w:after="60"/>
    </w:pPr>
    <w:rPr>
      <w:rFonts w:ascii="Times New Roman" w:hAnsi="Times New Roman" w:cs="Times New Roman" w:eastAsia="Times New Roman"/>
      <w:i/>
      <w:iCs/>
      <w:color w:themeColor="text1" w:themeTint="A6" w:val="595959"/>
      <w:sz w:val="20"/>
      <w:szCs w:val="20"/>
    </w:rPr>
  </w:style>
  <w:style w:styleId="Heading7" w:type="paragraph">
    <w:name w:val="heading 7"/>
    <w:basedOn w:val="Normal"/>
    <w:next w:val="BodyText"/>
    <w:link w:val="Heading7Char"/>
    <w:semiHidden/>
    <w:unhideWhenUsed/>
    <w:qFormat/>
    <w:rsid w:val="00A10FD9"/>
    <w:pPr>
      <w:keepNext/>
      <w:keepLines/>
      <w:outlineLvl w:val="6"/>
      <w:spacing w:line="240" w:lineRule="auto" w:before="120" w:after="60"/>
    </w:pPr>
    <w:rPr>
      <w:rFonts w:ascii="Times New Roman" w:hAnsi="Times New Roman" w:cs="Times New Roman" w:eastAsia="Times New Roman"/>
      <w:color w:themeColor="text1" w:themeTint="A6" w:val="595959"/>
      <w:sz w:val="20"/>
      <w:szCs w:val="20"/>
    </w:rPr>
  </w:style>
  <w:style w:styleId="Heading8" w:type="paragraph">
    <w:name w:val="heading 8"/>
    <w:basedOn w:val="Normal"/>
    <w:next w:val="BodyText"/>
    <w:link w:val="Heading8Char"/>
    <w:semiHidden/>
    <w:unhideWhenUsed/>
    <w:qFormat/>
    <w:rsid w:val="00A10FD9"/>
    <w:pPr>
      <w:keepNext/>
      <w:keepLines/>
      <w:outlineLvl w:val="7"/>
      <w:spacing w:line="240" w:lineRule="auto" w:before="120" w:after="60"/>
    </w:pPr>
    <w:rPr>
      <w:rFonts w:ascii="Times New Roman" w:hAnsi="Times New Roman" w:cs="Times New Roman" w:eastAsia="Times New Roman"/>
      <w:i/>
      <w:iCs/>
      <w:color w:themeColor="text1" w:themeTint="D8" w:val="272727"/>
      <w:sz w:val="20"/>
      <w:szCs w:val="20"/>
    </w:rPr>
  </w:style>
  <w:style w:styleId="Heading9" w:type="paragraph">
    <w:name w:val="heading 9"/>
    <w:basedOn w:val="Normal"/>
    <w:next w:val="BodyText"/>
    <w:link w:val="Heading9Char"/>
    <w:semiHidden/>
    <w:unhideWhenUsed/>
    <w:qFormat/>
    <w:rsid w:val="00A10FD9"/>
    <w:pPr>
      <w:keepNext/>
      <w:keepLines/>
      <w:outlineLvl w:val="8"/>
      <w:spacing w:line="240" w:lineRule="auto" w:before="120" w:after="60"/>
    </w:pPr>
    <w:rPr>
      <w:rFonts w:ascii="Times New Roman" w:hAnsi="Times New Roman" w:cs="Times New Roman" w:eastAsia="Times New Roman"/>
      <w:color w:themeColor="text1" w:themeTint="D8" w:val="272727"/>
      <w:sz w:val="20"/>
      <w:szCs w:val="20"/>
    </w:rPr>
  </w:style>
  <w:style w:default="1" w:styleId="DefaultParagraphFont" w:type="character">
    <w:name w:val="Default Paragraph Font"/>
    <w:uiPriority w:val="1"/>
    <w:semiHidden/>
    <w:unhideWhenUsed/>
    <w:rPr>
      <w:rFonts w:ascii="Times New Roman" w:hAnsi="Times New Roman" w:cs="Times New Roman" w:eastAsia="Times New Roman"/>
    </w:rPr>
  </w:style>
  <w:style w:default="1" w:styleId="TableNormal" w:type="table">
    <w:name w:val="Normal Table"/>
    <w:uiPriority w:val="99"/>
    <w:semiHidden/>
    <w:unhideWhenUsed/>
    <w:tblPr>
      <w:tblInd w:type="dxa" w:w="0"/>
      <w:tblCellMar>
        <w:top w:type="dxa" w:w="0"/>
        <w:left w:type="dxa" w:w="108"/>
        <w:bottom w:type="dxa" w:w="0"/>
        <w:right w:type="dxa" w:w="108"/>
      </w:tblCellMar>
    </w:tblPr>
    <w:rPr>
      <w:rFonts w:ascii="Times New Roman" w:hAnsi="Times New Roman" w:cs="Times New Roman" w:eastAsia="Times New Roman"/>
    </w:rPr>
  </w:style>
  <w:style w:default="1" w:styleId="NoList" w:type="numbering">
    <w:name w:val="No List"/>
    <w:uiPriority w:val="99"/>
    <w:semiHidden/>
    <w:unhideWhenUsed/>
    <w:rPr>
      <w:rFonts w:ascii="Times New Roman" w:hAnsi="Times New Roman" w:cs="Times New Roman" w:eastAsia="Times New Roman"/>
    </w:rPr>
  </w:style>
  <w:style w:styleId="BodyText" w:type="paragraph">
    <w:name w:val="Body Text"/>
    <w:basedOn w:val="Normal"/>
    <w:link w:val="BodyTextChar"/>
    <w:qFormat/>
    <w:pPr>
      <w:spacing w:line="240" w:lineRule="auto" w:before="0" w:after="0"/>
      <w:ind w:firstLine="425"/>
      <w:jc w:val="both"/>
    </w:pPr>
    <w:rPr>
      <w:rFonts w:ascii="Times New Roman" w:hAnsi="Times New Roman" w:cs="Times New Roman" w:eastAsia="Times New Roman"/>
      <w:sz w:val="20"/>
      <w:szCs w:val="20"/>
    </w:rPr>
  </w:style>
  <w:style w:customStyle="1" w:styleId="FirstParagraph" w:type="paragraph">
    <w:name w:val="First Paragraph"/>
    <w:basedOn w:val="BodyText"/>
    <w:next w:val="BodyText"/>
    <w:pPr>
      <w:spacing w:line="240" w:lineRule="auto" w:before="0" w:after="0"/>
      <w:ind w:firstLine="425"/>
      <w:jc w:val="both"/>
    </w:pPr>
    <w:qFormat/>
    <w:rPr>
      <w:rFonts w:ascii="Times New Roman" w:hAnsi="Times New Roman" w:cs="Times New Roman" w:eastAsia="Times New Roman"/>
      <w:sz w:val="20"/>
      <w:szCs w:val="20"/>
    </w:rPr>
  </w:style>
  <w:style w:customStyle="1" w:styleId="Compact" w:type="paragraph">
    <w:name w:val="Compact"/>
    <w:basedOn w:val="BodyText"/>
    <w:qFormat/>
    <w:pPr>
      <w:spacing w:line="240" w:lineRule="auto" w:before="0" w:after="0"/>
    </w:pPr>
    <w:rPr>
      <w:rFonts w:ascii="Times New Roman" w:hAnsi="Times New Roman" w:cs="Times New Roman" w:eastAsia="Times New Roman"/>
      <w:sz w:val="20"/>
      <w:szCs w:val="20"/>
    </w:rPr>
  </w:style>
  <w:style w:styleId="Title" w:type="paragraph">
    <w:name w:val="Title"/>
    <w:basedOn w:val="Normal"/>
    <w:next w:val="BodyText"/>
    <w:link w:val="TitleChar"/>
    <w:uiPriority w:val="10"/>
    <w:qFormat/>
    <w:rsid w:val="00A10FD9"/>
    <w:pPr>
      <w:spacing w:after="80"/>
      <w:contextualSpacing/>
      <w:jc w:val="center"/>
    </w:pPr>
    <w:rPr>
      <w:rFonts w:ascii="Times New Roman" w:hAnsi="Times New Roman" w:cs="Times New Roman" w:eastAsia="Times New Roma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0"/>
      <w:szCs w:val="20"/>
    </w:rPr>
  </w:style>
  <w:style w:customStyle="1" w:styleId="SubtitleChar" w:type="character">
    <w:name w:val="Subtitle Char"/>
    <w:basedOn w:val="DefaultParagraphFont"/>
    <w:link w:val="Subtitle"/>
    <w:uiPriority w:val="11"/>
    <w:rsid w:val="00A10FD9"/>
    <w:rPr>
      <w:rFonts w:ascii="Times New Roman" w:hAnsi="Times New Roman" w:cs="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cs="Times New Roman" w:eastAsia="Times New Roman"/>
      <w:sz w:val="20"/>
      <w:szCs w:val="20"/>
    </w:rPr>
  </w:style>
  <w:style w:styleId="Date" w:type="paragraph">
    <w:name w:val="Date"/>
    <w:basedOn w:val="Title"/>
    <w:next w:val="BodyText"/>
    <w:qFormat/>
    <w:pPr>
      <w:keepNext/>
      <w:keepLines/>
    </w:pPr>
    <w:rPr>
      <w:rFonts w:ascii="Times New Roman" w:hAnsi="Times New Roman" w:cs="Times New Roman" w:eastAsia="Times New Roman"/>
      <w:sz w:val="20"/>
      <w:szCs w:val="20"/>
    </w:rPr>
  </w:style>
  <w:style w:customStyle="1" w:styleId="AbstractTitle" w:type="paragraph">
    <w:name w:val="Abstract Title"/>
    <w:basedOn w:val="Normal"/>
    <w:next w:val="Abstract"/>
    <w:qFormat/>
    <w:pPr>
      <w:keepNext/>
      <w:keepLines/>
      <w:spacing w:before="300"/>
      <w:jc w:val="center"/>
    </w:pPr>
    <w:rPr>
      <w:rFonts w:ascii="Times New Roman" w:hAnsi="Times New Roman" w:cs="Times New Roman" w:eastAsia="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qFormat/>
    <w:rPr>
      <w:rFonts w:ascii="Times New Roman" w:hAnsi="Times New Roman" w:cs="Times New Roman" w:eastAsia="Times New Roman"/>
      <w:sz w:val="20"/>
      <w:szCs w:val="20"/>
    </w:rPr>
  </w:style>
  <w:style w:customStyle="1" w:styleId="Heading1Char" w:type="character">
    <w:name w:val="Heading 1 Char"/>
    <w:basedOn w:val="DefaultParagraphFont"/>
    <w:link w:val="Heading10"/>
    <w:uiPriority w:val="9"/>
    <w:rsid w:val="00A10FD9"/>
    <w:rPr>
      <w:rFonts w:ascii="Times New Roman" w:hAnsi="Times New Roman" w:cs="Times New Roman" w:eastAsia="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Times New Roman"/>
      <w:i/>
      <w:iCs/>
      <w:color w:themeColor="text1" w:themeTint="A6" w:val="595959"/>
    </w:rPr>
  </w:style>
  <w:style w:customStyle="1" w:styleId="Heading7Char" w:type="character">
    <w:name w:val="Heading 7 Char"/>
    <w:basedOn w:val="DefaultParagraphFont"/>
    <w:link w:val="Heading7"/>
    <w:semiHidden/>
    <w:rsid w:val="00A10FD9"/>
    <w:rPr>
      <w:rFonts w:ascii="Times New Roman" w:hAnsi="Times New Roman" w:cs="Times New Roman" w:eastAsia="Times New Roman"/>
      <w:color w:themeColor="text1" w:themeTint="A6" w:val="595959"/>
    </w:rPr>
  </w:style>
  <w:style w:customStyle="1" w:styleId="Heading8Char" w:type="character">
    <w:name w:val="Heading 8 Char"/>
    <w:basedOn w:val="DefaultParagraphFont"/>
    <w:link w:val="Heading8"/>
    <w:semiHidden/>
    <w:rsid w:val="00A10FD9"/>
    <w:rPr>
      <w:rFonts w:ascii="Times New Roman" w:hAnsi="Times New Roman" w:cs="Times New Roman" w:eastAsia="Times New Roman"/>
      <w:i/>
      <w:iCs/>
      <w:color w:themeColor="text1" w:themeTint="D8" w:val="272727"/>
    </w:rPr>
  </w:style>
  <w:style w:customStyle="1" w:styleId="Heading9Char" w:type="character">
    <w:name w:val="Heading 9 Char"/>
    <w:basedOn w:val="DefaultParagraphFont"/>
    <w:link w:val="Heading9"/>
    <w:semiHidden/>
    <w:rsid w:val="00A10FD9"/>
    <w:rPr>
      <w:rFonts w:ascii="Times New Roman" w:hAnsi="Times New Roman" w:cs="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left="480" w:right="480"/>
    </w:pPr>
    <w:rPr>
      <w:rFonts w:ascii="Times New Roman" w:hAnsi="Times New Roman" w:cs="Times New Roman" w:eastAsia="Times New Roman"/>
      <w:sz w:val="20"/>
      <w:szCs w:val="20"/>
    </w:rPr>
  </w:style>
  <w:style w:styleId="FootnoteText" w:type="paragraph">
    <w:name w:val="footnote text"/>
    <w:basedOn w:val="Normal"/>
    <w:link w:val="FootnoteTextChar"/>
    <w:unhideWhenUsed/>
    <w:qFormat/>
    <w:rPr>
      <w:rFonts w:ascii="Times New Roman" w:hAnsi="Times New Roman" w:cs="Times New Roman" w:eastAsia="Times New Roman"/>
      <w:sz w:val="20"/>
      <w:szCs w:val="20"/>
    </w:rPr>
  </w:style>
  <w:style w:customStyle="1" w:styleId="FootnoteBlockText" w:type="paragraph">
    <w:name w:val="Footnote Block Text"/>
    <w:basedOn w:val="FootnoteText"/>
    <w:next w:val="FootnoteText"/>
    <w:uiPriority w:val="9"/>
    <w:unhideWhenUsed/>
    <w:qFormat/>
    <w:pPr>
      <w:spacing w:after="100" w:before="100"/>
      <w:ind w:left="480" w:right="480"/>
    </w:pPr>
    <w:rPr>
      <w:rFonts w:ascii="Times New Roman" w:hAnsi="Times New Roman" w:cs="Times New Roman" w:eastAsia="Times New Roman"/>
      <w:sz w:val="20"/>
      <w:szCs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rPr>
      <w:rFonts w:ascii="Times New Roman" w:hAnsi="Times New Roman" w:cs="Times New Roman" w:eastAsia="Times New Roman"/>
    </w:rPr>
  </w:style>
  <w:style w:customStyle="1" w:styleId="DefinitionTerm" w:type="paragraph">
    <w:name w:val="Definition Term"/>
    <w:basedOn w:val="Normal"/>
    <w:next w:val="Definition"/>
    <w:pPr>
      <w:keepNext/>
      <w:keepLines/>
    </w:pPr>
    <w:rPr>
      <w:rFonts w:ascii="Times New Roman" w:hAnsi="Times New Roman" w:cs="Times New Roman" w:eastAsia="Times New Roman"/>
      <w:b/>
      <w:sz w:val="20"/>
      <w:szCs w:val="20"/>
    </w:rPr>
  </w:style>
  <w:style w:customStyle="1" w:styleId="Definition" w:type="paragraph">
    <w:name w:val="Definition"/>
    <w:basedOn w:val="Normal"/>
    <w:rPr>
      <w:rFonts w:ascii="Times New Roman" w:hAnsi="Times New Roman" w:cs="Times New Roman" w:eastAsia="Times New Roman"/>
      <w:sz w:val="20"/>
      <w:szCs w:val="20"/>
    </w:rPr>
  </w:style>
  <w:style w:styleId="Caption" w:type="paragraph">
    <w:name w:val="caption"/>
    <w:basedOn w:val="Normal"/>
    <w:link w:val="CaptionChar"/>
    <w:qFormat/>
    <w:pPr>
      <w:spacing w:after="120"/>
    </w:pPr>
    <w:rPr>
      <w:rFonts w:ascii="Times New Roman" w:hAnsi="Times New Roman" w:cs="Times New Roman" w:eastAsia="Times New Roman"/>
      <w:i/>
      <w:sz w:val="20"/>
      <w:szCs w:val="20"/>
    </w:rPr>
  </w:style>
  <w:style w:customStyle="1" w:styleId="TableCaption" w:type="paragraph">
    <w:name w:val="Table Caption"/>
    <w:basedOn w:val="Caption"/>
    <w:pPr>
      <w:keepNext/>
    </w:pPr>
    <w:rPr>
      <w:rFonts w:ascii="Times New Roman" w:hAnsi="Times New Roman" w:cs="Times New Roman" w:eastAsia="Times New Roman"/>
      <w:sz w:val="20"/>
      <w:szCs w:val="20"/>
    </w:rPr>
  </w:style>
  <w:style w:customStyle="1" w:styleId="ImageCaption" w:type="paragraph">
    <w:name w:val="Image Caption"/>
    <w:basedOn w:val="Caption"/>
    <w:rPr>
      <w:rFonts w:ascii="Times New Roman" w:hAnsi="Times New Roman" w:cs="Times New Roman" w:eastAsia="Times New Roman"/>
      <w:sz w:val="20"/>
      <w:szCs w:val="20"/>
    </w:rPr>
  </w:style>
  <w:style w:customStyle="1" w:styleId="Figure" w:type="paragraph">
    <w:name w:val="Figure"/>
    <w:basedOn w:val="Normal"/>
    <w:rPr>
      <w:rFonts w:ascii="Times New Roman" w:hAnsi="Times New Roman" w:cs="Times New Roman" w:eastAsia="Times New Roman"/>
      <w:sz w:val="20"/>
      <w:szCs w:val="20"/>
    </w:rPr>
  </w:style>
  <w:style w:customStyle="1" w:styleId="CaptionedFigure" w:type="paragraph">
    <w:name w:val="Captioned Figure"/>
    <w:basedOn w:val="Figure"/>
    <w:pPr>
      <w:keepNext/>
    </w:pPr>
    <w:rPr>
      <w:rFonts w:ascii="Times New Roman" w:hAnsi="Times New Roman" w:cs="Times New Roman" w:eastAsia="Times New Roman"/>
      <w:sz w:val="20"/>
      <w:szCs w:val="20"/>
    </w:rPr>
  </w:style>
  <w:style w:customStyle="1" w:styleId="CaptionChar" w:type="character">
    <w:name w:val="Caption Char"/>
    <w:basedOn w:val="DefaultParagraphFont"/>
    <w:link w:val="Caption"/>
    <w:rPr>
      <w:rFonts w:ascii="Times New Roman" w:hAnsi="Times New Roman" w:cs="Times New Roman" w:eastAsia="Times New Roman"/>
    </w:rPr>
  </w:style>
  <w:style w:customStyle="1" w:styleId="VerbatimChar" w:type="character">
    <w:name w:val="Verbatim Char"/>
    <w:basedOn w:val="CaptionChar"/>
    <w:link w:val="SourceCode"/>
    <w:rPr>
      <w:rFonts w:ascii="Times New Roman" w:hAnsi="Times New Roman" w:cs="Times New Roman" w:eastAsia="Times New Roman"/>
      <w:sz w:val="22"/>
    </w:rPr>
  </w:style>
  <w:style w:customStyle="1" w:styleId="SectionNumber" w:type="character">
    <w:name w:val="Section Number"/>
    <w:basedOn w:val="CaptionChar"/>
    <w:rPr>
      <w:rFonts w:ascii="Times New Roman" w:hAnsi="Times New Roman" w:cs="Times New Roman" w:eastAsia="Times New Roman"/>
    </w:rPr>
  </w:style>
  <w:style w:styleId="FootnoteReference" w:type="character">
    <w:name w:val="footnote reference"/>
    <w:basedOn w:val="CaptionChar"/>
    <w:rPr>
      <w:rFonts w:ascii="Times New Roman" w:hAnsi="Times New Roman" w:cs="Times New Roman" w:eastAsia="Times New Roman"/>
      <w:vertAlign w:val="superscript"/>
    </w:rPr>
  </w:style>
  <w:style w:styleId="Hyperlink" w:type="character">
    <w:name w:val="Hyperlink"/>
    <w:basedOn w:val="CaptionChar"/>
    <w:rPr>
      <w:rFonts w:ascii="Times New Roman" w:hAnsi="Times New Roman" w:cs="Times New Roman" w:eastAsia="Times New Roman"/>
      <w:color w:themeColor="accent1" w:val="156082"/>
    </w:rPr>
  </w:style>
  <w:style w:styleId="TOCHeading" w:type="paragraph">
    <w:name w:val="TOC Heading"/>
    <w:basedOn w:val="Heading10"/>
    <w:next w:val="BodyText"/>
    <w:uiPriority w:val="39"/>
    <w:unhideWhenUsed/>
    <w:qFormat/>
    <w:pPr>
      <w:spacing w:before="240" w:line="259" w:lineRule="auto"/>
      <w:outlineLvl w:val="9"/>
    </w:pPr>
    <w:rPr>
      <w:rFonts w:ascii="Times New Roman" w:hAnsi="Times New Roman" w:cs="Times New Roman" w:eastAsia="Times New Roman"/>
      <w:sz w:val="20"/>
      <w:szCs w:val="20"/>
    </w:rPr>
  </w:style>
  <w:style w:customStyle="1" w:styleId="SourceCode" w:type="paragraph">
    <w:name w:val="Source Code"/>
    <w:basedOn w:val="Normal"/>
    <w:link w:val="VerbatimChar"/>
    <w:pPr>
      <w:wordWrap w:val="0"/>
    </w:pPr>
    <w:rPr>
      <w:rFonts w:ascii="Times New Roman" w:hAnsi="Times New Roman" w:cs="Times New Roman" w:eastAsia="Times New Roman"/>
      <w:sz w:val="20"/>
      <w:szCs w:val="20"/>
    </w:rPr>
  </w:style>
  <w:style w:customStyle="1" w:styleId="KeywordTok" w:type="character">
    <w:name w:val="KeywordTok"/>
    <w:basedOn w:val="VerbatimChar"/>
    <w:rPr>
      <w:rFonts w:ascii="Times New Roman" w:hAnsi="Times New Roman" w:cs="Times New Roman" w:eastAsia="Times New Roman"/>
      <w:b/>
      <w:color w:val="007020"/>
      <w:sz w:val="22"/>
    </w:rPr>
  </w:style>
  <w:style w:customStyle="1" w:styleId="DataTypeTok" w:type="character">
    <w:name w:val="DataTypeTok"/>
    <w:basedOn w:val="VerbatimChar"/>
    <w:rPr>
      <w:rFonts w:ascii="Times New Roman" w:hAnsi="Times New Roman" w:cs="Times New Roman" w:eastAsia="Times New Roman"/>
      <w:color w:val="902000"/>
      <w:sz w:val="22"/>
    </w:rPr>
  </w:style>
  <w:style w:customStyle="1" w:styleId="DecValTok" w:type="character">
    <w:name w:val="DecValTok"/>
    <w:basedOn w:val="VerbatimChar"/>
    <w:rPr>
      <w:rFonts w:ascii="Times New Roman" w:hAnsi="Times New Roman" w:cs="Times New Roman" w:eastAsia="Times New Roman"/>
      <w:color w:val="40A070"/>
      <w:sz w:val="22"/>
    </w:rPr>
  </w:style>
  <w:style w:customStyle="1" w:styleId="BaseNTok" w:type="character">
    <w:name w:val="BaseNTok"/>
    <w:basedOn w:val="VerbatimChar"/>
    <w:rPr>
      <w:rFonts w:ascii="Times New Roman" w:hAnsi="Times New Roman" w:cs="Times New Roman" w:eastAsia="Times New Roman"/>
      <w:color w:val="40A070"/>
      <w:sz w:val="22"/>
    </w:rPr>
  </w:style>
  <w:style w:customStyle="1" w:styleId="FloatTok" w:type="character">
    <w:name w:val="FloatTok"/>
    <w:basedOn w:val="VerbatimChar"/>
    <w:rPr>
      <w:rFonts w:ascii="Times New Roman" w:hAnsi="Times New Roman" w:cs="Times New Roman" w:eastAsia="Times New Roman"/>
      <w:color w:val="40A070"/>
      <w:sz w:val="22"/>
    </w:rPr>
  </w:style>
  <w:style w:customStyle="1" w:styleId="ConstantTok" w:type="character">
    <w:name w:val="ConstantTok"/>
    <w:basedOn w:val="VerbatimChar"/>
    <w:rPr>
      <w:rFonts w:ascii="Times New Roman" w:hAnsi="Times New Roman" w:cs="Times New Roman" w:eastAsia="Times New Roman"/>
      <w:color w:val="880000"/>
      <w:sz w:val="22"/>
    </w:rPr>
  </w:style>
  <w:style w:customStyle="1" w:styleId="CharTok" w:type="character">
    <w:name w:val="CharTok"/>
    <w:basedOn w:val="VerbatimChar"/>
    <w:rPr>
      <w:rFonts w:ascii="Times New Roman" w:hAnsi="Times New Roman" w:cs="Times New Roman" w:eastAsia="Times New Roman"/>
      <w:color w:val="4070A0"/>
      <w:sz w:val="22"/>
    </w:rPr>
  </w:style>
  <w:style w:customStyle="1" w:styleId="SpecialCharTok" w:type="character">
    <w:name w:val="SpecialCharTok"/>
    <w:basedOn w:val="VerbatimChar"/>
    <w:rPr>
      <w:rFonts w:ascii="Times New Roman" w:hAnsi="Times New Roman" w:cs="Times New Roman" w:eastAsia="Times New Roman"/>
      <w:color w:val="4070A0"/>
      <w:sz w:val="22"/>
    </w:rPr>
  </w:style>
  <w:style w:customStyle="1" w:styleId="StringTok" w:type="character">
    <w:name w:val="StringTok"/>
    <w:basedOn w:val="VerbatimChar"/>
    <w:rPr>
      <w:rFonts w:ascii="Times New Roman" w:hAnsi="Times New Roman" w:cs="Times New Roman" w:eastAsia="Times New Roman"/>
      <w:color w:val="4070A0"/>
      <w:sz w:val="22"/>
    </w:rPr>
  </w:style>
  <w:style w:customStyle="1" w:styleId="VerbatimStringTok" w:type="character">
    <w:name w:val="VerbatimStringTok"/>
    <w:basedOn w:val="VerbatimChar"/>
    <w:rPr>
      <w:rFonts w:ascii="Times New Roman" w:hAnsi="Times New Roman" w:cs="Times New Roman" w:eastAsia="Times New Roman"/>
      <w:color w:val="4070A0"/>
      <w:sz w:val="22"/>
    </w:rPr>
  </w:style>
  <w:style w:customStyle="1" w:styleId="SpecialStringTok" w:type="character">
    <w:name w:val="SpecialStringTok"/>
    <w:basedOn w:val="VerbatimChar"/>
    <w:rPr>
      <w:rFonts w:ascii="Times New Roman" w:hAnsi="Times New Roman" w:cs="Times New Roman" w:eastAsia="Times New Roman"/>
      <w:color w:val="BB6688"/>
      <w:sz w:val="22"/>
    </w:rPr>
  </w:style>
  <w:style w:customStyle="1" w:styleId="ImportTok" w:type="character">
    <w:name w:val="ImportTok"/>
    <w:basedOn w:val="VerbatimChar"/>
    <w:rPr>
      <w:rFonts w:ascii="Times New Roman" w:hAnsi="Times New Roman" w:cs="Times New Roman" w:eastAsia="Times New Roman"/>
      <w:b/>
      <w:color w:val="008000"/>
      <w:sz w:val="22"/>
    </w:rPr>
  </w:style>
  <w:style w:customStyle="1" w:styleId="CommentTok" w:type="character">
    <w:name w:val="CommentTok"/>
    <w:basedOn w:val="VerbatimChar"/>
    <w:rPr>
      <w:rFonts w:ascii="Times New Roman" w:hAnsi="Times New Roman" w:cs="Times New Roman" w:eastAsia="Times New Roman"/>
      <w:i/>
      <w:color w:val="60A0B0"/>
      <w:sz w:val="22"/>
    </w:rPr>
  </w:style>
  <w:style w:customStyle="1" w:styleId="DocumentationTok" w:type="character">
    <w:name w:val="DocumentationTok"/>
    <w:basedOn w:val="VerbatimChar"/>
    <w:rPr>
      <w:rFonts w:ascii="Times New Roman" w:hAnsi="Times New Roman" w:cs="Times New Roman" w:eastAsia="Times New Roman"/>
      <w:i/>
      <w:color w:val="BA2121"/>
      <w:sz w:val="22"/>
    </w:rPr>
  </w:style>
  <w:style w:customStyle="1" w:styleId="AnnotationTok" w:type="character">
    <w:name w:val="AnnotationTok"/>
    <w:basedOn w:val="VerbatimChar"/>
    <w:rPr>
      <w:rFonts w:ascii="Times New Roman" w:hAnsi="Times New Roman" w:cs="Times New Roman" w:eastAsia="Times New Roman"/>
      <w:b/>
      <w:i/>
      <w:color w:val="60A0B0"/>
      <w:sz w:val="22"/>
    </w:rPr>
  </w:style>
  <w:style w:customStyle="1" w:styleId="CommentVarTok" w:type="character">
    <w:name w:val="CommentVarTok"/>
    <w:basedOn w:val="VerbatimChar"/>
    <w:rPr>
      <w:rFonts w:ascii="Times New Roman" w:hAnsi="Times New Roman" w:cs="Times New Roman" w:eastAsia="Times New Roman"/>
      <w:b/>
      <w:i/>
      <w:color w:val="60A0B0"/>
      <w:sz w:val="22"/>
    </w:rPr>
  </w:style>
  <w:style w:customStyle="1" w:styleId="OtherTok" w:type="character">
    <w:name w:val="OtherTok"/>
    <w:basedOn w:val="VerbatimChar"/>
    <w:rPr>
      <w:rFonts w:ascii="Times New Roman" w:hAnsi="Times New Roman" w:cs="Times New Roman" w:eastAsia="Times New Roman"/>
      <w:color w:val="007020"/>
      <w:sz w:val="22"/>
    </w:rPr>
  </w:style>
  <w:style w:customStyle="1" w:styleId="FunctionTok" w:type="character">
    <w:name w:val="FunctionTok"/>
    <w:basedOn w:val="VerbatimChar"/>
    <w:rPr>
      <w:rFonts w:ascii="Times New Roman" w:hAnsi="Times New Roman" w:cs="Times New Roman" w:eastAsia="Times New Roman"/>
      <w:color w:val="06287E"/>
      <w:sz w:val="22"/>
    </w:rPr>
  </w:style>
  <w:style w:customStyle="1" w:styleId="VariableTok" w:type="character">
    <w:name w:val="VariableTok"/>
    <w:basedOn w:val="VerbatimChar"/>
    <w:rPr>
      <w:rFonts w:ascii="Times New Roman" w:hAnsi="Times New Roman" w:cs="Times New Roman" w:eastAsia="Times New Roman"/>
      <w:color w:val="19177C"/>
      <w:sz w:val="22"/>
    </w:rPr>
  </w:style>
  <w:style w:customStyle="1" w:styleId="ControlFlowTok" w:type="character">
    <w:name w:val="ControlFlowTok"/>
    <w:basedOn w:val="VerbatimChar"/>
    <w:rPr>
      <w:rFonts w:ascii="Times New Roman" w:hAnsi="Times New Roman" w:cs="Times New Roman" w:eastAsia="Times New Roman"/>
      <w:b/>
      <w:color w:val="007020"/>
      <w:sz w:val="22"/>
    </w:rPr>
  </w:style>
  <w:style w:customStyle="1" w:styleId="OperatorTok" w:type="character">
    <w:name w:val="OperatorTok"/>
    <w:basedOn w:val="VerbatimChar"/>
    <w:rPr>
      <w:rFonts w:ascii="Times New Roman" w:hAnsi="Times New Roman" w:cs="Times New Roman" w:eastAsia="Times New Roman"/>
      <w:color w:val="666666"/>
      <w:sz w:val="22"/>
    </w:rPr>
  </w:style>
  <w:style w:customStyle="1" w:styleId="BuiltInTok" w:type="character">
    <w:name w:val="BuiltInTok"/>
    <w:basedOn w:val="VerbatimChar"/>
    <w:rPr>
      <w:rFonts w:ascii="Times New Roman" w:hAnsi="Times New Roman" w:cs="Times New Roman" w:eastAsia="Times New Roman"/>
      <w:color w:val="008000"/>
      <w:sz w:val="22"/>
    </w:rPr>
  </w:style>
  <w:style w:customStyle="1" w:styleId="ExtensionTok" w:type="character">
    <w:name w:val="ExtensionTok"/>
    <w:basedOn w:val="VerbatimChar"/>
    <w:rPr>
      <w:rFonts w:ascii="Times New Roman" w:hAnsi="Times New Roman" w:cs="Times New Roman" w:eastAsia="Times New Roman"/>
      <w:sz w:val="22"/>
    </w:rPr>
  </w:style>
  <w:style w:customStyle="1" w:styleId="PreprocessorTok" w:type="character">
    <w:name w:val="PreprocessorTok"/>
    <w:basedOn w:val="VerbatimChar"/>
    <w:rPr>
      <w:rFonts w:ascii="Times New Roman" w:hAnsi="Times New Roman" w:cs="Times New Roman" w:eastAsia="Times New Roman"/>
      <w:color w:val="BC7A00"/>
      <w:sz w:val="22"/>
    </w:rPr>
  </w:style>
  <w:style w:customStyle="1" w:styleId="AttributeTok" w:type="character">
    <w:name w:val="AttributeTok"/>
    <w:basedOn w:val="VerbatimChar"/>
    <w:rPr>
      <w:rFonts w:ascii="Times New Roman" w:hAnsi="Times New Roman" w:cs="Times New Roman" w:eastAsia="Times New Roman"/>
      <w:color w:val="7D9029"/>
      <w:sz w:val="22"/>
    </w:rPr>
  </w:style>
  <w:style w:customStyle="1" w:styleId="RegionMarkerTok" w:type="character">
    <w:name w:val="RegionMarkerTok"/>
    <w:basedOn w:val="VerbatimChar"/>
    <w:rPr>
      <w:rFonts w:ascii="Times New Roman" w:hAnsi="Times New Roman" w:cs="Times New Roman" w:eastAsia="Times New Roman"/>
      <w:sz w:val="22"/>
    </w:rPr>
  </w:style>
  <w:style w:customStyle="1" w:styleId="InformationTok" w:type="character">
    <w:name w:val="InformationTok"/>
    <w:basedOn w:val="VerbatimChar"/>
    <w:rPr>
      <w:rFonts w:ascii="Times New Roman" w:hAnsi="Times New Roman" w:cs="Times New Roman" w:eastAsia="Times New Roman"/>
      <w:b/>
      <w:i/>
      <w:color w:val="60A0B0"/>
      <w:sz w:val="22"/>
    </w:rPr>
  </w:style>
  <w:style w:customStyle="1" w:styleId="WarningTok" w:type="character">
    <w:name w:val="WarningTok"/>
    <w:basedOn w:val="VerbatimChar"/>
    <w:rPr>
      <w:rFonts w:ascii="Times New Roman" w:hAnsi="Times New Roman" w:cs="Times New Roman" w:eastAsia="Times New Roman"/>
      <w:b/>
      <w:i/>
      <w:color w:val="60A0B0"/>
      <w:sz w:val="22"/>
    </w:rPr>
  </w:style>
  <w:style w:customStyle="1" w:styleId="AlertTok" w:type="character">
    <w:name w:val="AlertTok"/>
    <w:basedOn w:val="VerbatimChar"/>
    <w:rPr>
      <w:rFonts w:ascii="Times New Roman" w:hAnsi="Times New Roman" w:cs="Times New Roman" w:eastAsia="Times New Roman"/>
      <w:b/>
      <w:color w:val="FF0000"/>
      <w:sz w:val="22"/>
    </w:rPr>
  </w:style>
  <w:style w:customStyle="1" w:styleId="ErrorTok" w:type="character">
    <w:name w:val="ErrorTok"/>
    <w:basedOn w:val="VerbatimChar"/>
    <w:rPr>
      <w:rFonts w:ascii="Times New Roman" w:hAnsi="Times New Roman" w:cs="Times New Roman" w:eastAsia="Times New Roman"/>
      <w:b/>
      <w:color w:val="FF0000"/>
      <w:sz w:val="22"/>
    </w:rPr>
  </w:style>
  <w:style w:customStyle="1" w:styleId="NormalTok" w:type="character">
    <w:name w:val="NormalTok"/>
    <w:basedOn w:val="VerbatimChar"/>
    <w:rPr>
      <w:rFonts w:ascii="Times New Roman" w:hAnsi="Times New Roman" w:cs="Times New Roman" w:eastAsia="Times New Roman"/>
      <w:sz w:val="22"/>
    </w:rPr>
  </w:style>
  <w:style w:styleId="PlaceholderText" w:type="character">
    <w:name w:val="Placeholder Text"/>
    <w:basedOn w:val="DefaultParagraphFont"/>
    <w:rsid w:val="00823A33"/>
    <w:rPr>
      <w:rFonts w:ascii="Times New Roman" w:hAnsi="Times New Roman" w:cs="Times New Roman" w:eastAsia="Times New Roman"/>
      <w:color w:val="666666"/>
    </w:rPr>
  </w:style>
  <w:style w:styleId="TableGrid" w:type="table">
    <w:name w:val="Table Grid"/>
    <w:basedOn w:val="TableNormal"/>
    <w:rsid w:val="00DB4888"/>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rPr>
      <w:rFonts w:ascii="Times New Roman" w:hAnsi="Times New Roman" w:cs="Times New Roman" w:eastAsia="Times New Roman"/>
    </w:rPr>
  </w:style>
  <w:style w:styleId="ListParagraph" w:type="paragraph">
    <w:name w:val="List Paragraph"/>
    <w:basedOn w:val="Normal"/>
    <w:rsid w:val="00C61BCE"/>
    <w:pPr>
      <w:ind w:left="720"/>
      <w:contextualSpacing/>
    </w:pPr>
    <w:rPr>
      <w:rFonts w:ascii="Times New Roman" w:hAnsi="Times New Roman" w:cs="Times New Roman" w:eastAsia="Times New Roman"/>
      <w:sz w:val="20"/>
      <w:szCs w:val="20"/>
    </w:rPr>
  </w:style>
  <w:style w:styleId="Strong" w:type="character">
    <w:name w:val="Strong"/>
    <w:basedOn w:val="DefaultParagraphFont"/>
    <w:uiPriority w:val="22"/>
    <w:qFormat/>
    <w:rsid w:val="00A509CE"/>
    <w:rPr>
      <w:rFonts w:ascii="Times New Roman" w:hAnsi="Times New Roman" w:cs="Times New Roman" w:eastAsia="Times New Roman"/>
      <w:b/>
      <w:bCs/>
    </w:rPr>
  </w:style>
  <w:style w:styleId="NormalWeb" w:type="paragraph">
    <w:name w:val="Normal (Web)"/>
    <w:basedOn w:val="Normal"/>
    <w:uiPriority w:val="99"/>
    <w:unhideWhenUsed/>
    <w:rsid w:val="004D17B6"/>
    <w:pPr>
      <w:spacing w:after="100" w:afterAutospacing="1" w:before="100" w:beforeAutospacing="1"/>
    </w:pPr>
    <w:rPr>
      <w:rFonts w:ascii="Times New Roman" w:hAnsi="Times New Roman" w:cs="Times New Roman" w:eastAsia="Times New Roman"/>
      <w:sz w:val="20"/>
      <w:szCs w:val="20"/>
    </w:rPr>
  </w:style>
  <w:style w:styleId="FollowedHyperlink" w:type="character">
    <w:name w:val="FollowedHyperlink"/>
    <w:basedOn w:val="DefaultParagraphFont"/>
    <w:uiPriority w:val="99"/>
    <w:unhideWhenUsed/>
    <w:rsid w:val="000019C6"/>
    <w:rPr>
      <w:rFonts w:ascii="Times New Roman" w:hAnsi="Times New Roman" w:cs="Times New Roman" w:eastAsia="Times New Roman"/>
      <w:color w:themeColor="followedHyperlink" w:val="96607D"/>
      <w:u w:val="single"/>
    </w:rPr>
  </w:style>
  <w:style w:customStyle="1" w:styleId="msonormal0" w:type="paragraph">
    <w:name w:val="msonormal"/>
    <w:basedOn w:val="Normal"/>
    <w:rsid w:val="000019C6"/>
    <w:pPr>
      <w:spacing w:after="100" w:afterAutospacing="1" w:before="100" w:beforeAutospacing="1"/>
    </w:pPr>
    <w:rPr>
      <w:rFonts w:ascii="Times New Roman" w:hAnsi="Times New Roman" w:cs="Times New Roman" w:eastAsia="Times New Roman"/>
      <w:sz w:val="20"/>
      <w:szCs w:val="20"/>
    </w:rPr>
  </w:style>
  <w:style w:customStyle="1" w:styleId="FootnoteTextChar" w:type="character">
    <w:name w:val="Footnote Text Char"/>
    <w:basedOn w:val="DefaultParagraphFont"/>
    <w:link w:val="FootnoteText"/>
    <w:rsid w:val="000019C6"/>
    <w:rPr>
      <w:rFonts w:ascii="Times New Roman" w:hAnsi="Times New Roman" w:cs="Times New Roman" w:eastAsia="Times New Roman"/>
      <w:lang w:eastAsia="en-US"/>
    </w:rPr>
  </w:style>
  <w:style w:styleId="Header" w:type="paragraph">
    <w:name w:val="header"/>
    <w:basedOn w:val="Normal"/>
    <w:link w:val="HeaderChar"/>
    <w:unhideWhenUsed/>
    <w:rsid w:val="000019C6"/>
    <w:pPr>
      <w:tabs>
        <w:tab w:pos="4536" w:val="center"/>
        <w:tab w:pos="9072" w:val="right"/>
      </w:tabs>
      <w:overflowPunct w:val="0"/>
      <w:autoSpaceDE w:val="0"/>
      <w:spacing w:line="240" w:lineRule="atLeast"/>
      <w:jc w:val="both"/>
    </w:pPr>
    <w:rPr>
      <w:rFonts w:ascii="Times New Roman" w:hAnsi="Times New Roman" w:cs="Times New Roman" w:eastAsia="Times New Roman"/>
      <w:lang w:eastAsia="zh-CN"/>
      <w:sz w:val="20"/>
      <w:szCs w:val="20"/>
    </w:rPr>
  </w:style>
  <w:style w:customStyle="1" w:styleId="HeaderChar" w:type="character">
    <w:name w:val="Header Char"/>
    <w:basedOn w:val="DefaultParagraphFont"/>
    <w:link w:val="Header"/>
    <w:rsid w:val="000019C6"/>
    <w:rPr>
      <w:rFonts w:ascii="Times New Roman" w:hAnsi="Times New Roman" w:cs="Times New Roman" w:eastAsia="Times New Roman"/>
      <w:sz w:val="18"/>
      <w:szCs w:val="20"/>
    </w:rPr>
  </w:style>
  <w:style w:styleId="Footer" w:type="paragraph">
    <w:name w:val="footer"/>
    <w:basedOn w:val="Normal"/>
    <w:link w:val="FooterChar"/>
    <w:unhideWhenUsed/>
    <w:rsid w:val="000019C6"/>
    <w:pPr>
      <w:tabs>
        <w:tab w:pos="4536" w:val="center"/>
        <w:tab w:pos="9072" w:val="right"/>
      </w:tabs>
      <w:overflowPunct w:val="0"/>
      <w:autoSpaceDE w:val="0"/>
      <w:spacing w:line="240" w:lineRule="atLeast"/>
      <w:ind w:firstLine="227"/>
      <w:jc w:val="both"/>
    </w:pPr>
    <w:rPr>
      <w:rFonts w:ascii="Times New Roman" w:hAnsi="Times New Roman" w:cs="Times New Roman" w:eastAsia="Times New Roman"/>
      <w:lang w:eastAsia="zh-CN"/>
      <w:sz w:val="20"/>
      <w:szCs w:val="20"/>
    </w:rPr>
  </w:style>
  <w:style w:customStyle="1" w:styleId="FooterChar" w:type="character">
    <w:name w:val="Footer Char"/>
    <w:basedOn w:val="DefaultParagraphFont"/>
    <w:link w:val="Footer"/>
    <w:rsid w:val="000019C6"/>
    <w:rPr>
      <w:rFonts w:ascii="Times New Roman" w:hAnsi="Times New Roman" w:cs="Times New Roman" w:eastAsia="Times New Roman"/>
      <w:sz w:val="20"/>
      <w:szCs w:val="20"/>
    </w:rPr>
  </w:style>
  <w:style w:customStyle="1" w:styleId="BodyTextChar" w:type="character">
    <w:name w:val="Body Text Char"/>
    <w:basedOn w:val="DefaultParagraphFont"/>
    <w:link w:val="BodyText"/>
    <w:rsid w:val="000019C6"/>
    <w:rPr>
      <w:rFonts w:ascii="Times New Roman" w:hAnsi="Times New Roman" w:cs="Times New Roman" w:eastAsia="Times New Roman"/>
      <w:lang w:eastAsia="en-US"/>
    </w:rPr>
  </w:style>
  <w:style w:styleId="List" w:type="paragraph">
    <w:name w:val="List"/>
    <w:basedOn w:val="BodyText"/>
    <w:unhideWhenUsed/>
    <w:rsid w:val="000019C6"/>
    <w:pPr>
      <w:overflowPunct w:val="0"/>
      <w:autoSpaceDE w:val="0"/>
      <w:spacing w:after="140" w:before="0" w:line="276" w:lineRule="auto"/>
      <w:ind w:firstLine="227"/>
      <w:jc w:val="both"/>
    </w:pPr>
    <w:rPr>
      <w:rFonts w:ascii="Times New Roman" w:hAnsi="Times New Roman" w:cs="Times New Roman" w:eastAsia="Times New Roman"/>
      <w:lang w:eastAsia="zh-CN"/>
      <w:sz w:val="20"/>
      <w:szCs w:val="20"/>
    </w:rPr>
  </w:style>
  <w:style w:customStyle="1" w:styleId="author0" w:type="paragraph">
    <w:name w:val="author"/>
    <w:basedOn w:val="Normal"/>
    <w:next w:val="address"/>
    <w:rsid w:val="000019C6"/>
    <w:pPr>
      <w:suppressAutoHyphens/>
      <w:overflowPunct w:val="0"/>
      <w:autoSpaceDE w:val="0"/>
      <w:spacing w:after="200" w:line="240" w:lineRule="atLeast"/>
      <w:jc w:val="center"/>
    </w:pPr>
    <w:rPr>
      <w:rFonts w:ascii="Times New Roman" w:hAnsi="Times New Roman" w:cs="Times New Roman" w:eastAsia="Times New Roman"/>
      <w:lang w:eastAsia="zh-CN"/>
      <w:sz w:val="20"/>
      <w:szCs w:val="20"/>
    </w:rPr>
  </w:style>
  <w:style w:customStyle="1" w:styleId="Heading" w:type="paragraph">
    <w:name w:val="Heading"/>
    <w:basedOn w:val="Normal"/>
    <w:next w:val="BodyText"/>
    <w:rsid w:val="000019C6"/>
    <w:pPr>
      <w:keepNext/>
      <w:overflowPunct w:val="0"/>
      <w:autoSpaceDE w:val="0"/>
      <w:spacing w:line="240" w:lineRule="auto" w:before="120" w:after="60"/>
    </w:pPr>
    <w:rPr>
      <w:rFonts w:ascii="Times New Roman" w:hAnsi="Times New Roman" w:cs="Times New Roman" w:eastAsia="Times New Roman"/>
      <w:lang w:eastAsia="zh-CN"/>
      <w:sz w:val="20"/>
      <w:szCs w:val="20"/>
    </w:rPr>
  </w:style>
  <w:style w:customStyle="1" w:styleId="Index" w:type="paragraph">
    <w:name w:val="Index"/>
    <w:basedOn w:val="Normal"/>
    <w:rsid w:val="000019C6"/>
    <w:pPr>
      <w:suppressLineNumbers/>
      <w:overflowPunct w:val="0"/>
      <w:autoSpaceDE w:val="0"/>
      <w:spacing w:line="240" w:lineRule="atLeast"/>
      <w:ind w:firstLine="227"/>
      <w:jc w:val="both"/>
    </w:pPr>
    <w:rPr>
      <w:rFonts w:ascii="Times New Roman" w:hAnsi="Times New Roman" w:cs="Times New Roman" w:eastAsia="Times New Roman"/>
      <w:lang w:eastAsia="zh-CN"/>
      <w:sz w:val="20"/>
      <w:szCs w:val="20"/>
    </w:rPr>
  </w:style>
  <w:style w:customStyle="1" w:styleId="abstract0" w:type="paragraph">
    <w:name w:val="abstract"/>
    <w:basedOn w:val="Normal"/>
    <w:rsid w:val="000019C6"/>
    <w:pPr>
      <w:overflowPunct w:val="0"/>
      <w:autoSpaceDE w:val="0"/>
      <w:contextualSpacing/>
      <w:spacing w:line="240" w:lineRule="auto" w:before="0" w:after="0"/>
      <w:jc w:val="both"/>
    </w:pPr>
    <w:rPr>
      <w:rFonts w:ascii="Times New Roman" w:hAnsi="Times New Roman" w:cs="Times New Roman" w:eastAsia="Times New Roman"/>
      <w:lang w:eastAsia="zh-CN"/>
      <w:sz w:val="20"/>
      <w:szCs w:val="20"/>
    </w:rPr>
  </w:style>
  <w:style w:customStyle="1" w:styleId="address" w:type="paragraph">
    <w:name w:val="address"/>
    <w:basedOn w:val="Normal"/>
    <w:rsid w:val="000019C6"/>
    <w:pPr>
      <w:suppressAutoHyphens/>
      <w:overflowPunct w:val="0"/>
      <w:autoSpaceDE w:val="0"/>
      <w:spacing w:after="200" w:line="220" w:lineRule="atLeast"/>
      <w:contextualSpacing/>
      <w:jc w:val="center"/>
    </w:pPr>
    <w:rPr>
      <w:rFonts w:ascii="Times New Roman" w:hAnsi="Times New Roman" w:cs="Times New Roman" w:eastAsia="Times New Roman"/>
      <w:lang w:eastAsia="zh-CN"/>
      <w:sz w:val="20"/>
      <w:szCs w:val="20"/>
    </w:rPr>
  </w:style>
  <w:style w:customStyle="1" w:styleId="bulletitem" w:type="paragraph">
    <w:name w:val="bulletitem"/>
    <w:basedOn w:val="Normal"/>
    <w:rsid w:val="000019C6"/>
    <w:pPr>
      <w:numPr>
        <w:numId w:val="3"/>
      </w:numPr>
      <w:overflowPunct w:val="0"/>
      <w:autoSpaceDE w:val="0"/>
      <w:spacing w:after="160" w:before="160" w:line="240" w:lineRule="atLeast"/>
      <w:contextualSpacing/>
      <w:jc w:val="both"/>
    </w:pPr>
    <w:rPr>
      <w:rFonts w:ascii="Times New Roman" w:hAnsi="Times New Roman" w:cs="Times New Roman" w:eastAsia="Times New Roman"/>
      <w:lang w:eastAsia="zh-CN"/>
      <w:sz w:val="20"/>
      <w:szCs w:val="20"/>
    </w:rPr>
  </w:style>
  <w:style w:customStyle="1" w:styleId="dashitem" w:type="paragraph">
    <w:name w:val="dashitem"/>
    <w:basedOn w:val="Normal"/>
    <w:rsid w:val="000019C6"/>
    <w:pPr>
      <w:numPr>
        <w:numId w:val="5"/>
      </w:numPr>
      <w:overflowPunct w:val="0"/>
      <w:autoSpaceDE w:val="0"/>
      <w:spacing w:after="160" w:before="160" w:line="240" w:lineRule="atLeast"/>
      <w:contextualSpacing/>
      <w:jc w:val="both"/>
    </w:pPr>
    <w:rPr>
      <w:rFonts w:ascii="Times New Roman" w:hAnsi="Times New Roman" w:cs="Times New Roman" w:eastAsia="Times New Roman"/>
      <w:lang w:eastAsia="zh-CN"/>
      <w:sz w:val="20"/>
      <w:szCs w:val="20"/>
    </w:rPr>
  </w:style>
  <w:style w:customStyle="1" w:styleId="equation" w:type="paragraph">
    <w:name w:val="equation"/>
    <w:basedOn w:val="Normal"/>
    <w:next w:val="Normal"/>
    <w:rsid w:val="000019C6"/>
    <w:pPr>
      <w:tabs>
        <w:tab w:pos="3289" w:val="center"/>
        <w:tab w:pos="6917" w:val="right"/>
      </w:tabs>
      <w:overflowPunct w:val="0"/>
      <w:autoSpaceDE w:val="0"/>
      <w:spacing w:after="160" w:before="160" w:line="240" w:lineRule="atLeast"/>
      <w:jc w:val="both"/>
    </w:pPr>
    <w:rPr>
      <w:rFonts w:ascii="Times New Roman" w:hAnsi="Times New Roman" w:cs="Times New Roman" w:eastAsia="Times New Roman"/>
      <w:lang w:eastAsia="zh-CN"/>
      <w:sz w:val="20"/>
      <w:szCs w:val="20"/>
    </w:rPr>
  </w:style>
  <w:style w:customStyle="1" w:styleId="figurecaption" w:type="paragraph">
    <w:name w:val="figurecaption"/>
    <w:basedOn w:val="Normal"/>
    <w:next w:val="Normal"/>
    <w:rsid w:val="000019C6"/>
    <w:pPr>
      <w:keepLines/>
      <w:overflowPunct w:val="0"/>
      <w:autoSpaceDE w:val="0"/>
      <w:spacing w:after="240" w:before="120" w:line="220" w:lineRule="atLeast"/>
      <w:jc w:val="center"/>
    </w:pPr>
    <w:rPr>
      <w:rFonts w:ascii="Times New Roman" w:hAnsi="Times New Roman" w:cs="Times New Roman" w:eastAsia="Times New Roman"/>
      <w:lang w:eastAsia="zh-CN"/>
      <w:sz w:val="20"/>
      <w:szCs w:val="20"/>
    </w:rPr>
  </w:style>
  <w:style w:customStyle="1" w:styleId="p1a" w:type="paragraph">
    <w:name w:val="p1a"/>
    <w:basedOn w:val="Normal"/>
    <w:rsid w:val="000019C6"/>
    <w:pPr>
      <w:overflowPunct w:val="0"/>
      <w:autoSpaceDE w:val="0"/>
      <w:spacing w:line="240" w:lineRule="auto" w:before="0" w:after="0"/>
      <w:ind w:firstLine="425"/>
      <w:jc w:val="both"/>
    </w:pPr>
    <w:rPr>
      <w:rFonts w:ascii="Times New Roman" w:hAnsi="Times New Roman" w:cs="Times New Roman" w:eastAsia="Times New Roman"/>
      <w:lang w:eastAsia="zh-CN"/>
      <w:sz w:val="20"/>
      <w:szCs w:val="20"/>
    </w:rPr>
  </w:style>
  <w:style w:customStyle="1" w:styleId="heading1" w:type="paragraph">
    <w:name w:val="heading1"/>
    <w:basedOn w:val="Heading10"/>
    <w:next w:val="Normal"/>
    <w:rsid w:val="000019C6"/>
    <w:pPr>
      <w:numPr>
        <w:numId w:val="7"/>
      </w:numPr>
      <w:tabs>
        <w:tab w:pos="567" w:val="left"/>
      </w:tabs>
      <w:suppressAutoHyphens/>
      <w:overflowPunct w:val="0"/>
      <w:autoSpaceDE w:val="0"/>
      <w:outlineLvl w:val="9"/>
      <w:spacing w:line="240" w:lineRule="auto" w:before="120" w:after="60"/>
    </w:pPr>
    <w:rPr>
      <w:rFonts w:ascii="Times New Roman" w:hAnsi="Times New Roman" w:cs="Times New Roman" w:eastAsia="Times New Roman"/>
      <w:b/>
      <w:bCs/>
      <w:color w:val="auto"/>
      <w:lang w:eastAsia="zh-CN"/>
      <w:sz w:val="20"/>
      <w:szCs w:val="20"/>
    </w:rPr>
  </w:style>
  <w:style w:customStyle="1" w:styleId="heading20" w:type="paragraph">
    <w:name w:val="heading2"/>
    <w:basedOn w:val="Heading2"/>
    <w:next w:val="Normal"/>
    <w:rsid w:val="000019C6"/>
    <w:pPr>
      <w:tabs>
        <w:tab w:pos="567" w:val="num"/>
      </w:tabs>
      <w:suppressAutoHyphens/>
      <w:overflowPunct w:val="0"/>
      <w:autoSpaceDE w:val="0"/>
      <w:outlineLvl w:val="9"/>
      <w:spacing w:line="240" w:lineRule="auto" w:before="120" w:after="60"/>
    </w:pPr>
    <w:rPr>
      <w:rFonts w:ascii="Times New Roman" w:hAnsi="Times New Roman" w:cs="Times New Roman" w:eastAsia="Times New Roman"/>
      <w:b/>
      <w:bCs/>
      <w:iCs/>
      <w:color w:val="auto"/>
      <w:lang w:eastAsia="zh-CN"/>
      <w:sz w:val="20"/>
      <w:szCs w:val="20"/>
    </w:rPr>
  </w:style>
  <w:style w:customStyle="1" w:styleId="image" w:type="paragraph">
    <w:name w:val="image"/>
    <w:basedOn w:val="Normal"/>
    <w:next w:val="Normal"/>
    <w:rsid w:val="000019C6"/>
    <w:pPr>
      <w:overflowPunct w:val="0"/>
      <w:autoSpaceDE w:val="0"/>
      <w:spacing w:after="120" w:before="240" w:line="240" w:lineRule="atLeast"/>
      <w:jc w:val="center"/>
    </w:pPr>
    <w:rPr>
      <w:rFonts w:ascii="Times New Roman" w:hAnsi="Times New Roman" w:cs="Times New Roman" w:eastAsia="Times New Roman"/>
      <w:lang w:eastAsia="zh-CN"/>
      <w:sz w:val="20"/>
      <w:szCs w:val="20"/>
    </w:rPr>
  </w:style>
  <w:style w:customStyle="1" w:styleId="keywords" w:type="paragraph">
    <w:name w:val="keywords"/>
    <w:basedOn w:val="abstract0"/>
    <w:next w:val="heading1"/>
    <w:rsid w:val="000019C6"/>
    <w:pPr>
      <w:contextualSpacing w:val="0"/>
      <w:spacing w:line="240" w:lineRule="auto" w:before="0" w:after="0"/>
      <w:jc w:val="both"/>
    </w:pPr>
    <w:rPr>
      <w:rFonts w:ascii="Times New Roman" w:hAnsi="Times New Roman" w:cs="Times New Roman" w:eastAsia="Times New Roman"/>
      <w:sz w:val="20"/>
      <w:szCs w:val="20"/>
    </w:rPr>
  </w:style>
  <w:style w:customStyle="1" w:styleId="numitem" w:type="paragraph">
    <w:name w:val="numitem"/>
    <w:basedOn w:val="Normal"/>
    <w:rsid w:val="000019C6"/>
    <w:pPr>
      <w:numPr>
        <w:numId w:val="9"/>
      </w:numPr>
      <w:overflowPunct w:val="0"/>
      <w:autoSpaceDE w:val="0"/>
      <w:spacing w:after="160" w:before="160" w:line="240" w:lineRule="atLeast"/>
      <w:contextualSpacing/>
      <w:jc w:val="both"/>
    </w:pPr>
    <w:rPr>
      <w:rFonts w:ascii="Times New Roman" w:hAnsi="Times New Roman" w:cs="Times New Roman" w:eastAsia="Times New Roman"/>
      <w:lang w:eastAsia="zh-CN"/>
      <w:sz w:val="20"/>
      <w:szCs w:val="20"/>
    </w:rPr>
  </w:style>
  <w:style w:customStyle="1" w:styleId="programcode" w:type="paragraph">
    <w:name w:val="programcode"/>
    <w:basedOn w:val="Normal"/>
    <w:rsid w:val="000019C6"/>
    <w:pPr>
      <w:tabs>
        <w:tab w:pos="227" w:val="left"/>
        <w:tab w:pos="454" w:val="left"/>
        <w:tab w:pos="680" w:val="left"/>
        <w:tab w:pos="907" w:val="left"/>
        <w:tab w:pos="1134" w:val="left"/>
        <w:tab w:pos="1361" w:val="left"/>
        <w:tab w:pos="1588" w:val="left"/>
        <w:tab w:pos="1814" w:val="left"/>
        <w:tab w:pos="2041" w:val="left"/>
        <w:tab w:pos="2268" w:val="left"/>
        <w:tab w:pos="2495" w:val="left"/>
        <w:tab w:pos="2722" w:val="left"/>
        <w:tab w:pos="2948" w:val="left"/>
        <w:tab w:pos="3175" w:val="left"/>
        <w:tab w:pos="3402" w:val="left"/>
        <w:tab w:pos="3629" w:val="left"/>
        <w:tab w:pos="3856" w:val="left"/>
        <w:tab w:pos="4082" w:val="left"/>
        <w:tab w:pos="4309" w:val="left"/>
        <w:tab w:pos="4536" w:val="left"/>
        <w:tab w:pos="4763" w:val="left"/>
        <w:tab w:pos="4990" w:val="left"/>
        <w:tab w:pos="5216" w:val="left"/>
        <w:tab w:pos="5443" w:val="left"/>
        <w:tab w:pos="5670" w:val="left"/>
        <w:tab w:pos="5897" w:val="left"/>
        <w:tab w:pos="6124" w:val="left"/>
        <w:tab w:pos="6350" w:val="left"/>
        <w:tab w:pos="6577" w:val="left"/>
      </w:tabs>
      <w:overflowPunct w:val="0"/>
      <w:autoSpaceDE w:val="0"/>
      <w:spacing w:after="160" w:before="160" w:line="240" w:lineRule="atLeast"/>
      <w:contextualSpacing/>
    </w:pPr>
    <w:rPr>
      <w:rFonts w:ascii="Times New Roman" w:hAnsi="Times New Roman" w:cs="Times New Roman" w:eastAsia="Times New Roman"/>
      <w:lang w:eastAsia="zh-CN"/>
      <w:sz w:val="20"/>
      <w:szCs w:val="20"/>
    </w:rPr>
  </w:style>
  <w:style w:customStyle="1" w:styleId="referenceitem" w:type="paragraph">
    <w:name w:val="referenceitem"/>
    <w:basedOn w:val="Normal"/>
    <w:rsid w:val="000019C6"/>
    <w:pPr>
      <w:numPr>
        <w:numId w:val="11"/>
      </w:numPr>
      <w:tabs>
        <w:tab w:pos="341" w:val="left"/>
      </w:tabs>
      <w:overflowPunct w:val="0"/>
      <w:autoSpaceDE w:val="0"/>
      <w:spacing w:line="240" w:lineRule="auto" w:before="0" w:after="0"/>
      <w:jc w:val="both"/>
    </w:pPr>
    <w:rPr>
      <w:rFonts w:ascii="Times New Roman" w:hAnsi="Times New Roman" w:cs="Times New Roman" w:eastAsia="Times New Roman"/>
      <w:lang w:eastAsia="zh-CN"/>
      <w:sz w:val="20"/>
      <w:szCs w:val="20"/>
    </w:rPr>
  </w:style>
  <w:style w:customStyle="1" w:styleId="runninghead-left" w:type="paragraph">
    <w:name w:val="running head - left"/>
    <w:basedOn w:val="Normal"/>
    <w:rsid w:val="000019C6"/>
    <w:pPr>
      <w:overflowPunct w:val="0"/>
      <w:autoSpaceDE w:val="0"/>
      <w:spacing w:line="240" w:lineRule="atLeast"/>
    </w:pPr>
    <w:rPr>
      <w:rFonts w:ascii="Times New Roman" w:hAnsi="Times New Roman" w:cs="Times New Roman" w:eastAsia="Times New Roman"/>
      <w:lang w:eastAsia="zh-CN"/>
      <w:sz w:val="20"/>
      <w:szCs w:val="20"/>
    </w:rPr>
  </w:style>
  <w:style w:customStyle="1" w:styleId="runninghead-right" w:type="paragraph">
    <w:name w:val="running head - right"/>
    <w:basedOn w:val="Normal"/>
    <w:rsid w:val="000019C6"/>
    <w:pPr>
      <w:overflowPunct w:val="0"/>
      <w:autoSpaceDE w:val="0"/>
      <w:spacing w:line="240" w:lineRule="atLeast"/>
      <w:jc w:val="right"/>
    </w:pPr>
    <w:rPr>
      <w:rFonts w:ascii="Times New Roman" w:hAnsi="Times New Roman" w:cs="Times New Roman" w:eastAsia="Times New Roman"/>
      <w:bCs/>
      <w:lang w:eastAsia="zh-CN"/>
      <w:sz w:val="20"/>
      <w:szCs w:val="20"/>
    </w:rPr>
  </w:style>
  <w:style w:customStyle="1" w:styleId="tablecaption0" w:type="paragraph">
    <w:name w:val="tablecaption"/>
    <w:basedOn w:val="Normal"/>
    <w:next w:val="Normal"/>
    <w:rsid w:val="000019C6"/>
    <w:pPr>
      <w:keepNext/>
      <w:keepLines/>
      <w:overflowPunct w:val="0"/>
      <w:autoSpaceDE w:val="0"/>
      <w:spacing w:after="120" w:before="240" w:line="220" w:lineRule="atLeast"/>
      <w:jc w:val="center"/>
    </w:pPr>
    <w:rPr>
      <w:rFonts w:ascii="Times New Roman" w:hAnsi="Times New Roman" w:cs="Times New Roman" w:eastAsia="Times New Roman"/>
      <w:lang w:eastAsia="zh-CN" w:val="de-DE"/>
      <w:sz w:val="20"/>
      <w:szCs w:val="20"/>
    </w:rPr>
  </w:style>
  <w:style w:customStyle="1" w:styleId="HeaderandFooter" w:type="paragraph">
    <w:name w:val="Header and Footer"/>
    <w:basedOn w:val="Normal"/>
    <w:rsid w:val="000019C6"/>
    <w:pPr>
      <w:suppressLineNumbers/>
      <w:tabs>
        <w:tab w:pos="4986" w:val="center"/>
        <w:tab w:pos="9972" w:val="right"/>
      </w:tabs>
      <w:overflowPunct w:val="0"/>
      <w:autoSpaceDE w:val="0"/>
      <w:spacing w:line="240" w:lineRule="atLeast"/>
      <w:ind w:firstLine="227"/>
      <w:jc w:val="both"/>
    </w:pPr>
    <w:rPr>
      <w:rFonts w:ascii="Times New Roman" w:hAnsi="Times New Roman" w:cs="Times New Roman" w:eastAsia="Times New Roman"/>
      <w:lang w:eastAsia="zh-CN"/>
      <w:sz w:val="20"/>
      <w:szCs w:val="20"/>
    </w:rPr>
  </w:style>
  <w:style w:customStyle="1" w:styleId="Aufzhlungszeichen" w:type="paragraph">
    <w:name w:val="Aufzählungszeichen"/>
    <w:basedOn w:val="Normal"/>
    <w:rsid w:val="000019C6"/>
    <w:pPr>
      <w:numPr>
        <w:numId w:val="13"/>
      </w:numPr>
      <w:overflowPunct w:val="0"/>
      <w:autoSpaceDE w:val="0"/>
      <w:spacing w:after="120" w:before="120" w:line="240" w:lineRule="atLeast"/>
      <w:contextualSpacing/>
      <w:jc w:val="both"/>
    </w:pPr>
    <w:rPr>
      <w:rFonts w:ascii="Times New Roman" w:hAnsi="Times New Roman" w:cs="Times New Roman" w:eastAsia="Times New Roman"/>
      <w:lang w:eastAsia="zh-CN"/>
      <w:sz w:val="20"/>
      <w:szCs w:val="20"/>
    </w:rPr>
  </w:style>
  <w:style w:customStyle="1" w:styleId="Listennummer" w:type="paragraph">
    <w:name w:val="Listennummer"/>
    <w:basedOn w:val="Normal"/>
    <w:rsid w:val="000019C6"/>
    <w:pPr>
      <w:numPr>
        <w:numId w:val="15"/>
      </w:numPr>
      <w:overflowPunct w:val="0"/>
      <w:autoSpaceDE w:val="0"/>
      <w:spacing w:line="240" w:lineRule="atLeast"/>
      <w:jc w:val="both"/>
    </w:pPr>
    <w:rPr>
      <w:rFonts w:ascii="Times New Roman" w:hAnsi="Times New Roman" w:cs="Times New Roman" w:eastAsia="Times New Roman"/>
      <w:lang w:eastAsia="zh-CN"/>
      <w:sz w:val="20"/>
      <w:szCs w:val="20"/>
    </w:rPr>
  </w:style>
  <w:style w:customStyle="1" w:styleId="WW8Num1z0" w:type="character">
    <w:name w:val="WW8Num1z0"/>
    <w:rsid w:val="000019C6"/>
    <w:rPr>
      <w:rFonts w:ascii="Times New Roman" w:hAnsi="Times New Roman" w:cs="Times New Roman" w:eastAsia="Times New Roman"/>
    </w:rPr>
  </w:style>
  <w:style w:customStyle="1" w:styleId="WW8Num2z0" w:type="character">
    <w:name w:val="WW8Num2z0"/>
    <w:rsid w:val="000019C6"/>
    <w:rPr>
      <w:rFonts w:ascii="Times New Roman" w:hAnsi="Times New Roman" w:cs="Times New Roman" w:eastAsia="Times New Roman"/>
    </w:rPr>
  </w:style>
  <w:style w:customStyle="1" w:styleId="WW8Num3z0" w:type="character">
    <w:name w:val="WW8Num3z0"/>
    <w:rsid w:val="000019C6"/>
    <w:rPr>
      <w:rFonts w:ascii="Times New Roman" w:hAnsi="Times New Roman" w:cs="Times New Roman" w:eastAsia="Times New Roman"/>
    </w:rPr>
  </w:style>
  <w:style w:customStyle="1" w:styleId="WW8Num4z0" w:type="character">
    <w:name w:val="WW8Num4z0"/>
    <w:rsid w:val="000019C6"/>
    <w:rPr>
      <w:rFonts w:ascii="Times New Roman" w:hAnsi="Times New Roman" w:cs="Times New Roman" w:eastAsia="Times New Roman"/>
    </w:rPr>
  </w:style>
  <w:style w:customStyle="1" w:styleId="WW8Num5z0" w:type="character">
    <w:name w:val="WW8Num5z0"/>
    <w:rsid w:val="000019C6"/>
    <w:rPr>
      <w:rFonts w:ascii="Times New Roman" w:hAnsi="Times New Roman" w:cs="Times New Roman" w:eastAsia="Times New Roman"/>
    </w:rPr>
  </w:style>
  <w:style w:customStyle="1" w:styleId="WW8Num6z0" w:type="character">
    <w:name w:val="WW8Num6z0"/>
    <w:rsid w:val="000019C6"/>
    <w:rPr>
      <w:rFonts w:ascii="Times New Roman" w:hAnsi="Times New Roman" w:cs="Times New Roman" w:eastAsia="Times New Roman"/>
    </w:rPr>
  </w:style>
  <w:style w:customStyle="1" w:styleId="WW8Num7z0" w:type="character">
    <w:name w:val="WW8Num7z0"/>
    <w:rsid w:val="000019C6"/>
    <w:rPr>
      <w:rFonts w:ascii="Times New Roman" w:hAnsi="Times New Roman" w:cs="Times New Roman" w:eastAsia="Times New Roman"/>
    </w:rPr>
  </w:style>
  <w:style w:customStyle="1" w:styleId="WW8Num8z0" w:type="character">
    <w:name w:val="WW8Num8z0"/>
    <w:rsid w:val="000019C6"/>
    <w:rPr>
      <w:rFonts w:ascii="Times New Roman" w:hAnsi="Times New Roman" w:cs="Times New Roman" w:eastAsia="Times New Roman"/>
    </w:rPr>
  </w:style>
  <w:style w:customStyle="1" w:styleId="WW8Num8z1" w:type="character">
    <w:name w:val="WW8Num8z1"/>
    <w:rsid w:val="000019C6"/>
    <w:rPr>
      <w:rFonts w:ascii="Times New Roman" w:hAnsi="Times New Roman" w:cs="Times New Roman" w:eastAsia="Times New Roman"/>
    </w:rPr>
  </w:style>
  <w:style w:customStyle="1" w:styleId="WW8Num8z2" w:type="character">
    <w:name w:val="WW8Num8z2"/>
    <w:rsid w:val="000019C6"/>
    <w:rPr>
      <w:rFonts w:ascii="Times New Roman" w:hAnsi="Times New Roman" w:cs="Times New Roman" w:eastAsia="Times New Roman"/>
    </w:rPr>
  </w:style>
  <w:style w:customStyle="1" w:styleId="WW8Num8z3" w:type="character">
    <w:name w:val="WW8Num8z3"/>
    <w:rsid w:val="000019C6"/>
    <w:rPr>
      <w:rFonts w:ascii="Times New Roman" w:hAnsi="Times New Roman" w:cs="Times New Roman" w:eastAsia="Times New Roman"/>
    </w:rPr>
  </w:style>
  <w:style w:customStyle="1" w:styleId="WW8Num9z0" w:type="character">
    <w:name w:val="WW8Num9z0"/>
    <w:rsid w:val="000019C6"/>
    <w:rPr>
      <w:rFonts w:ascii="Times New Roman" w:hAnsi="Times New Roman" w:cs="Times New Roman" w:eastAsia="Times New Roman"/>
    </w:rPr>
  </w:style>
  <w:style w:customStyle="1" w:styleId="WW8Num9z1" w:type="character">
    <w:name w:val="WW8Num9z1"/>
    <w:rsid w:val="000019C6"/>
    <w:rPr>
      <w:rFonts w:ascii="Times New Roman" w:hAnsi="Times New Roman" w:cs="Times New Roman" w:eastAsia="Times New Roman"/>
    </w:rPr>
  </w:style>
  <w:style w:customStyle="1" w:styleId="WW8Num10z0" w:type="character">
    <w:name w:val="WW8Num10z0"/>
    <w:rsid w:val="000019C6"/>
    <w:rPr>
      <w:rFonts w:ascii="Times New Roman" w:hAnsi="Times New Roman" w:cs="Times New Roman" w:eastAsia="Times New Roman"/>
    </w:rPr>
  </w:style>
  <w:style w:customStyle="1" w:styleId="WW8Num10z4" w:type="character">
    <w:name w:val="WW8Num10z4"/>
    <w:rsid w:val="000019C6"/>
    <w:rPr>
      <w:rFonts w:ascii="Times New Roman" w:hAnsi="Times New Roman" w:cs="Times New Roman" w:eastAsia="Times New Roman"/>
      <w:b w:val="0"/>
      <w:bCs w:val="0"/>
      <w:i/>
      <w:iCs w:val="0"/>
      <w:sz w:val="20"/>
    </w:rPr>
  </w:style>
  <w:style w:customStyle="1" w:styleId="WW8Num11z0" w:type="character">
    <w:name w:val="WW8Num11z0"/>
    <w:rsid w:val="000019C6"/>
    <w:rPr>
      <w:rFonts w:ascii="Times New Roman" w:hAnsi="Times New Roman" w:cs="Times New Roman" w:eastAsia="Times New Roman"/>
    </w:rPr>
  </w:style>
  <w:style w:customStyle="1" w:styleId="WW8Num12z0" w:type="character">
    <w:name w:val="WW8Num12z0"/>
    <w:rsid w:val="000019C6"/>
    <w:rPr>
      <w:rFonts w:ascii="Times New Roman" w:hAnsi="Times New Roman" w:cs="Times New Roman" w:eastAsia="Times New Roman"/>
    </w:rPr>
  </w:style>
  <w:style w:customStyle="1" w:styleId="Absatz-Standardschriftart" w:type="character">
    <w:name w:val="Absatz-Standardschriftart"/>
    <w:rsid w:val="000019C6"/>
    <w:rPr>
      <w:rFonts w:ascii="Times New Roman" w:hAnsi="Times New Roman" w:cs="Times New Roman" w:eastAsia="Times New Roman"/>
    </w:rPr>
  </w:style>
  <w:style w:customStyle="1" w:styleId="e-mail" w:type="character">
    <w:name w:val="e-mail"/>
    <w:basedOn w:val="Absatz-Standardschriftart"/>
    <w:rsid w:val="000019C6"/>
    <w:rPr>
      <w:rFonts w:ascii="Times New Roman" w:hAnsi="Times New Roman" w:cs="Times New Roman" w:eastAsia="Times New Roman"/>
      <w:spacing w:val="-6"/>
      <w:lang w:eastAsia="en-US" w:val="en-US"/>
    </w:rPr>
  </w:style>
  <w:style w:customStyle="1" w:styleId="FootnoteCharacters" w:type="character">
    <w:name w:val="Footnote Characters"/>
    <w:basedOn w:val="Absatz-Standardschriftart"/>
    <w:rsid w:val="000019C6"/>
    <w:rPr>
      <w:rFonts w:ascii="Times New Roman" w:hAnsi="Times New Roman" w:cs="Times New Roman" w:eastAsia="Times New Roman"/>
      <w:vertAlign w:val="superscript"/>
    </w:rPr>
  </w:style>
  <w:style w:customStyle="1" w:styleId="heading30" w:type="character">
    <w:name w:val="heading3"/>
    <w:basedOn w:val="Absatz-Standardschriftart"/>
    <w:rsid w:val="000019C6"/>
    <w:rPr>
      <w:rFonts w:ascii="Times New Roman" w:hAnsi="Times New Roman" w:cs="Times New Roman" w:eastAsia="Times New Roman"/>
      <w:b/>
      <w:bCs w:val="0"/>
    </w:rPr>
  </w:style>
  <w:style w:customStyle="1" w:styleId="heading40" w:type="character">
    <w:name w:val="heading4"/>
    <w:basedOn w:val="Absatz-Standardschriftart"/>
    <w:rsid w:val="000019C6"/>
    <w:rPr>
      <w:rFonts w:ascii="Times New Roman" w:hAnsi="Times New Roman" w:cs="Times New Roman" w:eastAsia="Times New Roman"/>
      <w:i/>
      <w:iCs w:val="0"/>
    </w:rPr>
  </w:style>
  <w:style w:customStyle="1" w:styleId="url" w:type="character">
    <w:name w:val="url"/>
    <w:basedOn w:val="Absatz-Standardschriftart"/>
    <w:rsid w:val="000019C6"/>
    <w:rPr>
      <w:rFonts w:ascii="Times New Roman" w:hAnsi="Times New Roman" w:cs="Times New Roman" w:eastAsia="Times New Roman"/>
      <w:lang w:eastAsia="en-US" w:val="en-US"/>
    </w:rPr>
  </w:style>
  <w:style w:styleId="PageNumber" w:type="character">
    <w:name w:val="page number"/>
    <w:basedOn w:val="Absatz-Standardschriftart"/>
    <w:unhideWhenUsed/>
    <w:rsid w:val="000019C6"/>
    <w:rPr>
      <w:rFonts w:ascii="Times New Roman" w:hAnsi="Times New Roman" w:cs="Times New Roman" w:eastAsia="Times New Roman"/>
      <w:sz w:val="18"/>
    </w:rPr>
  </w:style>
  <w:style w:styleId="Revision" w:type="paragraph">
    <w:name w:val="Revision"/>
    <w:hidden/>
    <w:rsid w:val="000F1FDE"/>
    <w:pPr>
      <w:spacing w:after="0"/>
    </w:pPr>
    <w:rPr>
      <w:rFonts w:ascii="Times New Roman" w:hAnsi="Times New Roman" w:cs="Times New Roman" w:eastAsia="Times New Roman"/>
      <w:lang w:eastAsia="en-US"/>
      <w:sz w:val="20"/>
      <w:szCs w:val="20"/>
    </w:rPr>
  </w:style>
  <w:style w:styleId="CommentReference" w:type="character">
    <w:name w:val="annotation reference"/>
    <w:basedOn w:val="DefaultParagraphFont"/>
    <w:rsid w:val="00522B79"/>
    <w:rPr>
      <w:rFonts w:ascii="Times New Roman" w:hAnsi="Times New Roman" w:cs="Times New Roman" w:eastAsia="Times New Roman"/>
      <w:sz w:val="16"/>
      <w:szCs w:val="16"/>
    </w:rPr>
  </w:style>
  <w:style w:styleId="CommentText" w:type="paragraph">
    <w:name w:val="annotation text"/>
    <w:basedOn w:val="Normal"/>
    <w:link w:val="CommentTextChar"/>
    <w:rsid w:val="00522B79"/>
    <w:rPr>
      <w:rFonts w:ascii="Times New Roman" w:hAnsi="Times New Roman" w:cs="Times New Roman" w:eastAsia="Times New Roman"/>
      <w:sz w:val="20"/>
      <w:szCs w:val="20"/>
    </w:rPr>
  </w:style>
  <w:style w:customStyle="1" w:styleId="CommentTextChar" w:type="character">
    <w:name w:val="Comment Text Char"/>
    <w:basedOn w:val="DefaultParagraphFont"/>
    <w:link w:val="CommentText"/>
    <w:rsid w:val="00522B79"/>
    <w:rPr>
      <w:rFonts w:ascii="Times New Roman" w:hAnsi="Times New Roman" w:cs="Times New Roman" w:eastAsia="Times New Roman"/>
      <w:sz w:val="20"/>
      <w:szCs w:val="20"/>
      <w:lang w:eastAsia="en-US"/>
    </w:rPr>
  </w:style>
  <w:style w:styleId="CommentSubject" w:type="paragraph">
    <w:name w:val="annotation subject"/>
    <w:basedOn w:val="CommentText"/>
    <w:next w:val="CommentText"/>
    <w:link w:val="CommentSubjectChar"/>
    <w:rsid w:val="00522B79"/>
    <w:rPr>
      <w:rFonts w:ascii="Times New Roman" w:hAnsi="Times New Roman" w:cs="Times New Roman" w:eastAsia="Times New Roman"/>
      <w:b/>
      <w:bCs/>
      <w:sz w:val="20"/>
      <w:szCs w:val="20"/>
    </w:rPr>
  </w:style>
  <w:style w:customStyle="1" w:styleId="CommentSubjectChar" w:type="character">
    <w:name w:val="Comment Subject Char"/>
    <w:basedOn w:val="CommentTextChar"/>
    <w:link w:val="CommentSubject"/>
    <w:rsid w:val="00522B79"/>
    <w:rPr>
      <w:rFonts w:ascii="Times New Roman" w:hAnsi="Times New Roman" w:cs="Times New Roman" w:eastAsia="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10180</Words>
  <Characters>58026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2026-10-13T08:21:38Z</dcterms:created>
  <dcterms:modified xsi:type="dcterms:W3CDTF">2026-10-13T08:21:38Z</dcterms:modified>
</cp:coreProperties>
</file>

<file path=docProps/custom.xml><?xml version="1.0" encoding="utf-8"?>
<Properties xmlns="http://schemas.openxmlformats.org/officeDocument/2006/custom-properties" xmlns:vt="http://schemas.openxmlformats.org/officeDocument/2006/docPropsVTypes"/>
</file>