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carry the classical part–whole correlation identity over to detrended cross-correlation analysis (DCCA). At every timescale, the coefficient between a parent and a child index is then a closed-form function of the child’s weight, the relative amplitude of the remaining constituents and the overlap-purged correlation between the child and those constituents. The identity gives a zero-correlation benchmark, an exact lower bound, the sensitivity of the nested coefficient to the purged correlation and an order-free attribution, and it needs only index-level inputs. On the Ho Chi Minh City Stock Exchange (VN30 within VN100 within VNINDEX, 30-minute to daily data, 2014–2025), the VN30–VN100 coefficient moves by only about 0.11 per unit change in the purged correlation, and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they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fact that VN30 stocks are counted on both sides. Holdings-based risk models avoid the problem, but users of index-level data cannot, and index-level co-movement is easy to misread even without overlap (Chen et al. 2016). The arithmetic is old (Pearson 1897; Cureton 1966), but there is no version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We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(Box 1, Fig. 4). We apply it to VN30, VN100 and VNINDEX at 30-minute to daily frequencies (2014–2025), with a block bootstrap that also draws the index weight, and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Three findings stand out. The VN30–VN100 coefficient responds to the purged coefficient with a slope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beat a static one out of sample. Section 2 reviews the literature and states the hypotheses, Sections 3–5 present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the question: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What is missing is a return-based counterpart for users who observe only index levels.</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uses the coefficient to track contagion (Okorie and Lin 2021; Tilfani et al. 2021) or information flow (Zhou et al. 2025), and builds scale-aware portfolios (Wang et al. 2021; Kakinaka et al. 2025). All of it treats the coefficient as a measure of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Index-level co-movement is thus easy to misread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with a size that depends on sampling (Chang et al. 2021), and gradual diffusion (Hong and Stein 1999) lets co-movement build with the horizon. On the HOSE, liquidity of small firms is fragile (Chen et al. 2021) and price adjustment is delayed under retail-heavy trading (Tran and Tran 2025), while herding in stress (Nguyen et al. 2023), sector connectedness of 60–90% (Bui et al. 2022) and nonlinear regional dependence (Le et al. 2025) raise all correlations at once.</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Scale-wise?</w:t>
            </w:r>
          </w:p>
        </w:tc>
        <w:tc>
          <w:tcPr/>
          <w:p>
            <w:pPr>
              <w:spacing w:before="0" w:after="0" w:line="240" w:lineRule="auto"/>
              <w:jc w:val="left"/>
            </w:pPr>
            <w:r>
              <w:rPr>
                <w:sz w:val="20"/>
                <w:szCs w:val="20"/>
              </w:rPr>
              <w:t xml:space="preserve">Volatility-robust test?</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Pearson (1897); Cureton (1966)</w:t>
            </w:r>
          </w:p>
        </w:tc>
        <w:tc>
          <w:tcPr/>
          <w:p>
            <w:pPr>
              <w:spacing w:before="0" w:after="0" w:line="240" w:lineRule="auto"/>
              <w:jc w:val="left"/>
            </w:pPr>
            <w:r>
              <w:rPr>
                <w:sz w:val="20"/>
                <w:szCs w:val="20"/>
              </w:rPr>
              <w:t xml:space="preserve">Ratios with a common component; test items</w:t>
            </w:r>
          </w:p>
        </w:tc>
        <w:tc>
          <w:tcPr/>
          <w:p>
            <w:pPr>
              <w:spacing w:before="0" w:after="0" w:line="240" w:lineRule="auto"/>
              <w:jc w:val="left"/>
            </w:pPr>
            <w:r>
              <w:rPr>
                <w:sz w:val="20"/>
                <w:szCs w:val="20"/>
              </w:rPr>
              <w:t xml:space="preserve">Pearson correlation</w:t>
            </w:r>
          </w:p>
        </w:tc>
        <w:tc>
          <w:tcPr/>
          <w:p>
            <w:pPr>
              <w:spacing w:before="0" w:after="0" w:line="240" w:lineRule="auto"/>
              <w:jc w:val="left"/>
            </w:pPr>
            <w:r>
              <w:rPr>
                <w:sz w:val="20"/>
                <w:szCs w:val="20"/>
              </w:rPr>
              <w:t xml:space="preserve">Yes (static)</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Correlation of a whole with its part is inflated</w:t>
            </w:r>
          </w:p>
        </w:tc>
      </w:tr>
      <w:tr>
        <w:tc>
          <w:tcPr/>
          <w:p>
            <w:pPr>
              <w:spacing w:before="0" w:after="0" w:line="240" w:lineRule="auto"/>
              <w:jc w:val="left"/>
            </w:pPr>
            <w:r>
              <w:rPr>
                <w:sz w:val="20"/>
                <w:szCs w:val="20"/>
              </w:rPr>
              <w:t xml:space="preserve">Cremers and Petajisto (2009)</w:t>
            </w:r>
          </w:p>
        </w:tc>
        <w:tc>
          <w:tcPr/>
          <w:p>
            <w:pPr>
              <w:spacing w:before="0" w:after="0" w:line="240" w:lineRule="auto"/>
              <w:jc w:val="left"/>
            </w:pPr>
            <w:r>
              <w:rPr>
                <w:sz w:val="20"/>
                <w:szCs w:val="20"/>
              </w:rPr>
              <w:t xml:space="preserve">US mutual funds</w:t>
            </w:r>
          </w:p>
        </w:tc>
        <w:tc>
          <w:tcPr/>
          <w:p>
            <w:pPr>
              <w:spacing w:before="0" w:after="0" w:line="240" w:lineRule="auto"/>
              <w:jc w:val="left"/>
            </w:pPr>
            <w:r>
              <w:rPr>
                <w:sz w:val="20"/>
                <w:szCs w:val="20"/>
              </w:rPr>
              <w:t xml:space="preserve">Holdings overlap (Active Share)</w:t>
            </w:r>
          </w:p>
        </w:tc>
        <w:tc>
          <w:tcPr/>
          <w:p>
            <w:pPr>
              <w:spacing w:before="0" w:after="0" w:line="240" w:lineRule="auto"/>
              <w:jc w:val="left"/>
            </w:pPr>
            <w:r>
              <w:rPr>
                <w:sz w:val="20"/>
                <w:szCs w:val="20"/>
              </w:rPr>
              <w:t xml:space="preserve">Yes (holdings)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Overlap with benchmark holdings measures activity</w:t>
            </w:r>
          </w:p>
        </w:tc>
      </w:tr>
      <w:tr>
        <w:tc>
          <w:tcPr/>
          <w:p>
            <w:pPr>
              <w:spacing w:before="0" w:after="0" w:line="240" w:lineRule="auto"/>
              <w:jc w:val="left"/>
            </w:pPr>
            <w:r>
              <w:rPr>
                <w:sz w:val="20"/>
                <w:szCs w:val="20"/>
              </w:rPr>
              <w:t xml:space="preserve">Barberis et al. (2005); Greenwood (2008); Chen et al. (2016)</w:t>
            </w:r>
          </w:p>
        </w:tc>
        <w:tc>
          <w:tcPr/>
          <w:p>
            <w:pPr>
              <w:spacing w:before="0" w:after="0" w:line="240" w:lineRule="auto"/>
              <w:jc w:val="left"/>
            </w:pPr>
            <w:r>
              <w:rPr>
                <w:sz w:val="20"/>
                <w:szCs w:val="20"/>
              </w:rPr>
              <w:t xml:space="preserve">S&amp;P 500; Nikkei 225</w:t>
            </w:r>
          </w:p>
        </w:tc>
        <w:tc>
          <w:tcPr/>
          <w:p>
            <w:pPr>
              <w:spacing w:before="0" w:after="0" w:line="240" w:lineRule="auto"/>
              <w:jc w:val="left"/>
            </w:pPr>
            <w:r>
              <w:rPr>
                <w:sz w:val="20"/>
                <w:szCs w:val="20"/>
              </w:rPr>
              <w:t xml:space="preserve">Event study; index weights</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Membership effect on co-movement is contested</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Scale-wise detrended covariance and coefficient</w:t>
            </w:r>
          </w:p>
        </w:tc>
      </w:tr>
      <w:tr>
        <w:tc>
          <w:tcPr/>
          <w:p>
            <w:pPr>
              <w:spacing w:before="0" w:after="0" w:line="240" w:lineRule="auto"/>
              <w:jc w:val="left"/>
            </w:pPr>
            <w:r>
              <w:rPr>
                <w:sz w:val="20"/>
                <w:szCs w:val="20"/>
              </w:rPr>
              <w:t xml:space="preserve">Okorie and Lin (2021); Tilfani et al. (2021)</w:t>
            </w:r>
          </w:p>
        </w:tc>
        <w:tc>
          <w:tcPr/>
          <w:p>
            <w:pPr>
              <w:spacing w:before="0" w:after="0" w:line="240" w:lineRule="auto"/>
              <w:jc w:val="left"/>
            </w:pPr>
            <w:r>
              <w:rPr>
                <w:sz w:val="20"/>
                <w:szCs w:val="20"/>
              </w:rPr>
              <w:t xml:space="preserve">Stock markets, COVID-19</w:t>
            </w:r>
          </w:p>
        </w:tc>
        <w:tc>
          <w:tcPr/>
          <w:p>
            <w:pPr>
              <w:spacing w:before="0" w:after="0" w:line="240" w:lineRule="auto"/>
              <w:jc w:val="left"/>
            </w:pPr>
            <w:r>
              <w:rPr>
                <w:sz w:val="20"/>
                <w:szCs w:val="20"/>
              </w:rPr>
              <w:t xml:space="preserve">DCCA, DMCA; sliding windows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with the horizon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mean-DCCA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depends on the pair</w:t>
            </w:r>
          </w:p>
        </w:tc>
      </w:tr>
      <w:tr>
        <w:tc>
          <w:tcPr/>
          <w:p>
            <w:pPr>
              <w:spacing w:before="0" w:after="0" w:line="240" w:lineRule="auto"/>
              <w:jc w:val="left"/>
            </w:pPr>
            <w:r>
              <w:rPr>
                <w:sz w:val="20"/>
                <w:szCs w:val="20"/>
              </w:rPr>
              <w:t xml:space="preserve">Forbes and Rigobon (2002); Corsetti et al. (2005)</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Adjusted correlation; factor model</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Interdependence versus contagion; bias from restricted idiosyncratic variance</w:t>
            </w:r>
          </w:p>
        </w:tc>
      </w:tr>
      <w:tr>
        <w:tc>
          <w:tcPr/>
          <w:p>
            <w:pPr>
              <w:spacing w:before="0" w:after="0" w:line="240" w:lineRule="auto"/>
              <w:jc w:val="left"/>
            </w:pPr>
            <w:r>
              <w:rPr>
                <w:sz w:val="20"/>
                <w:szCs w:val="20"/>
              </w:rPr>
              <w:t xml:space="preserve">Lo and MacKinlay (1990); Hou (2007)</w:t>
            </w:r>
          </w:p>
        </w:tc>
        <w:tc>
          <w:tcPr/>
          <w:p>
            <w:pPr>
              <w:spacing w:before="0" w:after="0" w:line="240" w:lineRule="auto"/>
              <w:jc w:val="left"/>
            </w:pPr>
            <w:r>
              <w:rPr>
                <w:sz w:val="20"/>
                <w:szCs w:val="20"/>
              </w:rPr>
              <w:t xml:space="preserve">US size portfolios</w:t>
            </w:r>
          </w:p>
        </w:tc>
        <w:tc>
          <w:tcPr/>
          <w:p>
            <w:pPr>
              <w:spacing w:before="0" w:after="0" w:line="240" w:lineRule="auto"/>
              <w:jc w:val="left"/>
            </w:pPr>
            <w:r>
              <w:rPr>
                <w:sz w:val="20"/>
                <w:szCs w:val="20"/>
              </w:rPr>
              <w:t xml:space="preserve">Cross-autocorrelation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Large caps lead small caps</w:t>
            </w:r>
          </w:p>
        </w:tc>
      </w:tr>
      <w:tr>
        <w:tc>
          <w:tcPr/>
          <w:p>
            <w:pPr>
              <w:spacing w:before="0" w:after="0" w:line="240" w:lineRule="auto"/>
              <w:jc w:val="left"/>
            </w:pPr>
            <w:r>
              <w:rPr>
                <w:sz w:val="20"/>
                <w:szCs w:val="20"/>
              </w:rPr>
              <w:t xml:space="preserve">Bui et al. (2022); Tran and Tran (2025)</w:t>
            </w:r>
          </w:p>
        </w:tc>
        <w:tc>
          <w:tcPr/>
          <w:p>
            <w:pPr>
              <w:spacing w:before="0" w:after="0" w:line="240" w:lineRule="auto"/>
              <w:jc w:val="left"/>
            </w:pPr>
            <w:r>
              <w:rPr>
                <w:sz w:val="20"/>
                <w:szCs w:val="20"/>
              </w:rPr>
              <w:t xml:space="preserve">Vietnamese sectors; intraday HOSE</w:t>
            </w:r>
          </w:p>
        </w:tc>
        <w:tc>
          <w:tcPr/>
          <w:p>
            <w:pPr>
              <w:spacing w:before="0" w:after="0" w:line="240" w:lineRule="auto"/>
              <w:jc w:val="left"/>
            </w:pPr>
            <w:r>
              <w:rPr>
                <w:sz w:val="20"/>
                <w:szCs w:val="20"/>
              </w:rPr>
              <w:t xml:space="preserve">Spillover connectedness; high-frequency</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High connectedness; delayed adjustment</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Scale-wise part–whole identity; DCCA</w:t>
            </w:r>
          </w:p>
        </w:tc>
        <w:tc>
          <w:tcPr/>
          <w:p>
            <w:pPr>
              <w:spacing w:before="0" w:after="0" w:line="240" w:lineRule="auto"/>
              <w:jc w:val="left"/>
            </w:pPr>
            <w:r>
              <w:rPr>
                <w:sz w:val="20"/>
                <w:szCs w:val="20"/>
              </w:rPr>
              <w:t xml:space="preserve">Yes (scale-wise, with weight uncertainty)</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carried to scale-wise detrended coefficients, given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 combining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its size is an empirical question. Rule: the lower 95% bound of the like-for-like gap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exceeds 0.05, the estimation tolerance of Section 4.4,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so broad-market coefficients should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EWMA or real-time regime correlation has a lower QLIKE loss than the static correlation over 2023–2025, with a Diebold–Mariano p-value below 0.05. These rules, the eight-test family and the factor-loading test were fixed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Five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continuous trading and a closing call auction (14:30–14:45). Short selling is restricted: Circular 120/2020/TT-BTC (Ministry of Finance of Vietnam 2020) provides a framework for covered short sales that to our knowledge had not been put into operation, naked short selling is prohibited, and the implementing Decree 155/2020/ND-CP (Government of Vietnam 2020) was amended by Decree 245/2025/ND-CP (Government of Vietnam 2025). VN30 futures trade on the Hanoi Stock Exchange but there is no mid-cap future; a VNMIDCAP exchange-traded fund (FUEDCMID) has been listed since 29 September 2022 (Ho Chi Minh City Stock Exchange 2022). Finally, foreign ownership limits (30% for banks, for example) concentrate foreign flows in large caps with room under their limits, and Vietnam is to be reclassified to Secondary Emerging status from 21 September 2026 (FTSE Russell 2025), after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and 30-minute series run to 12 December 2025, 1-hour and 4-hour series to 9 December 2024. M30 bars open at 09:00, 09:30, 10:00, 10:30, 11:00, 11:30, 13:00, 13:30, 14:00, 14:30, H1 bars at 09:00, 10:00, 11:00, 13:00, 14:00, and the two H4 bars cover the two sessions, so the first bar holds the overnight return and the opening auction. The vendor has no full VNMIDCAP history, so the mid-cap segment is recovered from VN30 and VN100 (Section 4.2). Series are merged by exact timestamp joins without filling, and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reconstitutions and delistings are embedded and there is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combine a VNINDEX drawdown above 25%, at least 45% of days in the top volatility quartile and a documented trigger: the 2018 margin contraction (drawdown 26.2%, 47% of days in the top quartile), COVID-19 in 2020 (33.5%, 52%) and the 2022 bond-market freeze (40.2%, 60%), 539 days in all,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covariance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split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needs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coefficient (Kristoufek 2014) and for any measure built from a bilinear covariance of linearly filtered series. Five corollaries follow, at a fixed scale that we suppress.</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All quantities are computed scale by scale and averaged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Step</w:t>
            </w:r>
          </w:p>
        </w:tc>
        <w:tc>
          <w:tcPr/>
          <w:p>
            <w:pPr>
              <w:spacing w:before="0" w:after="0" w:line="240" w:lineRule="auto"/>
              <w:jc w:val="left"/>
            </w:pPr>
            <w:r>
              <w:rPr>
                <w:sz w:val="20"/>
                <w:szCs w:val="20"/>
              </w:rPr>
              <w:t xml:space="preserve">Computation</w:t>
            </w:r>
          </w:p>
        </w:tc>
        <w:tc>
          <w:tcPr/>
          <w:p>
            <w:pPr>
              <w:spacing w:before="0" w:after="0" w:line="240" w:lineRule="auto"/>
              <w:jc w:val="left"/>
            </w:pPr>
            <w:r>
              <w:rPr>
                <w:sz w:val="20"/>
                <w:szCs w:val="20"/>
              </w:rPr>
              <w:t xml:space="preserve">VN30 in VN100, daily</w:t>
            </w:r>
          </w:p>
        </w:tc>
      </w:tr>
      <w:tr>
        <w:tc>
          <w:tcPr/>
          <w:p>
            <w:pPr>
              <w:spacing w:before="0" w:after="0" w:line="240" w:lineRule="auto"/>
              <w:jc w:val="left"/>
            </w:pPr>
            <w:r>
              <w:rPr>
                <w:sz w:val="20"/>
                <w:szCs w:val="20"/>
              </w:rPr>
              <w:t xml:space="preserve">1. Inputs</w:t>
            </w:r>
          </w:p>
        </w:tc>
        <w:tc>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p>
            <w:pPr>
              <w:spacing w:before="0" w:after="0" w:line="240" w:lineRule="auto"/>
              <w:jc w:val="left"/>
            </w:pPr>
            <w:r>
              <w:rPr>
                <w:sz w:val="20"/>
                <w:szCs w:val="20"/>
              </w:rPr>
              <w:t xml:space="preserve">2. Remainder volatility</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p>
            <w:pPr>
              <w:spacing w:before="0" w:after="0" w:line="240" w:lineRule="auto"/>
              <w:jc w:val="left"/>
            </w:pPr>
            <w:r>
              <w:rPr>
                <w:sz w:val="20"/>
                <w:szCs w:val="20"/>
              </w:rPr>
              <w:t xml:space="preserve">3. Relative amplitude</w:t>
            </w:r>
          </w:p>
        </w:tc>
        <w:tc>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p>
            <w:pPr>
              <w:spacing w:before="0" w:after="0" w:line="240" w:lineRule="auto"/>
              <w:jc w:val="left"/>
            </w:pPr>
            <w:r>
              <w:rPr>
                <w:sz w:val="20"/>
                <w:szCs w:val="20"/>
              </w:rPr>
              <w:t xml:space="preserve">κ = 0.475</w:t>
            </w:r>
          </w:p>
        </w:tc>
      </w:tr>
      <w:tr>
        <w:tc>
          <w:tcPr/>
          <w:p>
            <w:pPr>
              <w:spacing w:before="0" w:after="0" w:line="240" w:lineRule="auto"/>
              <w:jc w:val="left"/>
            </w:pPr>
            <w:r>
              <w:rPr>
                <w:sz w:val="20"/>
                <w:szCs w:val="20"/>
              </w:rPr>
              <w:t xml:space="preserve">4. Benchmark and bound</w:t>
            </w:r>
          </w:p>
        </w:tc>
        <w:tc>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p>
            <w:pPr>
              <w:spacing w:before="0" w:after="0" w:line="240" w:lineRule="auto"/>
              <w:jc w:val="left"/>
            </w:pPr>
            <w:r>
              <w:rPr>
                <w:sz w:val="20"/>
                <w:szCs w:val="20"/>
              </w:rPr>
              <w:t xml:space="preserve">ρ̲ = 0.903; bound 0.880</w:t>
            </w:r>
          </w:p>
        </w:tc>
      </w:tr>
      <w:tr>
        <w:tc>
          <w:tcPr/>
          <w:p>
            <w:pPr>
              <w:spacing w:before="0" w:after="0" w:line="240" w:lineRule="auto"/>
              <w:jc w:val="left"/>
            </w:pPr>
            <w:r>
              <w:rPr>
                <w:sz w:val="20"/>
                <w:szCs w:val="20"/>
              </w:rPr>
              <w:t xml:space="preserve">5. Purged coefficient</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p>
            <w:pPr>
              <w:spacing w:before="0" w:after="0" w:line="240" w:lineRule="auto"/>
              <w:jc w:val="left"/>
            </w:pPr>
            <w:r>
              <w:rPr>
                <w:sz w:val="20"/>
                <w:szCs w:val="20"/>
              </w:rPr>
              <w:t xml:space="preserve">6.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gap,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with room for drift either way,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a tolerance fixed in advance; a GARCH(1,1)-t(5) calibration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all inference resamples the data with the stationary block bootstrap (Politis and Romano 1994), with mean blocks of about 20 trading days, recomputing every curve and statistic per replicate. We use 499 replications for the DCCA statistics of Tables 4–6 and for the decomposition, hedge-effectiveness and tail-dependence statistics, 399 for the like-for-like gap under weight uncertainty, 199 for the trimmed-bar and block-length checks of Tables S7 and S15, 999 for the factor-model, lead–lag and materiality statistics and for the Forbes–Rigobon tests under VN30 quartiles, across weights and with 2021 added, and 1,999 for the remaining Forbes–Rigobon and relative-error statistics. Intervals are percentile 95% intervals, capped at ±1 for correlations. Percentile p-values, p = 2 min{k₋ + 1, k₊ + 1}/(B + 1), where k₋ and k₊ count replicates at or below and at or above zero, cannot fall below 0.004 with B = 499 (reported as p &lt; 0.005), and with 19 tests the smallest attainable Holm-adjusted value is 0.076. One-sided Forbes–Rigobon p-values use the re-centred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Equivalence of the VN30–VN100 slope to zero is tested by two one-sided tests (TOST; Schuirmann 1987) with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Horizon dependence is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loading β and the residual variance, the contagion concept of Corsetti et al. (2005) and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Nested pairs are not tested,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Intervals resample the full sample jointly,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|RE| is compared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20"/>
        <w:numPr>
          <w:ilvl w:val="0"/>
          <w:numId w:val="0"/>
        </w:numPr>
      </w:pPr>
      <w:r>
        <w:rPr>
          <w:rFonts w:ascii="Times New Roman" w:hAnsi="Times New Roman" w:cs="Times New Roman" w:eastAsia="Times New Roman"/>
          <w:b/>
          <w:sz w:val="24"/>
          <w:szCs w:val="24"/>
        </w:rPr>
        <w:t xml:space="preserve">4.8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(stats, sandwich 3.1.0, ggplot2 3.4.4) on an Intel Xeon processor (2.10 GHz, four cores). OLS uses the QR decomposition, so no iterative optimization or convergence criterion is involved. Seeds are fixed in each script (20260924 to 20261014; the reliability simulations use fixed seeds starting at 42), and run_all.R reproduces every table and figure with byte-identical CSV outputs. Code, outputs and a map from each number to its output file form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everywhere;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mean</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Three-pair gap [95% CI]</w:t>
            </w:r>
          </w:p>
        </w:tc>
        <w:tc>
          <w:tcPr/>
          <w:p>
            <w:pPr>
              <w:spacing w:before="0" w:after="0" w:line="240" w:lineRule="auto"/>
              <w:jc w:val="left"/>
            </w:pPr>
            <w:r>
              <w:rPr>
                <w:sz w:val="20"/>
                <w:szCs w:val="20"/>
              </w:rPr>
              <w:t xml:space="preserve">Like-for-like 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0.104 [0.085, 0.128]</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0.104 [0.087, 0.125]</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0.099 [0.084, 0.118]</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0.099 [0.084, 0.116]</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0.883–0.892. Corollary 3 fixes the sign of the like-for-like gap, but not its size: the gap is 0.099–0.104 with interval lower bounds of at least 0.084, above the 0.05 margin at every frequency, so H1 is supported. The three-pair gap, which also uses the broad-market pairs that cannot be purged by weight, is 0.086–0.096, with Cohen’s q (Cohen 1988) of 0.78–0.89, reported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like-for-like daily gap is 0.063–0.164 and the three-pair gap 0.052–0.153 (Tables S2 and S3). With w drawn in each replicate, the like-for-like intervals have lower bounds of 0.057–0.061 and every replicate exceeds 0.05, so H1 holds under weight uncertainty, although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Purged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Benchmark ρ̲</w:t>
            </w:r>
          </w:p>
        </w:tc>
        <w:tc>
          <w:tcPr/>
          <w:p>
            <w:pPr>
              <w:spacing w:before="0" w:after="0" w:line="240" w:lineRule="auto"/>
              <w:jc w:val="left"/>
            </w:pPr>
            <w:r>
              <w:rPr>
                <w:sz w:val="20"/>
                <w:szCs w:val="20"/>
              </w:rPr>
              <w:t xml:space="preserve">Bound √(1 − κ²)</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Benchmark-first share</w:t>
            </w:r>
          </w:p>
        </w:tc>
        <w:tc>
          <w:tcPr/>
          <w:p>
            <w:pPr>
              <w:spacing w:before="0" w:after="0" w:line="240" w:lineRule="auto"/>
              <w:jc w:val="left"/>
            </w:pPr>
            <w:r>
              <w:rPr>
                <w:sz w:val="20"/>
                <w:szCs w:val="20"/>
              </w:rPr>
              <w:t xml:space="preserve">Shapley overlap share</w:t>
            </w:r>
          </w:p>
        </w:tc>
      </w:tr>
      <w:tr>
        <w:tc>
          <w:tcPr/>
          <w:p>
            <w:pPr>
              <w:spacing w:before="0" w:after="0" w:line="240" w:lineRule="auto"/>
              <w:jc w:val="left"/>
            </w:pPr>
            <w:r>
              <w:rPr>
                <w:iCs/>
                <w:i/>
                <w:sz w:val="20"/>
                <w:szCs w:val="20"/>
              </w:rPr>
              <w:t xml:space="preserve">Panel A: sampling uncertainty, w fixed at the factsheet value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0.875</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0.911</w:t>
            </w:r>
          </w:p>
        </w:tc>
        <w:tc>
          <w:tcPr/>
          <w:p>
            <w:pPr>
              <w:spacing w:before="0" w:after="0" w:line="240" w:lineRule="auto"/>
              <w:jc w:val="left"/>
            </w:pPr>
            <w:r>
              <w:rPr>
                <w:sz w:val="20"/>
                <w:szCs w:val="20"/>
              </w:rPr>
              <w:t xml:space="preserve">0.508 [0.498, 0.521]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0.864</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0.905</w:t>
            </w:r>
          </w:p>
        </w:tc>
        <w:tc>
          <w:tcPr/>
          <w:p>
            <w:pPr>
              <w:spacing w:before="0" w:after="0" w:line="240" w:lineRule="auto"/>
              <w:jc w:val="left"/>
            </w:pPr>
            <w:r>
              <w:rPr>
                <w:sz w:val="20"/>
                <w:szCs w:val="20"/>
              </w:rPr>
              <w:t xml:space="preserve">0.505 [0.497, 0.515]</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iCs/>
                <w:i/>
                <w:sz w:val="20"/>
                <w:szCs w:val="20"/>
              </w:rPr>
              <w:t xml:space="preserve">Panel B: sampling and weight uncertainty, w ~ U(0.60, 0.75) in each replicate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pPr>
          </w:p>
        </w:tc>
        <w:tc>
          <w:tcPr/>
          <w:p>
            <w:pPr>
              <w:spacing w:before="0" w:after="0" w:line="240" w:lineRule="auto"/>
              <w:jc w:val="left"/>
            </w:pPr>
            <w:r>
              <w:rPr>
                <w:sz w:val="20"/>
                <w:szCs w:val="20"/>
              </w:rPr>
              <w:t xml:space="preserve">0.884 [0.821, 0.931]</w:t>
            </w:r>
          </w:p>
        </w:tc>
        <w:tc>
          <w:tcPr/>
          <w:p>
            <w:pPr>
              <w:spacing w:before="0" w:after="0" w:line="240" w:lineRule="auto"/>
            </w:pPr>
          </w:p>
        </w:tc>
        <w:tc>
          <w:tcPr/>
          <w:p>
            <w:pPr>
              <w:spacing w:before="0" w:after="0" w:line="240" w:lineRule="auto"/>
              <w:jc w:val="left"/>
            </w:pPr>
            <w:r>
              <w:rPr>
                <w:sz w:val="20"/>
                <w:szCs w:val="20"/>
              </w:rPr>
              <w:t xml:space="preserve">0.900 [0.830, 0.938]</w:t>
            </w:r>
          </w:p>
        </w:tc>
        <w:tc>
          <w:tcPr/>
          <w:p>
            <w:pPr>
              <w:spacing w:before="0" w:after="0" w:line="240" w:lineRule="auto"/>
            </w:pPr>
          </w:p>
        </w:tc>
        <w:tc>
          <w:tcPr/>
          <w:p>
            <w:pPr>
              <w:spacing w:before="0" w:after="0" w:line="240" w:lineRule="auto"/>
              <w:jc w:val="left"/>
            </w:pPr>
            <w:r>
              <w:rPr>
                <w:sz w:val="20"/>
                <w:szCs w:val="20"/>
              </w:rPr>
              <w:t xml:space="preserve">0.106 [0.071, 0.163]</w:t>
            </w:r>
          </w:p>
        </w:tc>
        <w:tc>
          <w:tcPr/>
          <w:p>
            <w:pPr>
              <w:spacing w:before="0" w:after="0" w:line="240" w:lineRule="auto"/>
              <w:jc w:val="left"/>
            </w:pPr>
            <w:r>
              <w:rPr>
                <w:sz w:val="20"/>
                <w:szCs w:val="20"/>
              </w:rPr>
              <w:t xml:space="preserve">0.911 [0.841, 0.949]</w:t>
            </w:r>
          </w:p>
        </w:tc>
        <w:tc>
          <w:tcPr/>
          <w:p>
            <w:pPr>
              <w:spacing w:before="0" w:after="0" w:line="240" w:lineRule="auto"/>
              <w:jc w:val="left"/>
            </w:pPr>
            <w:r>
              <w:rPr>
                <w:sz w:val="20"/>
                <w:szCs w:val="20"/>
              </w:rPr>
              <w:t xml:space="preserve">0.508 [0.452, 0.556]</w:t>
            </w:r>
          </w:p>
        </w:tc>
      </w:tr>
      <w:tr>
        <w:tc>
          <w:tcPr/>
          <w:p>
            <w:pPr>
              <w:spacing w:before="0" w:after="0" w:line="240" w:lineRule="auto"/>
              <w:jc w:val="left"/>
            </w:pPr>
            <w:r>
              <w:rPr>
                <w:sz w:val="20"/>
                <w:szCs w:val="20"/>
              </w:rPr>
              <w:t xml:space="preserve">30-minute (M30)</w:t>
            </w:r>
          </w:p>
        </w:tc>
        <w:tc>
          <w:tcPr/>
          <w:p>
            <w:pPr>
              <w:spacing w:before="0" w:after="0" w:line="240" w:lineRule="auto"/>
            </w:pPr>
          </w:p>
        </w:tc>
        <w:tc>
          <w:tcPr/>
          <w:p>
            <w:pPr>
              <w:spacing w:before="0" w:after="0" w:line="240" w:lineRule="auto"/>
              <w:jc w:val="left"/>
            </w:pPr>
            <w:r>
              <w:rPr>
                <w:sz w:val="20"/>
                <w:szCs w:val="20"/>
              </w:rPr>
              <w:t xml:space="preserve">0.883 [0.817, 0.926]</w:t>
            </w:r>
          </w:p>
        </w:tc>
        <w:tc>
          <w:tcPr/>
          <w:p>
            <w:pPr>
              <w:spacing w:before="0" w:after="0" w:line="240" w:lineRule="auto"/>
            </w:pPr>
          </w:p>
        </w:tc>
        <w:tc>
          <w:tcPr/>
          <w:p>
            <w:pPr>
              <w:spacing w:before="0" w:after="0" w:line="240" w:lineRule="auto"/>
              <w:jc w:val="left"/>
            </w:pPr>
            <w:r>
              <w:rPr>
                <w:sz w:val="20"/>
                <w:szCs w:val="20"/>
              </w:rPr>
              <w:t xml:space="preserve">0.893 [0.823, 0.932]</w:t>
            </w:r>
          </w:p>
        </w:tc>
        <w:tc>
          <w:tcPr/>
          <w:p>
            <w:pPr>
              <w:spacing w:before="0" w:after="0" w:line="240" w:lineRule="auto"/>
            </w:pPr>
          </w:p>
        </w:tc>
        <w:tc>
          <w:tcPr/>
          <w:p>
            <w:pPr>
              <w:spacing w:before="0" w:after="0" w:line="240" w:lineRule="auto"/>
              <w:jc w:val="left"/>
            </w:pPr>
            <w:r>
              <w:rPr>
                <w:sz w:val="20"/>
                <w:szCs w:val="20"/>
              </w:rPr>
              <w:t xml:space="preserve">0.112 [0.077, 0.168]</w:t>
            </w:r>
          </w:p>
        </w:tc>
        <w:tc>
          <w:tcPr/>
          <w:p>
            <w:pPr>
              <w:spacing w:before="0" w:after="0" w:line="240" w:lineRule="auto"/>
              <w:jc w:val="left"/>
            </w:pPr>
            <w:r>
              <w:rPr>
                <w:sz w:val="20"/>
                <w:szCs w:val="20"/>
              </w:rPr>
              <w:t xml:space="preserve">0.905 [0.834, 0.944]</w:t>
            </w:r>
          </w:p>
        </w:tc>
        <w:tc>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index-level number by 0.01 requires the purged coefficient to move by about 0.09, and with weight uncertainty the interval is 0.07–0.17. With κ of 0.48–0.50, the remaining 32% of VN100 contributes about half as much detrended variation as VN30, the benchmark is 0.893–0.900 and the lower bound of Eq. (9) is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How much of the observed 0.987–0.988 is due to overlap depends on the question.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a negligible slope of about −0.002. On full-sample Pearson moments the benchmark is 0.898–0.903 and the benchmark-first share 0.911–0.914, within 0.01 of the DCCA values. Here the multiscale layer is a check of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reports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Slope [95% CI]</w:t>
            </w:r>
          </w:p>
        </w:tc>
        <w:tc>
          <w:tcPr/>
          <w:p>
            <w:pPr>
              <w:spacing w:before="0" w:after="0" w:line="240" w:lineRule="auto"/>
              <w:jc w:val="left"/>
            </w:pPr>
            <w:r>
              <w:rPr>
                <w:sz w:val="20"/>
                <w:szCs w:val="20"/>
              </w:rPr>
              <w:t xml:space="preserve">p (bootstrap)</w:t>
            </w:r>
          </w:p>
        </w:tc>
        <w:tc>
          <w:tcPr/>
          <w:p>
            <w:pPr>
              <w:spacing w:before="0" w:after="0" w:line="240" w:lineRule="auto"/>
              <w:jc w:val="left"/>
            </w:pPr>
            <w:r>
              <w:rPr>
                <w:sz w:val="20"/>
                <w:szCs w:val="20"/>
              </w:rPr>
              <w:t xml:space="preserve">p (studentized)</w:t>
            </w:r>
          </w:p>
        </w:tc>
        <w:tc>
          <w:tcPr/>
          <w:p>
            <w:pPr>
              <w:spacing w:before="0" w:after="0" w:line="240" w:lineRule="auto"/>
              <w:jc w:val="left"/>
            </w:pPr>
            <w:r>
              <w:rPr>
                <w:sz w:val="20"/>
                <w:szCs w:val="20"/>
              </w:rPr>
              <w:t xml:space="preserve">Holm, 19 tests</w:t>
            </w:r>
          </w:p>
        </w:tc>
        <w:tc>
          <w:tcPr/>
          <w:p>
            <w:pPr>
              <w:spacing w:before="0" w:after="0" w:line="240" w:lineRule="auto"/>
              <w:jc w:val="left"/>
            </w:pPr>
            <w:r>
              <w:rPr>
                <w:sz w:val="20"/>
                <w:szCs w:val="20"/>
              </w:rPr>
              <w:t xml:space="preserve">Holm, H2 family</w:t>
            </w:r>
          </w:p>
        </w:tc>
        <w:tc>
          <w:tcPr/>
          <w:p>
            <w:pPr>
              <w:spacing w:before="0" w:after="0" w:line="240" w:lineRule="auto"/>
              <w:jc w:val="left"/>
            </w:pPr>
            <w:r>
              <w:rPr>
                <w:sz w:val="20"/>
                <w:szCs w:val="20"/>
              </w:rPr>
              <w:t xml:space="preserve">TOST 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0.700</w:t>
            </w:r>
          </w:p>
        </w:tc>
        <w:tc>
          <w:tcPr/>
          <w:p>
            <w:pPr>
              <w:spacing w:before="0" w:after="0" w:line="240" w:lineRule="auto"/>
              <w:jc w:val="left"/>
            </w:pPr>
            <w:r>
              <w:rPr>
                <w:sz w:val="20"/>
                <w:szCs w:val="20"/>
              </w:rPr>
              <w:t xml:space="preserve">0.602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0.736</w:t>
            </w:r>
          </w:p>
        </w:tc>
        <w:tc>
          <w:tcPr/>
          <w:p>
            <w:pPr>
              <w:spacing w:before="0" w:after="0" w:line="240" w:lineRule="auto"/>
              <w:jc w:val="left"/>
            </w:pPr>
            <w:r>
              <w:rPr>
                <w:sz w:val="20"/>
                <w:szCs w:val="20"/>
              </w:rPr>
              <w:t xml:space="preserve">0.530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−0.0008 [−0.0023, 0.0008]</w:t>
            </w:r>
          </w:p>
        </w:tc>
        <w:tc>
          <w:tcPr/>
          <w:p>
            <w:pPr>
              <w:spacing w:before="0" w:after="0" w:line="240" w:lineRule="auto"/>
              <w:jc w:val="left"/>
            </w:pPr>
            <w:r>
              <w:rPr>
                <w:sz w:val="20"/>
                <w:szCs w:val="20"/>
              </w:rPr>
              <w:t xml:space="preserve">0.348</w:t>
            </w:r>
          </w:p>
        </w:tc>
        <w:tc>
          <w:tcPr/>
          <w:p>
            <w:pPr>
              <w:spacing w:before="0" w:after="0" w:line="240" w:lineRule="auto"/>
              <w:jc w:val="left"/>
            </w:pPr>
            <w:r>
              <w:rPr>
                <w:sz w:val="20"/>
                <w:szCs w:val="20"/>
              </w:rPr>
              <w:t xml:space="preserve">0.319</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0.385</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0.576</w:t>
            </w:r>
          </w:p>
        </w:tc>
        <w:tc>
          <w:tcPr/>
          <w:p>
            <w:pPr>
              <w:spacing w:before="0" w:after="0" w:line="240" w:lineRule="auto"/>
              <w:jc w:val="left"/>
            </w:pPr>
            <w:r>
              <w:rPr>
                <w:sz w:val="20"/>
                <w:szCs w:val="20"/>
              </w:rPr>
              <w:t xml:space="preserve">0.512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0.009</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0.045</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0.005</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0.002</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0.863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0.007</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0.603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0.0009]</w:t>
            </w:r>
          </w:p>
        </w:tc>
        <w:tc>
          <w:tcPr/>
          <w:p>
            <w:pPr>
              <w:spacing w:before="0" w:after="0" w:line="240" w:lineRule="auto"/>
              <w:jc w:val="left"/>
            </w:pPr>
            <w:r>
              <w:rPr>
                <w:sz w:val="20"/>
                <w:szCs w:val="20"/>
              </w:rPr>
              <w:t xml:space="preserve">0.652</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0.012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0.392</w:t>
            </w:r>
          </w:p>
        </w:tc>
        <w:tc>
          <w:tcPr/>
          <w:p>
            <w:pPr>
              <w:spacing w:before="0" w:after="0" w:line="240" w:lineRule="auto"/>
              <w:jc w:val="left"/>
            </w:pPr>
            <w:r>
              <w:rPr>
                <w:sz w:val="20"/>
                <w:szCs w:val="20"/>
              </w:rPr>
              <w:t xml:space="preserve">0.552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0.852</w:t>
            </w:r>
          </w:p>
        </w:tc>
        <w:tc>
          <w:tcPr/>
          <w:p>
            <w:pPr>
              <w:spacing w:before="0" w:after="0" w:line="240" w:lineRule="auto"/>
              <w:jc w:val="left"/>
            </w:pPr>
            <w:r>
              <w:rPr>
                <w:sz w:val="20"/>
                <w:szCs w:val="20"/>
              </w:rPr>
              <w:t xml:space="preserve">0.807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0.800</w:t>
            </w:r>
          </w:p>
        </w:tc>
        <w:tc>
          <w:tcPr/>
          <w:p>
            <w:pPr>
              <w:spacing w:before="0" w:after="0" w:line="240" w:lineRule="auto"/>
              <w:jc w:val="left"/>
            </w:pPr>
            <w:r>
              <w:rPr>
                <w:sz w:val="20"/>
                <w:szCs w:val="20"/>
              </w:rPr>
              <w:t xml:space="preserve">0.856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−0.0004 [−0.0018, 0.0007]</w:t>
            </w:r>
          </w:p>
        </w:tc>
        <w:tc>
          <w:tcPr/>
          <w:p>
            <w:pPr>
              <w:spacing w:before="0" w:after="0" w:line="240" w:lineRule="auto"/>
              <w:jc w:val="left"/>
            </w:pPr>
            <w:r>
              <w:rPr>
                <w:sz w:val="20"/>
                <w:szCs w:val="20"/>
              </w:rPr>
              <w:t xml:space="preserve">0.628</w:t>
            </w:r>
          </w:p>
        </w:tc>
        <w:tc>
          <w:tcPr/>
          <w:p>
            <w:pPr>
              <w:spacing w:before="0" w:after="0" w:line="240" w:lineRule="auto"/>
              <w:jc w:val="left"/>
            </w:pPr>
            <w:r>
              <w:rPr>
                <w:sz w:val="20"/>
                <w:szCs w:val="20"/>
              </w:rPr>
              <w:t xml:space="preserve">0.541</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0.142</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0.760</w:t>
            </w:r>
          </w:p>
        </w:tc>
        <w:tc>
          <w:tcPr/>
          <w:p>
            <w:pPr>
              <w:spacing w:before="0" w:after="0" w:line="240" w:lineRule="auto"/>
              <w:jc w:val="left"/>
            </w:pPr>
            <w:r>
              <w:rPr>
                <w:sz w:val="20"/>
                <w:szCs w:val="20"/>
              </w:rPr>
              <w:t xml:space="preserve">0.667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intraday frequencies. In the H2 family, four slopes survive Holm adjustment (VN100–VNINDEX at H1; VN30–VNINDEX at H1; VN100–VNINDEX at M30; VN30–VNINDEX at M30), with estimates of 0.0019–0.0024, a rise of about 0.01 across the reliable range; none is significant at 1D or H4, so H2 is supported on the full data. Over the original 19 tests, Holm keeps one studentized slope and Benjamini–Hochberg four, and with percentile p-values none survives (smallest BH-adjusted p = 0.057). The VN30–VN100 slope is equivalent to zero at M30 and H1 (TOST p = 0.007, 0.012) and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is 10% of M30 bars but carries 37% of squared VN30 returns, and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while the overlap gap does not change (0.107 [0.094, 0.127] at M30)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reports the Forbes–Rigobon and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 (FR)</w:t>
            </w:r>
          </w:p>
        </w:tc>
        <w:tc>
          <w:tcPr/>
          <w:p>
            <w:pPr>
              <w:spacing w:before="0" w:after="0" w:line="240" w:lineRule="auto"/>
              <w:jc w:val="left"/>
            </w:pPr>
            <w:r>
              <w:rPr>
                <w:sz w:val="20"/>
                <w:szCs w:val="20"/>
              </w:rPr>
              <w:t xml:space="preserve">β_low</w:t>
            </w:r>
          </w:p>
        </w:tc>
        <w:tc>
          <w:tcPr/>
          <w:p>
            <w:pPr>
              <w:spacing w:before="0" w:after="0" w:line="240" w:lineRule="auto"/>
              <w:jc w:val="left"/>
            </w:pPr>
            <w:r>
              <w:rPr>
                <w:sz w:val="20"/>
                <w:szCs w:val="20"/>
              </w:rPr>
              <w:t xml:space="preserve">β_high</w:t>
            </w:r>
          </w:p>
        </w:tc>
        <w:tc>
          <w:tcPr/>
          <w:p>
            <w:pPr>
              <w:spacing w:before="0" w:after="0" w:line="240" w:lineRule="auto"/>
              <w:jc w:val="left"/>
            </w:pPr>
            <w:r>
              <w:rPr>
                <w:sz w:val="20"/>
                <w:szCs w:val="20"/>
              </w:rPr>
              <w:t xml:space="preserve">Δβ [95% CI]</w:t>
            </w:r>
          </w:p>
        </w:tc>
        <w:tc>
          <w:tcPr/>
          <w:p>
            <w:pPr>
              <w:spacing w:before="0" w:after="0" w:line="240" w:lineRule="auto"/>
              <w:jc w:val="left"/>
            </w:pPr>
            <w:r>
              <w:rPr>
                <w:sz w:val="20"/>
                <w:szCs w:val="20"/>
              </w:rPr>
              <w:t xml:space="preserve">Residual variance ratio [95% CI]</w:t>
            </w:r>
          </w:p>
        </w:tc>
      </w:tr>
      <w:tr>
        <w:tc>
          <w:tcPr/>
          <w:p>
            <w:pPr>
              <w:spacing w:before="0" w:after="0" w:line="240" w:lineRule="auto"/>
              <w:jc w:val="left"/>
            </w:pPr>
            <w:r>
              <w:rPr>
                <w:sz w:val="20"/>
                <w:szCs w:val="20"/>
              </w:rPr>
              <w:t xml:space="preserve">Chronological episodes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0.919</w:t>
            </w:r>
          </w:p>
        </w:tc>
        <w:tc>
          <w:tcPr/>
          <w:p>
            <w:pPr>
              <w:spacing w:before="0" w:after="0" w:line="240" w:lineRule="auto"/>
              <w:jc w:val="left"/>
            </w:pPr>
            <w:r>
              <w:rPr>
                <w:sz w:val="20"/>
                <w:szCs w:val="20"/>
              </w:rPr>
              <w:t xml:space="preserve">0.927</w:t>
            </w:r>
          </w:p>
        </w:tc>
        <w:tc>
          <w:tcPr/>
          <w:p>
            <w:pPr>
              <w:spacing w:before="0" w:after="0" w:line="240" w:lineRule="auto"/>
              <w:jc w:val="left"/>
            </w:pPr>
            <w:r>
              <w:rPr>
                <w:sz w:val="20"/>
                <w:szCs w:val="20"/>
              </w:rPr>
              <w:t xml:space="preserve">0.008 [−0.128, 0.140]</w:t>
            </w:r>
          </w:p>
        </w:tc>
        <w:tc>
          <w:tcPr/>
          <w:p>
            <w:pPr>
              <w:spacing w:before="0" w:after="0" w:line="240" w:lineRule="auto"/>
              <w:jc w:val="left"/>
            </w:pPr>
            <w:r>
              <w:rPr>
                <w:sz w:val="20"/>
                <w:szCs w:val="20"/>
              </w:rPr>
              <w:t xml:space="preserve">1.42 [0.91, 2.15]</w:t>
            </w:r>
          </w:p>
        </w:tc>
      </w:tr>
      <w:tr>
        <w:tc>
          <w:tcPr/>
          <w:p>
            <w:pPr>
              <w:spacing w:before="0" w:after="0" w:line="240" w:lineRule="auto"/>
              <w:jc w:val="left"/>
            </w:pPr>
            <w:r>
              <w:rPr>
                <w:sz w:val="20"/>
                <w:szCs w:val="20"/>
              </w:rPr>
              <w:t xml:space="preserve">VNINDEX 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0.716</w:t>
            </w:r>
          </w:p>
        </w:tc>
        <w:tc>
          <w:tcPr/>
          <w:p>
            <w:pPr>
              <w:spacing w:before="0" w:after="0" w:line="240" w:lineRule="auto"/>
              <w:jc w:val="left"/>
            </w:pPr>
            <w:r>
              <w:rPr>
                <w:sz w:val="20"/>
                <w:szCs w:val="20"/>
              </w:rPr>
              <w:t xml:space="preserve">0.956</w:t>
            </w:r>
          </w:p>
        </w:tc>
        <w:tc>
          <w:tcPr/>
          <w:p>
            <w:pPr>
              <w:spacing w:before="0" w:after="0" w:line="240" w:lineRule="auto"/>
              <w:jc w:val="left"/>
            </w:pPr>
            <w:r>
              <w:rPr>
                <w:sz w:val="20"/>
                <w:szCs w:val="20"/>
              </w:rPr>
              <w:t xml:space="preserve">0.240 [0.143, 0.332]</w:t>
            </w:r>
          </w:p>
        </w:tc>
        <w:tc>
          <w:tcPr/>
          <w:p>
            <w:pPr>
              <w:spacing w:before="0" w:after="0" w:line="240" w:lineRule="auto"/>
              <w:jc w:val="left"/>
            </w:pPr>
            <w:r>
              <w:rPr>
                <w:sz w:val="20"/>
                <w:szCs w:val="20"/>
              </w:rPr>
              <w:t xml:space="preserve">2.57 [1.75, 3.66]</w:t>
            </w:r>
          </w:p>
        </w:tc>
      </w:tr>
      <w:tr>
        <w:tc>
          <w:tcPr/>
          <w:p>
            <w:pPr>
              <w:spacing w:before="0" w:after="0" w:line="240" w:lineRule="auto"/>
              <w:jc w:val="left"/>
            </w:pPr>
            <w:r>
              <w:rPr>
                <w:sz w:val="20"/>
                <w:szCs w:val="20"/>
              </w:rPr>
              <w:t xml:space="preserve">VN30 volatility quartiles</w:t>
            </w:r>
          </w:p>
        </w:tc>
        <w:tc>
          <w:tcPr/>
          <w:p>
            <w:pPr>
              <w:spacing w:before="0" w:after="0" w:line="240" w:lineRule="auto"/>
              <w:jc w:val="left"/>
            </w:pPr>
            <w:r>
              <w:rPr>
                <w:sz w:val="20"/>
                <w:szCs w:val="20"/>
              </w:rPr>
              <w:t xml:space="preserve">0.744</w:t>
            </w:r>
          </w:p>
        </w:tc>
        <w:tc>
          <w:tcPr/>
          <w:p>
            <w:pPr>
              <w:spacing w:before="0" w:after="0" w:line="240" w:lineRule="auto"/>
              <w:jc w:val="left"/>
            </w:pPr>
            <w:r>
              <w:rPr>
                <w:sz w:val="20"/>
                <w:szCs w:val="20"/>
              </w:rPr>
              <w:t xml:space="preserve">0.932</w:t>
            </w:r>
          </w:p>
        </w:tc>
        <w:tc>
          <w:tcPr/>
          <w:p>
            <w:pPr>
              <w:spacing w:before="0" w:after="0" w:line="240" w:lineRule="auto"/>
              <w:jc w:val="left"/>
            </w:pPr>
            <w:r>
              <w:rPr>
                <w:sz w:val="20"/>
                <w:szCs w:val="20"/>
              </w:rPr>
              <w:t xml:space="preserve">−0.087 [−0.144, −0.018]</w:t>
            </w:r>
          </w:p>
        </w:tc>
        <w:tc>
          <w:tcPr/>
          <w:p>
            <w:pPr>
              <w:spacing w:before="0" w:after="0" w:line="240" w:lineRule="auto"/>
              <w:jc w:val="left"/>
            </w:pPr>
            <w:r>
              <w:rPr>
                <w:sz w:val="20"/>
                <w:szCs w:val="20"/>
              </w:rPr>
              <w:t xml:space="preserve">0.998</w:t>
            </w:r>
          </w:p>
        </w:tc>
        <w:tc>
          <w:tcPr/>
          <w:p>
            <w:pPr>
              <w:spacing w:before="0" w:after="0" w:line="240" w:lineRule="auto"/>
              <w:jc w:val="left"/>
            </w:pPr>
            <w:r>
              <w:rPr>
                <w:sz w:val="20"/>
                <w:szCs w:val="20"/>
              </w:rPr>
              <w:t xml:space="preserve">0.737</w:t>
            </w:r>
          </w:p>
        </w:tc>
        <w:tc>
          <w:tcPr/>
          <w:p>
            <w:pPr>
              <w:spacing w:before="0" w:after="0" w:line="240" w:lineRule="auto"/>
              <w:jc w:val="left"/>
            </w:pPr>
            <w:r>
              <w:rPr>
                <w:sz w:val="20"/>
                <w:szCs w:val="20"/>
              </w:rPr>
              <w:t xml:space="preserve">0.948</w:t>
            </w:r>
          </w:p>
        </w:tc>
        <w:tc>
          <w:tcPr/>
          <w:p>
            <w:pPr>
              <w:spacing w:before="0" w:after="0" w:line="240" w:lineRule="auto"/>
              <w:jc w:val="left"/>
            </w:pPr>
            <w:r>
              <w:rPr>
                <w:sz w:val="20"/>
                <w:szCs w:val="20"/>
              </w:rPr>
              <w:t xml:space="preserve">0.210 [0.119, 0.306]</w:t>
            </w:r>
          </w:p>
        </w:tc>
        <w:tc>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in every definition, from 0.847 to 0.924 chronologically and from 0.744 to 0.932 under VN30 quartiles, but the adjusted crisis correlation never exceeds its calm level (one-sided p = 0.974–0.998;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but not between chronological episodes (Δβ = 0.008, [−0.128, 0.140]), and adding 2021 as a crisis changes neither result (FR p = 0.987; Δβ = −0.005). Under its rule H3 is not supported: high-VN30-volatility days bring both a stronger response of mid caps to large caps and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Regime or pair</w:t>
            </w:r>
          </w:p>
        </w:tc>
        <w:tc>
          <w:tcPr/>
          <w:p>
            <w:pPr>
              <w:spacing w:before="0" w:after="0" w:line="240" w:lineRule="auto"/>
              <w:jc w:val="left"/>
            </w:pPr>
            <w:r>
              <w:rPr>
                <w:sz w:val="20"/>
                <w:szCs w:val="20"/>
              </w:rPr>
              <w:t xml:space="preserve">Pair or static QLIKE</w:t>
            </w:r>
          </w:p>
        </w:tc>
        <w:tc>
          <w:tcPr/>
          <w:p>
            <w:pPr>
              <w:spacing w:before="0" w:after="0" w:line="240" w:lineRule="auto"/>
              <w:jc w:val="left"/>
            </w:pPr>
            <w:r>
              <w:rPr>
                <w:sz w:val="20"/>
                <w:szCs w:val="20"/>
              </w:rPr>
              <w:t xml:space="preserve">RE, % [95% CI] or EWMA QLIKE</w:t>
            </w:r>
          </w:p>
        </w:tc>
        <w:tc>
          <w:tcPr/>
          <w:p>
            <w:pPr>
              <w:spacing w:before="0" w:after="0" w:line="240" w:lineRule="auto"/>
              <w:jc w:val="left"/>
            </w:pPr>
            <w:r>
              <w:rPr>
                <w:sz w:val="20"/>
                <w:szCs w:val="20"/>
              </w:rPr>
              <w:t xml:space="preserve">Relative SE, % or regime QLIKE</w:t>
            </w:r>
          </w:p>
        </w:tc>
        <w:tc>
          <w:tcPr/>
          <w:p>
            <w:pPr>
              <w:spacing w:before="0" w:after="0" w:line="240" w:lineRule="auto"/>
              <w:jc w:val="left"/>
            </w:pPr>
            <w:r>
              <w:rPr>
                <w:sz w:val="20"/>
                <w:szCs w:val="20"/>
              </w:rPr>
              <w:t xml:space="preserve">RE/SE or DM, static vs EWMA</w:t>
            </w:r>
          </w:p>
        </w:tc>
        <w:tc>
          <w:tcPr/>
          <w:p>
            <w:pPr>
              <w:spacing w:before="0" w:after="0" w:line="240" w:lineRule="auto"/>
              <w:jc w:val="left"/>
            </w:pPr>
            <w:r>
              <w:rPr>
                <w:sz w:val="20"/>
                <w:szCs w:val="20"/>
              </w:rPr>
              <w:t xml:space="preserve">DM, static vs regime</w:t>
            </w:r>
          </w:p>
        </w:tc>
      </w:tr>
      <w:tr>
        <w:tc>
          <w:tcPr/>
          <w:p>
            <w:pPr>
              <w:spacing w:before="0" w:after="0" w:line="240" w:lineRule="auto"/>
              <w:jc w:val="left"/>
            </w:pPr>
            <w:r>
              <w:rPr>
                <w:iCs/>
                <w:i/>
                <w:sz w:val="20"/>
                <w:szCs w:val="20"/>
              </w:rPr>
              <w:t xml:space="preserve">Panel A: in-sample misstatement (E3)</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2.23 [0.71, 3.98]</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0.28 [0.11, 0.45]</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−1.84 [−3.01, −0.82]</w:t>
            </w:r>
          </w:p>
        </w:tc>
        <w:tc>
          <w:tcPr/>
          <w:p>
            <w:pPr>
              <w:spacing w:before="0" w:after="0" w:line="240" w:lineRule="auto"/>
              <w:jc w:val="left"/>
            </w:pPr>
            <w:r>
              <w:rPr>
                <w:sz w:val="20"/>
                <w:szCs w:val="20"/>
              </w:rPr>
              <w:t xml:space="preserve">14.3</w:t>
            </w:r>
          </w:p>
        </w:tc>
        <w:tc>
          <w:tcPr/>
          <w:p>
            <w:pPr>
              <w:spacing w:before="0" w:after="0" w:line="240" w:lineRule="auto"/>
              <w:jc w:val="left"/>
            </w:pPr>
            <w:r>
              <w:rPr>
                <w:sz w:val="20"/>
                <w:szCs w:val="20"/>
              </w:rPr>
              <w:t xml:space="preserve">0.13</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−0.19 [−0.33, −0.08]</w:t>
            </w:r>
          </w:p>
        </w:tc>
        <w:tc>
          <w:tcPr/>
          <w:p>
            <w:pPr>
              <w:spacing w:before="0" w:after="0" w:line="240" w:lineRule="auto"/>
              <w:jc w:val="left"/>
            </w:pPr>
            <w:r>
              <w:rPr>
                <w:sz w:val="20"/>
                <w:szCs w:val="20"/>
              </w:rPr>
              <w:t xml:space="preserve">14.8</w:t>
            </w:r>
          </w:p>
        </w:tc>
        <w:tc>
          <w:tcPr/>
          <w:p>
            <w:pPr>
              <w:spacing w:before="0" w:after="0" w:line="240" w:lineRule="auto"/>
              <w:jc w:val="left"/>
            </w:pPr>
            <w:r>
              <w:rPr>
                <w:sz w:val="20"/>
                <w:szCs w:val="20"/>
              </w:rPr>
              <w:t xml:space="preserve">0.01</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9.38 [6.28, 13.27]</w:t>
            </w:r>
          </w:p>
        </w:tc>
        <w:tc>
          <w:tcPr/>
          <w:p>
            <w:pPr>
              <w:spacing w:before="0" w:after="0" w:line="240" w:lineRule="auto"/>
              <w:jc w:val="left"/>
            </w:pPr>
            <w:r>
              <w:rPr>
                <w:sz w:val="20"/>
                <w:szCs w:val="20"/>
              </w:rPr>
              <w:t xml:space="preserve">6.3</w:t>
            </w:r>
          </w:p>
        </w:tc>
        <w:tc>
          <w:tcPr/>
          <w:p>
            <w:pPr>
              <w:spacing w:before="0" w:after="0" w:line="240" w:lineRule="auto"/>
              <w:jc w:val="left"/>
            </w:pPr>
            <w:r>
              <w:rPr>
                <w:sz w:val="20"/>
                <w:szCs w:val="20"/>
              </w:rPr>
              <w:t xml:space="preserve">1.50</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0.77 [0.49, 1.14]</w:t>
            </w:r>
          </w:p>
        </w:tc>
        <w:tc>
          <w:tcPr/>
          <w:p>
            <w:pPr>
              <w:spacing w:before="0" w:after="0" w:line="240" w:lineRule="auto"/>
              <w:jc w:val="left"/>
            </w:pPr>
            <w:r>
              <w:rPr>
                <w:sz w:val="20"/>
                <w:szCs w:val="20"/>
              </w:rPr>
              <w:t xml:space="preserve">5.3</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−2.07 [−2.88, −1.40]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0.23</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−0.20 [−0.30, −0.13]</w:t>
            </w:r>
          </w:p>
        </w:tc>
        <w:tc>
          <w:tcPr/>
          <w:p>
            <w:pPr>
              <w:spacing w:before="0" w:after="0" w:line="240" w:lineRule="auto"/>
              <w:jc w:val="left"/>
            </w:pPr>
            <w:r>
              <w:rPr>
                <w:sz w:val="20"/>
                <w:szCs w:val="20"/>
              </w:rPr>
              <w:t xml:space="preserve">8.9</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iCs/>
                <w:i/>
                <w:sz w:val="20"/>
                <w:szCs w:val="20"/>
              </w:rPr>
              <w:t xml:space="preserve">Panel B: out-of-sample, 2023–2025 (H4)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−7.7771</w:t>
            </w:r>
          </w:p>
        </w:tc>
        <w:tc>
          <w:tcPr/>
          <w:p>
            <w:pPr>
              <w:spacing w:before="0" w:after="0" w:line="240" w:lineRule="auto"/>
              <w:jc w:val="left"/>
            </w:pPr>
            <w:r>
              <w:rPr>
                <w:sz w:val="20"/>
                <w:szCs w:val="20"/>
              </w:rPr>
              <w:t xml:space="preserve">−7.7434</w:t>
            </w:r>
          </w:p>
        </w:tc>
        <w:tc>
          <w:tcPr/>
          <w:p>
            <w:pPr>
              <w:spacing w:before="0" w:after="0" w:line="240" w:lineRule="auto"/>
              <w:jc w:val="left"/>
            </w:pPr>
            <w:r>
              <w:rPr>
                <w:sz w:val="20"/>
                <w:szCs w:val="20"/>
              </w:rPr>
              <w:t xml:space="preserve">−7.7644</w:t>
            </w:r>
          </w:p>
        </w:tc>
        <w:tc>
          <w:tcPr/>
          <w:p>
            <w:pPr>
              <w:spacing w:before="0" w:after="0" w:line="240" w:lineRule="auto"/>
              <w:jc w:val="left"/>
            </w:pPr>
            <w:r>
              <w:rPr>
                <w:sz w:val="20"/>
                <w:szCs w:val="20"/>
              </w:rPr>
              <w:t xml:space="preserve">−1.69 (0.091)</w:t>
            </w:r>
          </w:p>
        </w:tc>
        <w:tc>
          <w:tcPr/>
          <w:p>
            <w:pPr>
              <w:spacing w:before="0" w:after="0" w:line="240" w:lineRule="auto"/>
              <w:jc w:val="left"/>
            </w:pPr>
            <w:r>
              <w:rPr>
                <w:sz w:val="20"/>
                <w:szCs w:val="20"/>
              </w:rPr>
              <w:t xml:space="preserve">−1.34 (0.179)</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−7.8357</w:t>
            </w:r>
          </w:p>
        </w:tc>
        <w:tc>
          <w:tcPr/>
          <w:p>
            <w:pPr>
              <w:spacing w:before="0" w:after="0" w:line="240" w:lineRule="auto"/>
              <w:jc w:val="left"/>
            </w:pPr>
            <w:r>
              <w:rPr>
                <w:sz w:val="20"/>
                <w:szCs w:val="20"/>
              </w:rPr>
              <w:t xml:space="preserve">−7.8315</w:t>
            </w:r>
          </w:p>
        </w:tc>
        <w:tc>
          <w:tcPr/>
          <w:p>
            <w:pPr>
              <w:spacing w:before="0" w:after="0" w:line="240" w:lineRule="auto"/>
              <w:jc w:val="left"/>
            </w:pPr>
            <w:r>
              <w:rPr>
                <w:sz w:val="20"/>
                <w:szCs w:val="20"/>
              </w:rPr>
              <w:t xml:space="preserve">−7.8346</w:t>
            </w:r>
          </w:p>
        </w:tc>
        <w:tc>
          <w:tcPr/>
          <w:p>
            <w:pPr>
              <w:spacing w:before="0" w:after="0" w:line="240" w:lineRule="auto"/>
              <w:jc w:val="left"/>
            </w:pPr>
            <w:r>
              <w:rPr>
                <w:sz w:val="20"/>
                <w:szCs w:val="20"/>
              </w:rPr>
              <w:t xml:space="preserve">−1.74 (0.081)</w:t>
            </w:r>
          </w:p>
        </w:tc>
        <w:tc>
          <w:tcPr/>
          <w:p>
            <w:pPr>
              <w:spacing w:before="0" w:after="0" w:line="240" w:lineRule="auto"/>
              <w:jc w:val="left"/>
            </w:pPr>
            <w:r>
              <w:rPr>
                <w:sz w:val="20"/>
                <w:szCs w:val="20"/>
              </w:rPr>
              <w:t xml:space="preserve">−1.45 (0.146)</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−7.9298</w:t>
            </w:r>
          </w:p>
        </w:tc>
        <w:tc>
          <w:tcPr/>
          <w:p>
            <w:pPr>
              <w:spacing w:before="0" w:after="0" w:line="240" w:lineRule="auto"/>
              <w:jc w:val="left"/>
            </w:pPr>
            <w:r>
              <w:rPr>
                <w:sz w:val="20"/>
                <w:szCs w:val="20"/>
              </w:rPr>
              <w:t xml:space="preserve">−7.9258</w:t>
            </w:r>
          </w:p>
        </w:tc>
        <w:tc>
          <w:tcPr/>
          <w:p>
            <w:pPr>
              <w:spacing w:before="0" w:after="0" w:line="240" w:lineRule="auto"/>
              <w:jc w:val="left"/>
            </w:pPr>
            <w:r>
              <w:rPr>
                <w:sz w:val="20"/>
                <w:szCs w:val="20"/>
              </w:rPr>
              <w:t xml:space="preserve">−7.9252</w:t>
            </w:r>
          </w:p>
        </w:tc>
        <w:tc>
          <w:tcPr/>
          <w:p>
            <w:pPr>
              <w:spacing w:before="0" w:after="0" w:line="240" w:lineRule="auto"/>
              <w:jc w:val="left"/>
            </w:pPr>
            <w:r>
              <w:rPr>
                <w:sz w:val="20"/>
                <w:szCs w:val="20"/>
              </w:rPr>
              <w:t xml:space="preserve">−1.82 (0.069)</w:t>
            </w:r>
          </w:p>
        </w:tc>
        <w:tc>
          <w:tcPr/>
          <w:p>
            <w:pPr>
              <w:spacing w:before="0" w:after="0" w:line="240" w:lineRule="auto"/>
              <w:jc w:val="left"/>
            </w:pPr>
            <w:r>
              <w:rPr>
                <w:sz w:val="20"/>
                <w:szCs w:val="20"/>
              </w:rPr>
              <w:t xml:space="preserve">−1.44 (0.150)</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−7.8904</w:t>
            </w:r>
          </w:p>
        </w:tc>
        <w:tc>
          <w:tcPr/>
          <w:p>
            <w:pPr>
              <w:spacing w:before="0" w:after="0" w:line="240" w:lineRule="auto"/>
              <w:jc w:val="left"/>
            </w:pPr>
            <w:r>
              <w:rPr>
                <w:sz w:val="20"/>
                <w:szCs w:val="20"/>
              </w:rPr>
              <w:t xml:space="preserve">−7.8880</w:t>
            </w:r>
          </w:p>
        </w:tc>
        <w:tc>
          <w:tcPr/>
          <w:p>
            <w:pPr>
              <w:spacing w:before="0" w:after="0" w:line="240" w:lineRule="auto"/>
              <w:jc w:val="left"/>
            </w:pPr>
            <w:r>
              <w:rPr>
                <w:sz w:val="20"/>
                <w:szCs w:val="20"/>
              </w:rPr>
              <w:t xml:space="preserve">−7.8867</w:t>
            </w:r>
          </w:p>
        </w:tc>
        <w:tc>
          <w:tcPr/>
          <w:p>
            <w:pPr>
              <w:spacing w:before="0" w:after="0" w:line="240" w:lineRule="auto"/>
              <w:jc w:val="left"/>
            </w:pPr>
            <w:r>
              <w:rPr>
                <w:sz w:val="20"/>
                <w:szCs w:val="20"/>
              </w:rPr>
              <w:t xml:space="preserve">−1.64 (0.100)</w:t>
            </w:r>
          </w:p>
        </w:tc>
        <w:tc>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turbulent regimes, the sign pattern any pooled correlation produces; for nested pairs the misstatement is at most 2.35% (Table S14). Against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which satisfies the same identity and so checks the detrending only, gives a purged coefficient of 0.882–0.891 and a three-pair gap of 0.086–0.096 (Table S4). The daily gap interval stays within 0.070–0.119 for blocks of 5–60 days (Table S6), and the daily VN30–VNINDEX average is 0.9665, 0.9663 and 0.9667 for detrending orders 1–3. Proxies that replace the capitalization weight, such as a volatility-scaled weight of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Item</w:t>
            </w:r>
          </w:p>
        </w:tc>
        <w:tc>
          <w:tcPr/>
          <w:p>
            <w:pPr>
              <w:spacing w:before="0" w:after="0" w:line="240" w:lineRule="auto"/>
              <w:jc w:val="left"/>
            </w:pPr>
            <w:r>
              <w:rPr>
                <w:sz w:val="20"/>
                <w:szCs w:val="20"/>
              </w:rPr>
              <w:t xml:space="preserve">Statistic</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c>
          <w:tcPr/>
          <w:p>
            <w:pPr>
              <w:spacing w:before="0" w:after="0" w:line="240" w:lineRule="auto"/>
              <w:jc w:val="left"/>
            </w:pPr>
            <w:r>
              <w:rPr>
                <w:sz w:val="20"/>
                <w:szCs w:val="20"/>
              </w:rPr>
              <w:t xml:space="preserve">Comment</w:t>
            </w:r>
          </w:p>
        </w:tc>
      </w:tr>
      <w:tr>
        <w:tc>
          <w:tcPr/>
          <w:p>
            <w:pPr>
              <w:spacing w:before="0" w:after="0" w:line="240" w:lineRule="auto"/>
              <w:jc w:val="left"/>
            </w:pPr>
            <w:r>
              <w:rPr>
                <w:sz w:val="20"/>
                <w:szCs w:val="20"/>
              </w:rPr>
              <w:t xml:space="preserve">E1 Benchmark and attribution</w:t>
            </w:r>
          </w:p>
        </w:tc>
        <w:tc>
          <w:tcPr/>
          <w:p>
            <w:pPr>
              <w:spacing w:before="0" w:after="0" w:line="240" w:lineRule="auto"/>
              <w:jc w:val="left"/>
            </w:pPr>
            <w:r>
              <w:rPr>
                <w:sz w:val="20"/>
                <w:szCs w:val="20"/>
              </w:rPr>
              <w:t xml:space="preserve">ρ̲; Shapley share</w:t>
            </w:r>
          </w:p>
        </w:tc>
        <w:tc>
          <w:tcPr/>
          <w:p>
            <w:pPr>
              <w:spacing w:before="0" w:after="0" w:line="240" w:lineRule="auto"/>
              <w:jc w:val="left"/>
            </w:pPr>
            <w:r>
              <w:rPr>
                <w:sz w:val="20"/>
                <w:szCs w:val="20"/>
              </w:rPr>
              <w:t xml:space="preserve">ρ̲ 0.893–0.900; Shapley 0.505–0.508</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Attribution depends mainly on the weight</w:t>
            </w:r>
          </w:p>
        </w:tc>
      </w:tr>
      <w:tr>
        <w:tc>
          <w:tcPr/>
          <w:p>
            <w:pPr>
              <w:spacing w:before="0" w:after="0" w:line="240" w:lineRule="auto"/>
              <w:jc w:val="left"/>
            </w:pPr>
            <w:r>
              <w:rPr>
                <w:sz w:val="20"/>
                <w:szCs w:val="20"/>
              </w:rPr>
              <w:t xml:space="preserve">E2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0.106–0.112; with weight uncertainty 0.07–0.17</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Damping factor of about ten</w:t>
            </w:r>
          </w:p>
        </w:tc>
      </w:tr>
      <w:tr>
        <w:tc>
          <w:tcPr/>
          <w:p>
            <w:pPr>
              <w:spacing w:before="0" w:after="0" w:line="240" w:lineRule="auto"/>
              <w:jc w:val="left"/>
            </w:pPr>
            <w:r>
              <w:rPr>
                <w:sz w:val="20"/>
                <w:szCs w:val="20"/>
              </w:rPr>
              <w:t xml:space="preserve">E3 In-sample misstatement</w:t>
            </w:r>
          </w:p>
        </w:tc>
        <w:tc>
          <w:tcPr/>
          <w:p>
            <w:pPr>
              <w:spacing w:before="0" w:after="0" w:line="240" w:lineRule="auto"/>
              <w:jc w:val="left"/>
            </w:pPr>
            <w:r>
              <w:rPr>
                <w:sz w:val="20"/>
                <w:szCs w:val="20"/>
              </w:rPr>
              <w:t xml:space="preserve">RE, Eq. (16)</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Sign pattern expected from pooling</w:t>
            </w:r>
          </w:p>
        </w:tc>
      </w:tr>
      <w:tr>
        <w:tc>
          <w:tcPr/>
          <w:p>
            <w:pPr>
              <w:spacing w:before="0" w:after="0" w:line="240" w:lineRule="auto"/>
              <w:jc w:val="left"/>
            </w:pPr>
            <w:r>
              <w:rPr>
                <w:sz w:val="20"/>
                <w:szCs w:val="20"/>
              </w:rPr>
              <w:t xml:space="preserve">H1 Material overlap gap</w:t>
            </w:r>
          </w:p>
        </w:tc>
        <w:tc>
          <w:tcPr/>
          <w:p>
            <w:pPr>
              <w:spacing w:before="0" w:after="0" w:line="240" w:lineRule="auto"/>
              <w:jc w:val="left"/>
            </w:pPr>
            <w:r>
              <w:rPr>
                <w:sz w:val="20"/>
                <w:szCs w:val="20"/>
              </w:rPr>
              <w:t xml:space="preserve">Like-for-like gap; lower CI &gt; 0.05</w:t>
            </w:r>
          </w:p>
        </w:tc>
        <w:tc>
          <w:tcPr/>
          <w:p>
            <w:pPr>
              <w:spacing w:before="0" w:after="0" w:line="240" w:lineRule="auto"/>
              <w:jc w:val="left"/>
            </w:pPr>
            <w:r>
              <w:rPr>
                <w:sz w:val="20"/>
                <w:szCs w:val="20"/>
              </w:rPr>
              <w:t xml:space="preserve">Gap 0.099–0.104; lower CI ≥ 0.084</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Holds under weight uncertainty</w:t>
            </w:r>
          </w:p>
        </w:tc>
      </w:tr>
      <w:tr>
        <w:tc>
          <w:tcPr/>
          <w:p>
            <w:pPr>
              <w:spacing w:before="0" w:after="0" w:line="240" w:lineRule="auto"/>
              <w:jc w:val="left"/>
            </w:pPr>
            <w:r>
              <w:rPr>
                <w:sz w:val="20"/>
                <w:szCs w:val="20"/>
              </w:rPr>
              <w:t xml:space="preserve">H2 Horizon dependence</w:t>
            </w:r>
          </w:p>
        </w:tc>
        <w:tc>
          <w:tcPr/>
          <w:p>
            <w:pPr>
              <w:spacing w:before="0" w:after="0" w:line="240" w:lineRule="auto"/>
              <w:jc w:val="left"/>
            </w:pPr>
            <w:r>
              <w:rPr>
                <w:sz w:val="20"/>
                <w:szCs w:val="20"/>
              </w:rPr>
              <w:t xml:space="preserve">Studentized slopes; Holm (H2 family); TOST</w:t>
            </w:r>
          </w:p>
        </w:tc>
        <w:tc>
          <w:tcPr/>
          <w:p>
            <w:pPr>
              <w:spacing w:before="0" w:after="0" w:line="240" w:lineRule="auto"/>
              <w:jc w:val="left"/>
            </w:pPr>
            <w:r>
              <w:rPr>
                <w:sz w:val="20"/>
                <w:szCs w:val="20"/>
              </w:rPr>
              <w:t xml:space="preserve">4 of 8 broad-market slopes significant, all intraday; VN30–VN100 equivalent to zero at M30, H1</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Not robust: vanishes without the auction bars</w:t>
            </w:r>
          </w:p>
        </w:tc>
      </w:tr>
      <w:tr>
        <w:tc>
          <w:tcPr/>
          <w:p>
            <w:pPr>
              <w:spacing w:before="0" w:after="0" w:line="240" w:lineRule="auto"/>
              <w:jc w:val="left"/>
            </w:pPr>
            <w:r>
              <w:rPr>
                <w:sz w:val="20"/>
                <w:szCs w:val="20"/>
              </w:rPr>
              <w:t xml:space="preserve">H3 Contagion</w:t>
            </w:r>
          </w:p>
        </w:tc>
        <w:tc>
          <w:tcPr/>
          <w:p>
            <w:pPr>
              <w:spacing w:before="0" w:after="0" w:line="240" w:lineRule="auto"/>
              <w:jc w:val="left"/>
            </w:pPr>
            <w:r>
              <w:rPr>
                <w:sz w:val="20"/>
                <w:szCs w:val="20"/>
              </w:rPr>
              <w:t xml:space="preserve">FR adjustment and Δβ, VN30 regimes</w:t>
            </w:r>
          </w:p>
        </w:tc>
        <w:tc>
          <w:tcPr/>
          <w:p>
            <w:pPr>
              <w:spacing w:before="0" w:after="0" w:line="240" w:lineRule="auto"/>
              <w:jc w:val="left"/>
            </w:pPr>
            <w:r>
              <w:rPr>
                <w:sz w:val="20"/>
                <w:szCs w:val="20"/>
              </w:rPr>
              <w:t xml:space="preserve">FR p = 0.998; Δβ = 0.210, p &lt; 0.001</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Loading rises on high-volatility days; residual variance rises too</w:t>
            </w:r>
          </w:p>
        </w:tc>
      </w:tr>
      <w:tr>
        <w:tc>
          <w:tcPr/>
          <w:p>
            <w:pPr>
              <w:spacing w:before="0" w:after="0" w:line="240" w:lineRule="auto"/>
              <w:jc w:val="left"/>
            </w:pPr>
            <w:r>
              <w:rPr>
                <w:sz w:val="20"/>
                <w:szCs w:val="20"/>
              </w:rPr>
              <w:t xml:space="preserve">H4 Value of regime conditioning</w:t>
            </w:r>
          </w:p>
        </w:tc>
        <w:tc>
          <w:tcPr/>
          <w:p>
            <w:pPr>
              <w:spacing w:before="0" w:after="0" w:line="240" w:lineRule="auto"/>
              <w:jc w:val="left"/>
            </w:pPr>
            <w:r>
              <w:rPr>
                <w:sz w:val="20"/>
                <w:szCs w:val="20"/>
              </w:rPr>
              <w:t xml:space="preserve">QLIKE; Diebold–Mariano</w:t>
            </w:r>
          </w:p>
        </w:tc>
        <w:tc>
          <w:tcPr/>
          <w:p>
            <w:pPr>
              <w:spacing w:before="0" w:after="0" w:line="240" w:lineRule="auto"/>
              <w:jc w:val="left"/>
            </w:pPr>
            <w:r>
              <w:rPr>
                <w:sz w:val="20"/>
                <w:szCs w:val="20"/>
              </w:rPr>
              <w:t xml:space="preserve">Static lowest for all pairs; p 0.07–0.18</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nested results have one source.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and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intraday the lead is symmetric (Table S9). The auction-bar horizon dependence of broad-market pairs fits the Epps (1979) effect for small, fragile-liquidity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Nested index correlations used to judge diversification between tiers should first be decomposed.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A VNMIDCAP ETF holder hedging with VN30 futures keeps about a fifth of the variance on average and about half in calm markets, the basis risk a mid-cap derivative would remove; whether one would be viable we do not study. Regime-conditioned tier correlations are not supported: their in-sample gain is mostly within sampling error and vanishes out of sample. The error that matters is reading a nested correlation as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remainder is no more volatile, so large mechanical components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and VN100 free-float capitalization, so VN100 is not a fixed-weight component of VNINDEX, and the mismatch term of Eq. (12) cannot be bounded without constituent data.</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Carrying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2026-10-10T07:36:34Z</dcterms:created>
  <dcterms:modified xsi:type="dcterms:W3CDTF">2026-10-10T07:36:34Z</dcterms:modified>
</cp:coreProperties>
</file>

<file path=docProps/custom.xml><?xml version="1.0" encoding="utf-8"?>
<Properties xmlns="http://schemas.openxmlformats.org/officeDocument/2006/custom-properties" xmlns:vt="http://schemas.openxmlformats.org/officeDocument/2006/docPropsVTypes"/>
</file>