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Construction? A Scale-Wise Part–Whole Decomposition with Evidence from Vietnam</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extend the classical part–whole correlation identity to detrended cross-correlation analysis (DCCA). At every timescale, the coefficient between a parent and a child index is then a closed-form function of the child’s weight, the relative amplitude of the remaining constituents, and the overlap-purged coefficient between the child and those constituents. The identity yields a zero-correlation benchmark, an exact lower bound, the sensitivity of the nested coefficient to the purged coefficient, and an order-free attribution, and it requires only index-level inputs. On the Ho Chi Minh City Stock Exchange (VN30 within VN100 within VNINDEX, 30-minute to daily data, 2014–2025), the VN30–VN100 coefficient moves by only about 0.11 per unit change in the purged coefficient. Purging the overlap lowers the correlation with large caps by about 0.10 at every frequency. The decomposition barely varies across scales and frequencies; therefore,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portfolio risk;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measure of how much one market segment diversifies another (Markowitz 1952). Nested index systems add a problem unrelated to estimation error: the parent contains the child; therefore, part of their correlation is fixed by construction. On the Ho Chi Minh City Stock Exchange (HOSE),</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As a measure of how mid caps move with large caps, this number mixes economic linkage with double counting of VN30 stocks on both sides. Holdings-based risk models avoid this problem; however, users of index-level data cannot. The arithmetic is old (Pearson 1897; Cureton 1966), but no version exists for the detrended, scale-dependent coefficients of the detrended cross-correlation analysis (DCCA) literature, which studies only pairs without shared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Our contribution is to build this version. Lemma 1 shows that, at every timescale, the DCCA coefficient of a nested pair is a known function of the child’s weight, the relative amplitude κ(s) of the remaining constituents, and the overlap-purged coefficient between the child and those constituents. It yields a zero-correlation benchmark, an exact lower bound, the sensitivity of the nested coefficient to the purged one, and an order-free attribution, all computable from index-level data (Section 4.2). We apply it to VN30, VN100, and VNINDEX at 30-minute to daily frequencies (2014–2025), with a block bootstrap that also draws the index weight. We then use the purged series to test hypotheses on horizon dependence, contagion, and the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The VN30–VN100 coefficient responds to the purged coefficient with a sensitivity of 0.106–0.112, and the like-for-like gap between the nested and purged coefficients is 0.099–0.104. Because κ hardly varies with the timescale (0.47–0.52), the Pearson version provides the same answer. Horizon dependence is confined to the auction bars of intraday broad-market pairs. Crisis evidence depends on whether contagion is measured by an adjusted correlation or factor loading, and regime-conditioned correlations do not outperform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Sections 3–5 present the data, methods, and results; Section 6 discusses them; and Section 7 concludes. Further checks are in Online Resource 2.</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nested index correlations: part–whole correlation, detrended cross-correlation, index membership, size-based lead–lag effects, and contagion.</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item–total correlations, and Cureton (1966) gave a standard correction.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Users who observe only index levels lack a return-based counterpart.</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Others track contagion (Okorie and Lin 2021; Tilfani et al. 2021) or information flow (Zhou et al. 2025) and build scale-aware portfolios (Wang et al. 2021; Kakinaka et al. 2025). These studies treat the coefficient as economic dependence between disjoint assets; none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This evidence is contested: much of the post-inclusion rise also appears in matched stocks that were not added (Chen et al. 2016), and the S&amp;P 500 index effect has almost disappeared (Greenwood and Sammon 2025). Membership-based co-movement is therefore a weak guide, even where the indices do not overlap. Our concern is the arithmetic overlap, which raises correlations even if investors do not trade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the slow diffusion of industry information. Non-synchronous trading depresses short-horizon correlations (Epps 1979), an effect whose size depends on the sampling scheme (Chang et al. 2021), and gradual diffusion (Hong and Stein 1999) allows co-movement to build with the horizon. On the HOSE, small-firm liquidity fell after a market surveillance system was introduced (Chen et al. 2021), and price adjustment is delayed under retail-heavy trading (Tran and Tran 2025). Three forces raise all correlations at once: herding in stress (Nguyen et al. 2023), sector connectedness above 60% that rose to near 90% during COVID-19 (Bui et al. 2022), and nonlinear regional dependence (Le et al. 2025).</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thus,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the representative studies.</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00"/>
        <w:gridCol w:w="1588"/>
        <w:gridCol w:w="1686"/>
        <w:gridCol w:w="1393"/>
        <w:gridCol w:w="710"/>
        <w:gridCol w:w="1198"/>
        <w:gridCol w:w="1686"/>
      </w:tblGrid>
      <w:tr>
        <w:trPr>
          <w:tblHeader w:val="true"/>
        </w:trPr>
        <w:tc>
          <w:tcPr>
            <w:tcW w:w="1100" w:type="dxa"/>
          </w:tcPr>
          <w:p>
            <w:pPr>
              <w:spacing w:before="0" w:after="0" w:line="240" w:lineRule="auto"/>
              <w:jc w:val="left"/>
            </w:pPr>
            <w:r>
              <w:rPr>
                <w:sz w:val="20"/>
                <w:szCs w:val="20"/>
              </w:rPr>
              <w:t xml:space="preserve">Study</w:t>
            </w:r>
          </w:p>
        </w:tc>
        <w:tc>
          <w:tcPr>
            <w:tcW w:w="1588" w:type="dxa"/>
          </w:tcPr>
          <w:p>
            <w:pPr>
              <w:spacing w:before="0" w:after="0" w:line="240" w:lineRule="auto"/>
              <w:jc w:val="left"/>
            </w:pPr>
            <w:r>
              <w:rPr>
                <w:sz w:val="20"/>
                <w:szCs w:val="20"/>
              </w:rPr>
              <w:t xml:space="preserve">Market and data</w:t>
            </w:r>
          </w:p>
        </w:tc>
        <w:tc>
          <w:tcPr>
            <w:tcW w:w="1686" w:type="dxa"/>
          </w:tcPr>
          <w:p>
            <w:pPr>
              <w:spacing w:before="0" w:after="0" w:line="240" w:lineRule="auto"/>
              <w:jc w:val="left"/>
            </w:pPr>
            <w:r>
              <w:rPr>
                <w:sz w:val="20"/>
                <w:szCs w:val="20"/>
              </w:rPr>
              <w:t xml:space="preserve">Method</w:t>
            </w:r>
          </w:p>
        </w:tc>
        <w:tc>
          <w:tcPr>
            <w:tcW w:w="1393" w:type="dxa"/>
          </w:tcPr>
          <w:p>
            <w:pPr>
              <w:spacing w:before="0" w:after="0" w:line="240" w:lineRule="auto"/>
              <w:jc w:val="left"/>
            </w:pPr>
            <w:r>
              <w:rPr>
                <w:sz w:val="20"/>
                <w:szCs w:val="20"/>
              </w:rPr>
              <w:t xml:space="preserve">Overlap treated?</w:t>
            </w:r>
          </w:p>
        </w:tc>
        <w:tc>
          <w:tcPr>
            <w:tcW w:w="710" w:type="dxa"/>
          </w:tcPr>
          <w:p>
            <w:pPr>
              <w:spacing w:before="0" w:after="0" w:line="240" w:lineRule="auto"/>
              <w:jc w:val="left"/>
            </w:pPr>
            <w:r>
              <w:rPr>
                <w:sz w:val="20"/>
                <w:szCs w:val="20"/>
              </w:rPr>
              <w:t xml:space="preserve">Scale-wise?</w:t>
            </w:r>
          </w:p>
        </w:tc>
        <w:tc>
          <w:tcPr>
            <w:tcW w:w="1198" w:type="dxa"/>
          </w:tcPr>
          <w:p>
            <w:pPr>
              <w:spacing w:before="0" w:after="0" w:line="240" w:lineRule="auto"/>
              <w:jc w:val="left"/>
            </w:pPr>
            <w:r>
              <w:rPr>
                <w:sz w:val="20"/>
                <w:szCs w:val="20"/>
              </w:rPr>
              <w:t xml:space="preserve">Volatility-robust test?</w:t>
            </w:r>
          </w:p>
        </w:tc>
        <w:tc>
          <w:tcPr>
            <w:tcW w:w="1686" w:type="dxa"/>
          </w:tcPr>
          <w:p>
            <w:pPr>
              <w:spacing w:before="0" w:after="0" w:line="240" w:lineRule="auto"/>
              <w:jc w:val="left"/>
            </w:pPr>
            <w:r>
              <w:rPr>
                <w:sz w:val="20"/>
                <w:szCs w:val="20"/>
              </w:rPr>
              <w:t xml:space="preserve">Main finding</w:t>
            </w:r>
          </w:p>
        </w:tc>
      </w:tr>
      <w:tr>
        <w:tc>
          <w:tcPr>
            <w:tcW w:w="1100" w:type="dxa"/>
          </w:tcPr>
          <w:p>
            <w:pPr>
              <w:spacing w:before="0" w:after="0" w:line="240" w:lineRule="auto"/>
              <w:jc w:val="left"/>
            </w:pPr>
            <w:r>
              <w:rPr>
                <w:sz w:val="20"/>
                <w:szCs w:val="20"/>
              </w:rPr>
              <w:t xml:space="preserve">Pearson (1897); Cureton (1966)</w:t>
            </w:r>
          </w:p>
        </w:tc>
        <w:tc>
          <w:tcPr>
            <w:tcW w:w="1588" w:type="dxa"/>
          </w:tcPr>
          <w:p>
            <w:pPr>
              <w:spacing w:before="0" w:after="0" w:line="240" w:lineRule="auto"/>
              <w:jc w:val="left"/>
            </w:pPr>
            <w:r>
              <w:rPr>
                <w:sz w:val="20"/>
                <w:szCs w:val="20"/>
              </w:rPr>
              <w:t xml:space="preserve">Ratios with a common component; test items</w:t>
            </w:r>
          </w:p>
        </w:tc>
        <w:tc>
          <w:tcPr>
            <w:tcW w:w="1686" w:type="dxa"/>
          </w:tcPr>
          <w:p>
            <w:pPr>
              <w:spacing w:before="0" w:after="0" w:line="240" w:lineRule="auto"/>
              <w:jc w:val="left"/>
            </w:pPr>
            <w:r>
              <w:rPr>
                <w:sz w:val="20"/>
                <w:szCs w:val="20"/>
              </w:rPr>
              <w:t xml:space="preserve">Pearson correlation</w:t>
            </w:r>
          </w:p>
        </w:tc>
        <w:tc>
          <w:tcPr>
            <w:tcW w:w="1393" w:type="dxa"/>
          </w:tcPr>
          <w:p>
            <w:pPr>
              <w:spacing w:before="0" w:after="0" w:line="240" w:lineRule="auto"/>
              <w:jc w:val="left"/>
            </w:pPr>
            <w:r>
              <w:rPr>
                <w:sz w:val="20"/>
                <w:szCs w:val="20"/>
              </w:rPr>
              <w:t xml:space="preserve">Yes (static)</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Correlation of a whole with its part is inflated</w:t>
            </w:r>
          </w:p>
        </w:tc>
      </w:tr>
      <w:tr>
        <w:tc>
          <w:tcPr>
            <w:tcW w:w="1100" w:type="dxa"/>
          </w:tcPr>
          <w:p>
            <w:pPr>
              <w:spacing w:before="0" w:after="0" w:line="240" w:lineRule="auto"/>
              <w:jc w:val="left"/>
            </w:pPr>
            <w:r>
              <w:rPr>
                <w:sz w:val="20"/>
                <w:szCs w:val="20"/>
              </w:rPr>
              <w:t xml:space="preserve">Cremers and Petajisto (2009)</w:t>
            </w:r>
          </w:p>
        </w:tc>
        <w:tc>
          <w:tcPr>
            <w:tcW w:w="1588" w:type="dxa"/>
          </w:tcPr>
          <w:p>
            <w:pPr>
              <w:spacing w:before="0" w:after="0" w:line="240" w:lineRule="auto"/>
              <w:jc w:val="left"/>
            </w:pPr>
            <w:r>
              <w:rPr>
                <w:sz w:val="20"/>
                <w:szCs w:val="20"/>
              </w:rPr>
              <w:t xml:space="preserve">US mutual funds</w:t>
            </w:r>
          </w:p>
        </w:tc>
        <w:tc>
          <w:tcPr>
            <w:tcW w:w="1686" w:type="dxa"/>
          </w:tcPr>
          <w:p>
            <w:pPr>
              <w:spacing w:before="0" w:after="0" w:line="240" w:lineRule="auto"/>
              <w:jc w:val="left"/>
            </w:pPr>
            <w:r>
              <w:rPr>
                <w:sz w:val="20"/>
                <w:szCs w:val="20"/>
              </w:rPr>
              <w:t xml:space="preserve">Holdings overlap (Active Share)</w:t>
            </w:r>
          </w:p>
        </w:tc>
        <w:tc>
          <w:tcPr>
            <w:tcW w:w="1393" w:type="dxa"/>
          </w:tcPr>
          <w:p>
            <w:pPr>
              <w:spacing w:before="0" w:after="0" w:line="240" w:lineRule="auto"/>
              <w:jc w:val="left"/>
            </w:pPr>
            <w:r>
              <w:rPr>
                <w:sz w:val="20"/>
                <w:szCs w:val="20"/>
              </w:rPr>
              <w:t xml:space="preserve">Yes (holdings)</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Overlap with benchmark holdings measures activity</w:t>
            </w:r>
          </w:p>
        </w:tc>
      </w:tr>
      <w:tr>
        <w:tc>
          <w:tcPr>
            <w:tcW w:w="1100" w:type="dxa"/>
          </w:tcPr>
          <w:p>
            <w:pPr>
              <w:spacing w:before="0" w:after="0" w:line="240" w:lineRule="auto"/>
              <w:jc w:val="left"/>
            </w:pPr>
            <w:r>
              <w:rPr>
                <w:sz w:val="20"/>
                <w:szCs w:val="20"/>
              </w:rPr>
              <w:t xml:space="preserve">Barberis et al. (2005); Greenwood (2008); Chen et al. (2016)</w:t>
            </w:r>
          </w:p>
        </w:tc>
        <w:tc>
          <w:tcPr>
            <w:tcW w:w="1588" w:type="dxa"/>
          </w:tcPr>
          <w:p>
            <w:pPr>
              <w:spacing w:before="0" w:after="0" w:line="240" w:lineRule="auto"/>
              <w:jc w:val="left"/>
            </w:pPr>
            <w:r>
              <w:rPr>
                <w:sz w:val="20"/>
                <w:szCs w:val="20"/>
              </w:rPr>
              <w:t xml:space="preserve">S&amp;P 500; Nikkei 225</w:t>
            </w:r>
          </w:p>
        </w:tc>
        <w:tc>
          <w:tcPr>
            <w:tcW w:w="1686" w:type="dxa"/>
          </w:tcPr>
          <w:p>
            <w:pPr>
              <w:spacing w:before="0" w:after="0" w:line="240" w:lineRule="auto"/>
              <w:jc w:val="left"/>
            </w:pPr>
            <w:r>
              <w:rPr>
                <w:sz w:val="20"/>
                <w:szCs w:val="20"/>
              </w:rPr>
              <w:t xml:space="preserve">Event study; index weights</w:t>
            </w:r>
          </w:p>
        </w:tc>
        <w:tc>
          <w:tcPr>
            <w:tcW w:w="1393" w:type="dxa"/>
          </w:tcPr>
          <w:p>
            <w:pPr>
              <w:spacing w:before="0" w:after="0" w:line="240" w:lineRule="auto"/>
              <w:jc w:val="left"/>
            </w:pPr>
            <w:r>
              <w:rPr>
                <w:sz w:val="20"/>
                <w:szCs w:val="20"/>
              </w:rPr>
              <w:t xml:space="preserve">Membership, not overlap</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Membership effect on co-movement is contested</w:t>
            </w:r>
          </w:p>
        </w:tc>
      </w:tr>
      <w:tr>
        <w:tc>
          <w:tcPr>
            <w:tcW w:w="1100" w:type="dxa"/>
          </w:tcPr>
          <w:p>
            <w:pPr>
              <w:spacing w:before="0" w:after="0" w:line="240" w:lineRule="auto"/>
              <w:jc w:val="left"/>
            </w:pPr>
            <w:r>
              <w:rPr>
                <w:sz w:val="20"/>
                <w:szCs w:val="20"/>
              </w:rPr>
              <w:t xml:space="preserve">Podobnik and Stanley (2008); Zebende (2011)</w:t>
            </w:r>
          </w:p>
        </w:tc>
        <w:tc>
          <w:tcPr>
            <w:tcW w:w="1588" w:type="dxa"/>
          </w:tcPr>
          <w:p>
            <w:pPr>
              <w:spacing w:before="0" w:after="0" w:line="240" w:lineRule="auto"/>
              <w:jc w:val="left"/>
            </w:pPr>
            <w:r>
              <w:rPr>
                <w:sz w:val="20"/>
                <w:szCs w:val="20"/>
              </w:rPr>
              <w:t xml:space="preserve">Methodological</w:t>
            </w:r>
          </w:p>
        </w:tc>
        <w:tc>
          <w:tcPr>
            <w:tcW w:w="1686" w:type="dxa"/>
          </w:tcPr>
          <w:p>
            <w:pPr>
              <w:spacing w:before="0" w:after="0" w:line="240" w:lineRule="auto"/>
              <w:jc w:val="left"/>
            </w:pPr>
            <w:r>
              <w:rPr>
                <w:sz w:val="20"/>
                <w:szCs w:val="20"/>
              </w:rPr>
              <w:t xml:space="preserve">DCCA; ρDCCA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Scale-wise detrended covariance and coefficient</w:t>
            </w:r>
          </w:p>
        </w:tc>
      </w:tr>
      <w:tr>
        <w:tc>
          <w:tcPr>
            <w:tcW w:w="1100" w:type="dxa"/>
          </w:tcPr>
          <w:p>
            <w:pPr>
              <w:spacing w:before="0" w:after="0" w:line="240" w:lineRule="auto"/>
              <w:jc w:val="left"/>
            </w:pPr>
            <w:r>
              <w:rPr>
                <w:sz w:val="20"/>
                <w:szCs w:val="20"/>
              </w:rPr>
              <w:t xml:space="preserve">Okorie and Lin (2021); Tilfani et al. (2021)</w:t>
            </w:r>
          </w:p>
        </w:tc>
        <w:tc>
          <w:tcPr>
            <w:tcW w:w="1588" w:type="dxa"/>
          </w:tcPr>
          <w:p>
            <w:pPr>
              <w:spacing w:before="0" w:after="0" w:line="240" w:lineRule="auto"/>
              <w:jc w:val="left"/>
            </w:pPr>
            <w:r>
              <w:rPr>
                <w:sz w:val="20"/>
                <w:szCs w:val="20"/>
              </w:rPr>
              <w:t xml:space="preserve">Stock markets, COVID-19</w:t>
            </w:r>
          </w:p>
        </w:tc>
        <w:tc>
          <w:tcPr>
            <w:tcW w:w="1686" w:type="dxa"/>
          </w:tcPr>
          <w:p>
            <w:pPr>
              <w:spacing w:before="0" w:after="0" w:line="240" w:lineRule="auto"/>
              <w:jc w:val="left"/>
            </w:pPr>
            <w:r>
              <w:rPr>
                <w:sz w:val="20"/>
                <w:szCs w:val="20"/>
              </w:rPr>
              <w:t xml:space="preserve">DCCA, DMCA; sliding windows</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Fractal contagion that fades with the horizon</w:t>
            </w:r>
          </w:p>
        </w:tc>
      </w:tr>
      <w:tr>
        <w:tc>
          <w:tcPr>
            <w:tcW w:w="1100" w:type="dxa"/>
          </w:tcPr>
          <w:p>
            <w:pPr>
              <w:spacing w:before="0" w:after="0" w:line="240" w:lineRule="auto"/>
              <w:jc w:val="left"/>
            </w:pPr>
            <w:r>
              <w:rPr>
                <w:sz w:val="20"/>
                <w:szCs w:val="20"/>
              </w:rPr>
              <w:t xml:space="preserve">Ge and Lin (2021); Chen et al. (2024)</w:t>
            </w:r>
          </w:p>
        </w:tc>
        <w:tc>
          <w:tcPr>
            <w:tcW w:w="1588" w:type="dxa"/>
          </w:tcPr>
          <w:p>
            <w:pPr>
              <w:spacing w:before="0" w:after="0" w:line="240" w:lineRule="auto"/>
              <w:jc w:val="left"/>
            </w:pPr>
            <w:r>
              <w:rPr>
                <w:sz w:val="20"/>
                <w:szCs w:val="20"/>
              </w:rPr>
              <w:t xml:space="preserve">China and United States</w:t>
            </w:r>
          </w:p>
        </w:tc>
        <w:tc>
          <w:tcPr>
            <w:tcW w:w="1686" w:type="dxa"/>
          </w:tcPr>
          <w:p>
            <w:pPr>
              <w:spacing w:before="0" w:after="0" w:line="240" w:lineRule="auto"/>
              <w:jc w:val="left"/>
            </w:pPr>
            <w:r>
              <w:rPr>
                <w:sz w:val="20"/>
                <w:szCs w:val="20"/>
              </w:rPr>
              <w:t xml:space="preserve">MF-DCCA; partial MF-DCCA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 and size-dependent cross-correlation</w:t>
            </w:r>
          </w:p>
        </w:tc>
      </w:tr>
      <w:tr>
        <w:tc>
          <w:tcPr>
            <w:tcW w:w="1100" w:type="dxa"/>
          </w:tcPr>
          <w:p>
            <w:pPr>
              <w:spacing w:before="0" w:after="0" w:line="240" w:lineRule="auto"/>
              <w:jc w:val="left"/>
            </w:pPr>
            <w:r>
              <w:rPr>
                <w:sz w:val="20"/>
                <w:szCs w:val="20"/>
              </w:rPr>
              <w:t xml:space="preserve">Wang et al. (2021); Kakinaka et al. (2025)</w:t>
            </w:r>
          </w:p>
        </w:tc>
        <w:tc>
          <w:tcPr>
            <w:tcW w:w="1588" w:type="dxa"/>
          </w:tcPr>
          <w:p>
            <w:pPr>
              <w:spacing w:before="0" w:after="0" w:line="240" w:lineRule="auto"/>
              <w:jc w:val="left"/>
            </w:pPr>
            <w:r>
              <w:rPr>
                <w:sz w:val="20"/>
                <w:szCs w:val="20"/>
              </w:rPr>
              <w:t xml:space="preserve">Stock portfolios</w:t>
            </w:r>
          </w:p>
        </w:tc>
        <w:tc>
          <w:tcPr>
            <w:tcW w:w="1686" w:type="dxa"/>
          </w:tcPr>
          <w:p>
            <w:pPr>
              <w:spacing w:before="0" w:after="0" w:line="240" w:lineRule="auto"/>
              <w:jc w:val="left"/>
            </w:pPr>
            <w:r>
              <w:rPr>
                <w:sz w:val="20"/>
                <w:szCs w:val="20"/>
              </w:rPr>
              <w:t xml:space="preserve">Mean-MF-X-DMA; mean-DCCA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Scale-aware rules improve portfolio performance</w:t>
            </w:r>
          </w:p>
        </w:tc>
      </w:tr>
      <w:tr>
        <w:tc>
          <w:tcPr>
            <w:tcW w:w="1100" w:type="dxa"/>
          </w:tcPr>
          <w:p>
            <w:pPr>
              <w:spacing w:before="0" w:after="0" w:line="240" w:lineRule="auto"/>
              <w:jc w:val="left"/>
            </w:pPr>
            <w:r>
              <w:rPr>
                <w:sz w:val="20"/>
                <w:szCs w:val="20"/>
              </w:rPr>
              <w:t xml:space="preserve">Santana et al. (2023)</w:t>
            </w:r>
          </w:p>
        </w:tc>
        <w:tc>
          <w:tcPr>
            <w:tcW w:w="1588" w:type="dxa"/>
          </w:tcPr>
          <w:p>
            <w:pPr>
              <w:spacing w:before="0" w:after="0" w:line="240" w:lineRule="auto"/>
              <w:jc w:val="left"/>
            </w:pPr>
            <w:r>
              <w:rPr>
                <w:sz w:val="20"/>
                <w:szCs w:val="20"/>
              </w:rPr>
              <w:t xml:space="preserve">Crude oil and precious metals</w:t>
            </w:r>
          </w:p>
        </w:tc>
        <w:tc>
          <w:tcPr>
            <w:tcW w:w="1686" w:type="dxa"/>
          </w:tcPr>
          <w:p>
            <w:pPr>
              <w:spacing w:before="0" w:after="0" w:line="240" w:lineRule="auto"/>
              <w:jc w:val="left"/>
            </w:pPr>
            <w:r>
              <w:rPr>
                <w:sz w:val="20"/>
                <w:szCs w:val="20"/>
              </w:rPr>
              <w:t xml:space="preserve">ΔρDCCA test</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Contagion depends on the pair</w:t>
            </w:r>
          </w:p>
        </w:tc>
      </w:tr>
      <w:tr>
        <w:tc>
          <w:tcPr>
            <w:tcW w:w="1100" w:type="dxa"/>
          </w:tcPr>
          <w:p>
            <w:pPr>
              <w:spacing w:before="0" w:after="0" w:line="240" w:lineRule="auto"/>
              <w:jc w:val="left"/>
            </w:pPr>
            <w:r>
              <w:rPr>
                <w:sz w:val="20"/>
                <w:szCs w:val="20"/>
              </w:rPr>
              <w:t xml:space="preserve">Forbes and Rigobon (2002); Corsetti et al. (2005)</w:t>
            </w:r>
          </w:p>
        </w:tc>
        <w:tc>
          <w:tcPr>
            <w:tcW w:w="1588" w:type="dxa"/>
          </w:tcPr>
          <w:p>
            <w:pPr>
              <w:spacing w:before="0" w:after="0" w:line="240" w:lineRule="auto"/>
              <w:jc w:val="left"/>
            </w:pPr>
            <w:r>
              <w:rPr>
                <w:sz w:val="20"/>
                <w:szCs w:val="20"/>
              </w:rPr>
              <w:t xml:space="preserve">International stock markets</w:t>
            </w:r>
          </w:p>
        </w:tc>
        <w:tc>
          <w:tcPr>
            <w:tcW w:w="1686" w:type="dxa"/>
          </w:tcPr>
          <w:p>
            <w:pPr>
              <w:spacing w:before="0" w:after="0" w:line="240" w:lineRule="auto"/>
              <w:jc w:val="left"/>
            </w:pPr>
            <w:r>
              <w:rPr>
                <w:sz w:val="20"/>
                <w:szCs w:val="20"/>
              </w:rPr>
              <w:t xml:space="preserve">Adjusted correlation; factor model</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Interdependence versus contagion; bias from restricted idiosyncratic variance</w:t>
            </w:r>
          </w:p>
        </w:tc>
      </w:tr>
      <w:tr>
        <w:tc>
          <w:tcPr>
            <w:tcW w:w="1100" w:type="dxa"/>
          </w:tcPr>
          <w:p>
            <w:pPr>
              <w:spacing w:before="0" w:after="0" w:line="240" w:lineRule="auto"/>
              <w:jc w:val="left"/>
            </w:pPr>
            <w:r>
              <w:rPr>
                <w:sz w:val="20"/>
                <w:szCs w:val="20"/>
              </w:rPr>
              <w:t xml:space="preserve">Lo and MacKinlay (1990); Hou (2007)</w:t>
            </w:r>
          </w:p>
        </w:tc>
        <w:tc>
          <w:tcPr>
            <w:tcW w:w="1588" w:type="dxa"/>
          </w:tcPr>
          <w:p>
            <w:pPr>
              <w:spacing w:before="0" w:after="0" w:line="240" w:lineRule="auto"/>
              <w:jc w:val="left"/>
            </w:pPr>
            <w:r>
              <w:rPr>
                <w:sz w:val="20"/>
                <w:szCs w:val="20"/>
              </w:rPr>
              <w:t xml:space="preserve">US size portfolios</w:t>
            </w:r>
          </w:p>
        </w:tc>
        <w:tc>
          <w:tcPr>
            <w:tcW w:w="1686" w:type="dxa"/>
          </w:tcPr>
          <w:p>
            <w:pPr>
              <w:spacing w:before="0" w:after="0" w:line="240" w:lineRule="auto"/>
              <w:jc w:val="left"/>
            </w:pPr>
            <w:r>
              <w:rPr>
                <w:sz w:val="20"/>
                <w:szCs w:val="20"/>
              </w:rPr>
              <w:t xml:space="preserve">Cross-autocorrelation</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Large caps lead small caps</w:t>
            </w:r>
          </w:p>
        </w:tc>
      </w:tr>
      <w:tr>
        <w:tc>
          <w:tcPr>
            <w:tcW w:w="1100" w:type="dxa"/>
          </w:tcPr>
          <w:p>
            <w:pPr>
              <w:spacing w:before="0" w:after="0" w:line="240" w:lineRule="auto"/>
              <w:jc w:val="left"/>
            </w:pPr>
            <w:r>
              <w:rPr>
                <w:sz w:val="20"/>
                <w:szCs w:val="20"/>
              </w:rPr>
              <w:t xml:space="preserve">Bui et al. (2022); Tran and Tran (2025)</w:t>
            </w:r>
          </w:p>
        </w:tc>
        <w:tc>
          <w:tcPr>
            <w:tcW w:w="1588" w:type="dxa"/>
          </w:tcPr>
          <w:p>
            <w:pPr>
              <w:spacing w:before="0" w:after="0" w:line="240" w:lineRule="auto"/>
              <w:jc w:val="left"/>
            </w:pPr>
            <w:r>
              <w:rPr>
                <w:sz w:val="20"/>
                <w:szCs w:val="20"/>
              </w:rPr>
              <w:t xml:space="preserve">Vietnamese sectors; intraday HOSE</w:t>
            </w:r>
          </w:p>
        </w:tc>
        <w:tc>
          <w:tcPr>
            <w:tcW w:w="1686" w:type="dxa"/>
          </w:tcPr>
          <w:p>
            <w:pPr>
              <w:spacing w:before="0" w:after="0" w:line="240" w:lineRule="auto"/>
              <w:jc w:val="left"/>
            </w:pPr>
            <w:r>
              <w:rPr>
                <w:sz w:val="20"/>
                <w:szCs w:val="20"/>
              </w:rPr>
              <w:t xml:space="preserve">Spillover connectedness; high-frequency</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High connectedness; delayed adjustment</w:t>
            </w:r>
          </w:p>
        </w:tc>
      </w:tr>
      <w:tr>
        <w:tc>
          <w:tcPr>
            <w:tcW w:w="1100" w:type="dxa"/>
          </w:tcPr>
          <w:p>
            <w:pPr>
              <w:spacing w:before="0" w:after="0" w:line="240" w:lineRule="auto"/>
              <w:jc w:val="left"/>
            </w:pPr>
            <w:r>
              <w:rPr>
                <w:sz w:val="20"/>
                <w:szCs w:val="20"/>
              </w:rPr>
              <w:t xml:space="preserve">This study</w:t>
            </w:r>
          </w:p>
        </w:tc>
        <w:tc>
          <w:tcPr>
            <w:tcW w:w="1588" w:type="dxa"/>
          </w:tcPr>
          <w:p>
            <w:pPr>
              <w:spacing w:before="0" w:after="0" w:line="240" w:lineRule="auto"/>
              <w:jc w:val="left"/>
            </w:pPr>
            <w:r>
              <w:rPr>
                <w:sz w:val="20"/>
                <w:szCs w:val="20"/>
              </w:rPr>
              <w:t xml:space="preserve">VN30, VN100, VNINDEX; M30 to daily, 2014–2025</w:t>
            </w:r>
          </w:p>
        </w:tc>
        <w:tc>
          <w:tcPr>
            <w:tcW w:w="1686" w:type="dxa"/>
          </w:tcPr>
          <w:p>
            <w:pPr>
              <w:spacing w:before="0" w:after="0" w:line="240" w:lineRule="auto"/>
              <w:jc w:val="left"/>
            </w:pPr>
            <w:r>
              <w:rPr>
                <w:sz w:val="20"/>
                <w:szCs w:val="20"/>
              </w:rPr>
              <w:t xml:space="preserve">Scale-wise part–whole identity; DCCA</w:t>
            </w:r>
          </w:p>
        </w:tc>
        <w:tc>
          <w:tcPr>
            <w:tcW w:w="1393" w:type="dxa"/>
          </w:tcPr>
          <w:p>
            <w:pPr>
              <w:spacing w:before="0" w:after="0" w:line="240" w:lineRule="auto"/>
              <w:jc w:val="left"/>
            </w:pPr>
            <w:r>
              <w:rPr>
                <w:sz w:val="20"/>
                <w:szCs w:val="20"/>
              </w:rPr>
              <w:t xml:space="preserve">Yes (scale-wise, with weight uncertainty)</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Purged coefficient is largely masked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heteroscedasticity or common shocks; DCCA: detrended cross-correlation analysis; MF-DCCA: multifractal DCCA; DMCA: detrending moving-average cross-correlation analysis; ρDCCA: DCCA coefficient.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extended to scale-wise detrended coefficients, equipped with inference under weight uncertainty, or turned into a diagnostic computable from published index data. Multiscale studies of crises rarely use volatility-robust tests, and volatility-conditioned studies use one horizon and disjoint markets. To the best of our knowledge, no study has covered the Vietnamese index system at intraday and daily frequencies. We searched Google Scholar and publisher databases for 2021–2026, in addition to the classical sources cited in these works.</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some quantities once the weight and relative amplitude are known; we report these as estimands and test only what the identity does not determine. E1 is the zero-correlation benchmark ρ̲ of the VN30–VN100 coefficient and its share under three attribution conventions; E2 is the sensitivity of the nested to the purged coefficient; and E3 is the in-sample misstatement of portfolio variance by a static correlation, judged against sampling error.</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1</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purged coefficient near one would leave almost no gap, so the gap size is an empirical question. Rule: at every frequency, the lower 95% bound of the like-for-like gap exceeds 0.05, the estimation tolerance of Section 4.4; the gap is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overlap-purged mid-cap series).</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2</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Broad-market coefficients should therefore rise with the timescale, whereas the identity predicts a damped VN30–VN100 slope. Rule: among eight broad-market slope tests, at least one pair at each of M30 and H1 has a positive slope with a Holm-adjusted studentized p-value below 0.05. We also report robustness to removing the opening bar and an equivalence test for VN30–VN100.</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3</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Raw crisis correlations rise with volatility alone (Forbes and Rigobon 2002), and the volatility correction is biased toward no contagion when idiosyncratic variance rises (Corsetti et al. 2005). Rule: under VN30 volatility regimes, the adjusted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4</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Rule: an exponentially weighted moving average (EWMA) or real-time regime correlation has a lower quasi-likelihood (QLIKE) loss than the static correlation over 2023–2025, with a Diebold–Mariano p-value below 0.05. We fixed these rules, the eight-test family, and the factor-loading test at revision after the first-round results were known. We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Prices move within a ±7% daily band, which truncates tails and synchronizes limit hits. Settlement moved from T+3 to T+2 on 1 January 2016 (Vietnam Securities Depository 2015), limiting intraday arbitrage. Each day has an opening call auction (09:00–09:15), continuous trading to 11:30, a break to 13:00, a second continuous session, and a closing call auction (14:30–14:45). Circular 120/2020/TT-BTC (Ministry of Finance of Vietnam 2020) provides a framework for covered short sales that, to our knowledge, had not been implemented, and naked short selling is prohibited. The implementing Decree 155/2020/ND-CP (Government of Vietnam 2020) was amended by Decree 245/2025/ND-CP (Government of Vietnam 2025). VN30 futures trade on the Hanoi Stock Exchange, but no mid-cap future exists. A VNMIDCAP exchange-traded fund (FUEDCMID) has been listed since 29 September 2022 (Ho Chi Minh City Stock Exchange 2022), so mid caps can be held long but not shorted. Foreign ownership limits (30% for banks, for example) concentrate foreign flows in large caps with room under their limits. Vietnam is to be reclassified to Secondary Emerging status from 21 September 2026 (FTSE Russell 2025), after the end of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VN30, VN100, and VNINDEX levels exported from TradingView (exchange code HOSE). VN30 holds the 30 largest stocks by free-float capitalization, VN100 adds the next 70 (the VNMIDCAP index), and VNINDEX covers all HOSE stocks at full capitalization. Daily (1D) and 30-minute (M30) series run to 12 December 2025, 1-hour (H1) and 4-hour (H4) series to 9 December 2024. M30 bars open at 09:00, 09:30, 10:00, 10:30, 11:00, 11:30, 13:00, 13:30, 14:00, 14:30, H1 bars at 09:00, 10:00, 11:00, 13:00, 14:00, and the two H4 bars cover the two sessions, so at every frequency the first bar of the day holds the overnight return and the opening auction. The vendor has no full VNMIDCAP history; therefore, we recover the mid-cap segment from VN30 and VN100 (Section 4.2). We merge the series by exact timestamp joins without filling gaps. We did not compare them with HOSE closing levels date by date; the replication package records an input checksum.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1D: N = 1,983; M30: 19,463; H1: 9,879; H4: 3,953) serves cross-frequency comparisons. All other analyses use the full sample (1D: February 2014 to December 2025, N = 2,963; M30: January 2017 to December 2025, 21,942; H1 and H4: January 2014 to December 2024, 13,523 and 5,410). The indices are computed in real time, so they embed reconstitutions and delistings and carry no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require a VNINDEX drawdown above 25%, at least 45% of days in the top volatility quartile, and a documented trigger: the 2018 margin contraction (drawdown 26.2%, 47% of days in the top quartile), COVID-19 in 2020 (33.5%, 52%), and the 2022 bond-market freeze (40.2%, 60%). The three episodes total 539 days, against calm years 2016–2017 and 2023–2024 (1,000 days); the 2021 and 2025 spikes fail the first two conditions (Table S12). Quartile regimes compare the bottom and top quartiles of rolling VNINDEX volatility (10.6% and 20.0% annualized) or of VN30 volatility.</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three chronological crisis episodes; dashed and dotted horizontal lines: 25th and 75th percentiles of rolling volatility. The 2021 and 2025 spikes are not shaded because their drawdowns are below 25% (Section 3.2). Source: Authors’ calculations based on the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the correlation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split each profile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starting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each box ν we fit a polynomial of order m (m = 1 unless stated otherwise) by ordinary least squares (OLS);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therefore,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the VN30 and VN100 returns, respectively,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respectively),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synthetic shadow series: replicating it requires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therefore, the lemma adapts a known identity. It holds scale by scale for detrended coefficients, for the detrending moving-average cross-correlation (DMCA) coefficient (Kristoufek 2014), and for any measure built from a bilinear covariance of linearly filtered series. Five corollaries follow; we fix the scale and suppress it in the notation.</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therefore,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sensitivity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therefore, the overlap can only increase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factsheet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requires no attribution convention, and report the Shapley overlap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We compute all quantities scale by scale and average them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934"/>
        <w:gridCol w:w="3099"/>
        <w:gridCol w:w="3327"/>
      </w:tblGrid>
      <w:tr>
        <w:trPr>
          <w:tblHeader w:val="true"/>
        </w:trPr>
        <w:tc>
          <w:tcPr>
            <w:tcW w:w="2934" w:type="dxa"/>
          </w:tcPr>
          <w:p>
            <w:pPr>
              <w:spacing w:before="0" w:after="0" w:line="240" w:lineRule="auto"/>
              <w:jc w:val="left"/>
            </w:pPr>
            <w:r>
              <w:rPr>
                <w:sz w:val="20"/>
                <w:szCs w:val="20"/>
              </w:rPr>
              <w:t xml:space="preserve">Step</w:t>
            </w:r>
          </w:p>
        </w:tc>
        <w:tc>
          <w:tcPr>
            <w:tcW w:w="3099" w:type="dxa"/>
          </w:tcPr>
          <w:p>
            <w:pPr>
              <w:spacing w:before="0" w:after="0" w:line="240" w:lineRule="auto"/>
              <w:jc w:val="left"/>
            </w:pPr>
            <w:r>
              <w:rPr>
                <w:sz w:val="20"/>
                <w:szCs w:val="20"/>
              </w:rPr>
              <w:t xml:space="preserve">Computation</w:t>
            </w:r>
          </w:p>
        </w:tc>
        <w:tc>
          <w:tcPr>
            <w:tcW w:w="3327" w:type="dxa"/>
          </w:tcPr>
          <w:p>
            <w:pPr>
              <w:spacing w:before="0" w:after="0" w:line="240" w:lineRule="auto"/>
              <w:jc w:val="left"/>
            </w:pPr>
            <w:r>
              <w:rPr>
                <w:sz w:val="20"/>
                <w:szCs w:val="20"/>
              </w:rPr>
              <w:t xml:space="preserve">VN30 in VN100, daily</w:t>
            </w:r>
          </w:p>
        </w:tc>
      </w:tr>
      <w:tr>
        <w:tc>
          <w:tcPr>
            <w:tcW w:w="2934" w:type="dxa"/>
          </w:tcPr>
          <w:p>
            <w:pPr>
              <w:spacing w:before="0" w:after="0" w:line="240" w:lineRule="auto"/>
              <w:jc w:val="left"/>
            </w:pPr>
            <w:r>
              <w:rPr>
                <w:sz w:val="20"/>
                <w:szCs w:val="20"/>
              </w:rPr>
              <w:t xml:space="preserve">1. Inputs</w:t>
            </w:r>
          </w:p>
        </w:tc>
        <w:tc>
          <w:tcPr>
            <w:tcW w:w="3099" w:type="dxa"/>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tcW w:w="3327" w:type="dxa"/>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tcW w:w="2934" w:type="dxa"/>
          </w:tcPr>
          <w:p>
            <w:pPr>
              <w:spacing w:before="0" w:after="0" w:line="240" w:lineRule="auto"/>
              <w:jc w:val="left"/>
            </w:pPr>
            <w:r>
              <w:rPr>
                <w:sz w:val="20"/>
                <w:szCs w:val="20"/>
              </w:rPr>
              <w:t xml:space="preserve">2. Volatility of remaining constituents</w:t>
            </w:r>
          </w:p>
        </w:tc>
        <w:tc>
          <w:tcPr>
            <w:tcW w:w="3099"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tcW w:w="3327"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tcW w:w="2934" w:type="dxa"/>
          </w:tcPr>
          <w:p>
            <w:pPr>
              <w:spacing w:before="0" w:after="0" w:line="240" w:lineRule="auto"/>
              <w:jc w:val="left"/>
            </w:pPr>
            <w:r>
              <w:rPr>
                <w:sz w:val="20"/>
                <w:szCs w:val="20"/>
              </w:rPr>
              <w:t xml:space="preserve">3. Relative amplitude</w:t>
            </w:r>
          </w:p>
        </w:tc>
        <w:tc>
          <w:tcPr>
            <w:tcW w:w="3099" w:type="dxa"/>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tcW w:w="3327" w:type="dxa"/>
          </w:tcPr>
          <w:p>
            <w:pPr>
              <w:spacing w:before="0" w:after="0" w:line="240" w:lineRule="auto"/>
              <w:jc w:val="left"/>
            </w:pPr>
            <w:r>
              <w:rPr>
                <w:sz w:val="20"/>
                <w:szCs w:val="20"/>
              </w:rPr>
              <w:t xml:space="preserve">κ = 0.475</w:t>
            </w:r>
          </w:p>
        </w:tc>
      </w:tr>
      <w:tr>
        <w:tc>
          <w:tcPr>
            <w:tcW w:w="2934" w:type="dxa"/>
          </w:tcPr>
          <w:p>
            <w:pPr>
              <w:spacing w:before="0" w:after="0" w:line="240" w:lineRule="auto"/>
              <w:jc w:val="left"/>
            </w:pPr>
            <w:r>
              <w:rPr>
                <w:sz w:val="20"/>
                <w:szCs w:val="20"/>
              </w:rPr>
              <w:t xml:space="preserve">4. Benchmark and bound</w:t>
            </w:r>
          </w:p>
        </w:tc>
        <w:tc>
          <w:tcPr>
            <w:tcW w:w="3099" w:type="dxa"/>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tcW w:w="3327" w:type="dxa"/>
          </w:tcPr>
          <w:p>
            <w:pPr>
              <w:spacing w:before="0" w:after="0" w:line="240" w:lineRule="auto"/>
              <w:jc w:val="left"/>
            </w:pPr>
            <w:r>
              <w:rPr>
                <w:sz w:val="20"/>
                <w:szCs w:val="20"/>
              </w:rPr>
              <w:t xml:space="preserve">ρ̲ = 0.903; bound 0.880</w:t>
            </w:r>
          </w:p>
        </w:tc>
      </w:tr>
      <w:tr>
        <w:tc>
          <w:tcPr>
            <w:tcW w:w="2934" w:type="dxa"/>
          </w:tcPr>
          <w:p>
            <w:pPr>
              <w:spacing w:before="0" w:after="0" w:line="240" w:lineRule="auto"/>
              <w:jc w:val="left"/>
            </w:pPr>
            <w:r>
              <w:rPr>
                <w:sz w:val="20"/>
                <w:szCs w:val="20"/>
              </w:rPr>
              <w:t xml:space="preserve">5. Purged coefficient</w:t>
            </w:r>
          </w:p>
        </w:tc>
        <w:tc>
          <w:tcPr>
            <w:tcW w:w="3099"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tcW w:w="3327"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tcW w:w="2934" w:type="dxa"/>
          </w:tcPr>
          <w:p>
            <w:pPr>
              <w:spacing w:before="0" w:after="0" w:line="240" w:lineRule="auto"/>
              <w:jc w:val="left"/>
            </w:pPr>
            <w:r>
              <w:rPr>
                <w:sz w:val="20"/>
                <w:szCs w:val="20"/>
              </w:rPr>
              <w:t xml:space="preserve">6. Sensitivity</w:t>
            </w:r>
          </w:p>
        </w:tc>
        <w:tc>
          <w:tcPr>
            <w:tcW w:w="3099" w:type="dxa"/>
          </w:tcPr>
          <w:p>
            <w:pPr>
              <w:spacing w:before="0" w:after="0" w:line="240" w:lineRule="auto"/>
              <w:jc w:val="left"/>
            </w:pPr>
            <w:r>
              <w:rPr>
                <w:sz w:val="20"/>
                <w:szCs w:val="20"/>
              </w:rPr>
              <w:t xml:space="preserve">Eq. (10)</w:t>
            </w:r>
          </w:p>
        </w:tc>
        <w:tc>
          <w:tcPr>
            <w:tcW w:w="3327" w:type="dxa"/>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correlation of the directly constructed overlap-purged series P</w:t>
      </w:r>
      <w:r>
        <w:rPr>
          <w:vertAlign w:val="subscript"/>
          <w:sz w:val="20"/>
          <w:szCs w:val="20"/>
        </w:rPr>
        <w:t xml:space="preserve">cap</w:t>
      </w:r>
      <w:r>
        <w:rPr>
          <w:sz w:val="20"/>
          <w:szCs w:val="20"/>
        </w:rPr>
        <w:t xml:space="preserve"> </w:t>
      </w:r>
      <w:r>
        <w:rPr>
          <w:sz w:val="20"/>
          <w:szCs w:val="20"/>
        </w:rPr>
        <w:t xml:space="preserve">exactly; subscripts A, B, and M: child, parent, and remaining constituents.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 drifts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weight error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allowing drift in either direction,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the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We fixed the grid and tolerance in advance. A GARCH(1,1)-t(5) calibration (generalized autoregressive conditional heteroscedasticity with Student-t errors;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Because the coefficients at different scales come from the same series, all inference uses the stationary block bootstrap (Politis and Romano 1994) with mean blocks of approximately 20 trading days, recomputing every curve and statistic in each replicate. We use 499 replicates for the DCCA statistics in Tables 4–6 and for the decomposition, hedge-effectiveness, and tail-dependence statistics; 399 for the like-for-like gap under weight uncertainty; 199 for the trimmed-bar checks of Section 5.4 and Tables S7 and S15 and the 30-minute block-length checks of Table S6; and 999 for the factor-model, lead–lag, and materiality (Table S14) statistics and for the Forbes–Rigobon tests under VN30 quartiles, across weights, and with 2021 added. The remaining Forbes–Rigobon and relative-error statistics use 1,999 replicates.</w:t>
      </w:r>
    </w:p>
    <w:p>
      <w:pPr>
        <w:pStyle w:val="BodyText"/>
        <w:spacing w:before="0" w:after="120" w:line="300" w:lineRule="auto"/>
        <w:jc w:val="both"/>
      </w:pPr>
      <w:r>
        <w:rPr>
          <w:rFonts w:ascii="Times New Roman" w:hAnsi="Times New Roman" w:cs="Times New Roman" w:eastAsia="Times New Roman"/>
          <w:sz w:val="24"/>
          <w:szCs w:val="24"/>
        </w:rPr>
        <w:t xml:space="preserve">Intervals are 95% percentile intervals, capped at ±1 for correlations. With B = 499 replicates, percentile p-values cannot fall below 0.004 (reported as p &lt; 0.005): p = 2 min{k₋ + 1, k₊ + 1}/(B + 1), where k₋ and k₊ count replicates at or below and at or above zero. With 19 tests, the smallest attainable Holm-adjusted value is 0.076. One-sided Forbes–Rigobon p-values use the re-centered bootstrap distribution, and p-values for Δβ and the residual-variance ratio are studentized. Because of the resolution limit, slope tests also use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We test equivalence of the VN30–VN100 slope to zero with two one-sided tests (TOST; Schuirmann 1987) and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We measure horizon dependence by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increases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residual variance and in the loading β; a change in β is contagion in their sense, and β is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The statistics are Pearson moments of daily returns, bootstrapped within regimes. We do not test nested pairs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portfolio variance by the relative error (RE)</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We obtain intervals by jointly resampling the full sample and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compare |RE| with the bootstrap relative standard error of the regime variance. Because these regimes are ex post, we also estimate correlations for 2014–2022 and evaluate forecasts for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presents descriptive statistics and Table 3 presents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1186"/>
        <w:gridCol w:w="929"/>
        <w:gridCol w:w="1057"/>
        <w:gridCol w:w="1057"/>
        <w:gridCol w:w="1444"/>
        <w:gridCol w:w="929"/>
        <w:gridCol w:w="929"/>
        <w:gridCol w:w="1830"/>
      </w:tblGrid>
      <w:tr>
        <w:trPr>
          <w:tblHeader w:val="true"/>
        </w:trPr>
        <w:tc>
          <w:tcPr>
            <w:tcW w:w="1186" w:type="dxa"/>
          </w:tcPr>
          <w:p>
            <w:pPr>
              <w:spacing w:before="0" w:after="0" w:line="240" w:lineRule="auto"/>
              <w:jc w:val="left"/>
            </w:pPr>
            <w:r>
              <w:rPr>
                <w:sz w:val="20"/>
                <w:szCs w:val="20"/>
              </w:rPr>
              <w:t xml:space="preserve">Series</w:t>
            </w:r>
          </w:p>
        </w:tc>
        <w:tc>
          <w:tcPr>
            <w:tcW w:w="929" w:type="dxa"/>
          </w:tcPr>
          <w:p>
            <w:pPr>
              <w:spacing w:before="0" w:after="0" w:line="240" w:lineRule="auto"/>
              <w:jc w:val="left"/>
            </w:pPr>
            <w:r>
              <w:rPr>
                <w:sz w:val="20"/>
                <w:szCs w:val="20"/>
              </w:rPr>
              <w:t xml:space="preserve">Freq.</w:t>
            </w:r>
          </w:p>
        </w:tc>
        <w:tc>
          <w:tcPr>
            <w:tcW w:w="1057" w:type="dxa"/>
          </w:tcPr>
          <w:p>
            <w:pPr>
              <w:spacing w:before="0" w:after="0" w:line="240" w:lineRule="auto"/>
              <w:jc w:val="left"/>
            </w:pPr>
            <w:r>
              <w:rPr>
                <w:sz w:val="20"/>
                <w:szCs w:val="20"/>
              </w:rPr>
              <w:t xml:space="preserve">N</w:t>
            </w:r>
          </w:p>
        </w:tc>
        <w:tc>
          <w:tcPr>
            <w:tcW w:w="1057" w:type="dxa"/>
          </w:tcPr>
          <w:p>
            <w:pPr>
              <w:spacing w:before="0" w:after="0" w:line="240" w:lineRule="auto"/>
              <w:jc w:val="left"/>
            </w:pPr>
            <w:r>
              <w:rPr>
                <w:sz w:val="20"/>
                <w:szCs w:val="20"/>
              </w:rPr>
              <w:t xml:space="preserve">Mean</w:t>
            </w:r>
          </w:p>
        </w:tc>
        <w:tc>
          <w:tcPr>
            <w:tcW w:w="1444" w:type="dxa"/>
          </w:tcPr>
          <w:p>
            <w:pPr>
              <w:spacing w:before="0" w:after="0" w:line="240" w:lineRule="auto"/>
              <w:jc w:val="left"/>
            </w:pPr>
            <w:r>
              <w:rPr>
                <w:sz w:val="20"/>
                <w:szCs w:val="20"/>
              </w:rPr>
              <w:t xml:space="preserve">Std. dev.</w:t>
            </w:r>
          </w:p>
        </w:tc>
        <w:tc>
          <w:tcPr>
            <w:tcW w:w="929" w:type="dxa"/>
          </w:tcPr>
          <w:p>
            <w:pPr>
              <w:spacing w:before="0" w:after="0" w:line="240" w:lineRule="auto"/>
              <w:jc w:val="left"/>
            </w:pPr>
            <w:r>
              <w:rPr>
                <w:sz w:val="20"/>
                <w:szCs w:val="20"/>
              </w:rPr>
              <w:t xml:space="preserve">Skew.</w:t>
            </w:r>
          </w:p>
        </w:tc>
        <w:tc>
          <w:tcPr>
            <w:tcW w:w="929" w:type="dxa"/>
          </w:tcPr>
          <w:p>
            <w:pPr>
              <w:spacing w:before="0" w:after="0" w:line="240" w:lineRule="auto"/>
              <w:jc w:val="left"/>
            </w:pPr>
            <w:r>
              <w:rPr>
                <w:sz w:val="20"/>
                <w:szCs w:val="20"/>
              </w:rPr>
              <w:t xml:space="preserve">Kurt.</w:t>
            </w:r>
          </w:p>
        </w:tc>
        <w:tc>
          <w:tcPr>
            <w:tcW w:w="1830" w:type="dxa"/>
          </w:tcPr>
          <w:p>
            <w:pPr>
              <w:spacing w:before="0" w:after="0" w:line="240" w:lineRule="auto"/>
              <w:jc w:val="left"/>
            </w:pPr>
            <w:r>
              <w:rPr>
                <w:sz w:val="20"/>
                <w:szCs w:val="20"/>
              </w:rPr>
              <w:t xml:space="preserve">Jarque–Bera</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0.0121</w:t>
            </w:r>
          </w:p>
        </w:tc>
        <w:tc>
          <w:tcPr>
            <w:tcW w:w="929" w:type="dxa"/>
          </w:tcPr>
          <w:p>
            <w:pPr>
              <w:spacing w:before="0" w:after="0" w:line="240" w:lineRule="auto"/>
              <w:jc w:val="left"/>
            </w:pPr>
            <w:r>
              <w:rPr>
                <w:sz w:val="20"/>
                <w:szCs w:val="20"/>
              </w:rPr>
              <w:t xml:space="preserve">−0.83</w:t>
            </w:r>
          </w:p>
        </w:tc>
        <w:tc>
          <w:tcPr>
            <w:tcW w:w="929" w:type="dxa"/>
          </w:tcPr>
          <w:p>
            <w:pPr>
              <w:spacing w:before="0" w:after="0" w:line="240" w:lineRule="auto"/>
              <w:jc w:val="left"/>
            </w:pPr>
            <w:r>
              <w:rPr>
                <w:sz w:val="20"/>
                <w:szCs w:val="20"/>
              </w:rPr>
              <w:t xml:space="preserve">7.81</w:t>
            </w:r>
          </w:p>
        </w:tc>
        <w:tc>
          <w:tcPr>
            <w:tcW w:w="1830" w:type="dxa"/>
          </w:tcPr>
          <w:p>
            <w:pPr>
              <w:spacing w:before="0" w:after="0" w:line="240" w:lineRule="auto"/>
              <w:jc w:val="left"/>
            </w:pPr>
            <w:r>
              <w:rPr>
                <w:sz w:val="20"/>
                <w:szCs w:val="20"/>
              </w:rPr>
              <w:t xml:space="preserve">3,202***</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0.0039</w:t>
            </w:r>
          </w:p>
        </w:tc>
        <w:tc>
          <w:tcPr>
            <w:tcW w:w="929" w:type="dxa"/>
          </w:tcPr>
          <w:p>
            <w:pPr>
              <w:spacing w:before="0" w:after="0" w:line="240" w:lineRule="auto"/>
              <w:jc w:val="left"/>
            </w:pPr>
            <w:r>
              <w:rPr>
                <w:sz w:val="20"/>
                <w:szCs w:val="20"/>
              </w:rPr>
              <w:t xml:space="preserve">−1.62</w:t>
            </w:r>
          </w:p>
        </w:tc>
        <w:tc>
          <w:tcPr>
            <w:tcW w:w="929" w:type="dxa"/>
          </w:tcPr>
          <w:p>
            <w:pPr>
              <w:spacing w:before="0" w:after="0" w:line="240" w:lineRule="auto"/>
              <w:jc w:val="left"/>
            </w:pPr>
            <w:r>
              <w:rPr>
                <w:sz w:val="20"/>
                <w:szCs w:val="20"/>
              </w:rPr>
              <w:t xml:space="preserve">36.16</w:t>
            </w:r>
          </w:p>
        </w:tc>
        <w:tc>
          <w:tcPr>
            <w:tcW w:w="1830" w:type="dxa"/>
          </w:tcPr>
          <w:p>
            <w:pPr>
              <w:spacing w:before="0" w:after="0" w:line="240" w:lineRule="auto"/>
              <w:jc w:val="left"/>
            </w:pPr>
            <w:r>
              <w:rPr>
                <w:sz w:val="20"/>
                <w:szCs w:val="20"/>
              </w:rPr>
              <w:t xml:space="preserve">1,014,769***</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0.0051</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18.20</w:t>
            </w:r>
          </w:p>
        </w:tc>
        <w:tc>
          <w:tcPr>
            <w:tcW w:w="1830" w:type="dxa"/>
          </w:tcPr>
          <w:p>
            <w:pPr>
              <w:spacing w:before="0" w:after="0" w:line="240" w:lineRule="auto"/>
              <w:jc w:val="left"/>
            </w:pPr>
            <w:r>
              <w:rPr>
                <w:sz w:val="20"/>
                <w:szCs w:val="20"/>
              </w:rPr>
              <w:t xml:space="preserve">134,167***</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0.0084</w:t>
            </w:r>
          </w:p>
        </w:tc>
        <w:tc>
          <w:tcPr>
            <w:tcW w:w="929" w:type="dxa"/>
          </w:tcPr>
          <w:p>
            <w:pPr>
              <w:spacing w:before="0" w:after="0" w:line="240" w:lineRule="auto"/>
              <w:jc w:val="left"/>
            </w:pPr>
            <w:r>
              <w:rPr>
                <w:sz w:val="20"/>
                <w:szCs w:val="20"/>
              </w:rPr>
              <w:t xml:space="preserve">−1.17</w:t>
            </w:r>
          </w:p>
        </w:tc>
        <w:tc>
          <w:tcPr>
            <w:tcW w:w="929" w:type="dxa"/>
          </w:tcPr>
          <w:p>
            <w:pPr>
              <w:spacing w:before="0" w:after="0" w:line="240" w:lineRule="auto"/>
              <w:jc w:val="left"/>
            </w:pPr>
            <w:r>
              <w:rPr>
                <w:sz w:val="20"/>
                <w:szCs w:val="20"/>
              </w:rPr>
              <w:t xml:space="preserve">11.23</w:t>
            </w:r>
          </w:p>
        </w:tc>
        <w:tc>
          <w:tcPr>
            <w:tcW w:w="1830" w:type="dxa"/>
          </w:tcPr>
          <w:p>
            <w:pPr>
              <w:spacing w:before="0" w:after="0" w:line="240" w:lineRule="auto"/>
              <w:jc w:val="left"/>
            </w:pPr>
            <w:r>
              <w:rPr>
                <w:sz w:val="20"/>
                <w:szCs w:val="20"/>
              </w:rPr>
              <w:t xml:space="preserve">16,490***</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0.0119</w:t>
            </w:r>
          </w:p>
        </w:tc>
        <w:tc>
          <w:tcPr>
            <w:tcW w:w="929" w:type="dxa"/>
          </w:tcPr>
          <w:p>
            <w:pPr>
              <w:spacing w:before="0" w:after="0" w:line="240" w:lineRule="auto"/>
              <w:jc w:val="left"/>
            </w:pPr>
            <w:r>
              <w:rPr>
                <w:sz w:val="20"/>
                <w:szCs w:val="20"/>
              </w:rPr>
              <w:t xml:space="preserve">−0.96</w:t>
            </w:r>
          </w:p>
        </w:tc>
        <w:tc>
          <w:tcPr>
            <w:tcW w:w="929" w:type="dxa"/>
          </w:tcPr>
          <w:p>
            <w:pPr>
              <w:spacing w:before="0" w:after="0" w:line="240" w:lineRule="auto"/>
              <w:jc w:val="left"/>
            </w:pPr>
            <w:r>
              <w:rPr>
                <w:sz w:val="20"/>
                <w:szCs w:val="20"/>
              </w:rPr>
              <w:t xml:space="preserve">8.21</w:t>
            </w:r>
          </w:p>
        </w:tc>
        <w:tc>
          <w:tcPr>
            <w:tcW w:w="1830" w:type="dxa"/>
          </w:tcPr>
          <w:p>
            <w:pPr>
              <w:spacing w:before="0" w:after="0" w:line="240" w:lineRule="auto"/>
              <w:jc w:val="left"/>
            </w:pPr>
            <w:r>
              <w:rPr>
                <w:sz w:val="20"/>
                <w:szCs w:val="20"/>
              </w:rPr>
              <w:t xml:space="preserve">3,804***</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0.0038</w:t>
            </w:r>
          </w:p>
        </w:tc>
        <w:tc>
          <w:tcPr>
            <w:tcW w:w="929" w:type="dxa"/>
          </w:tcPr>
          <w:p>
            <w:pPr>
              <w:spacing w:before="0" w:after="0" w:line="240" w:lineRule="auto"/>
              <w:jc w:val="left"/>
            </w:pPr>
            <w:r>
              <w:rPr>
                <w:sz w:val="20"/>
                <w:szCs w:val="20"/>
              </w:rPr>
              <w:t xml:space="preserve">−1.83</w:t>
            </w:r>
          </w:p>
        </w:tc>
        <w:tc>
          <w:tcPr>
            <w:tcW w:w="929" w:type="dxa"/>
          </w:tcPr>
          <w:p>
            <w:pPr>
              <w:spacing w:before="0" w:after="0" w:line="240" w:lineRule="auto"/>
              <w:jc w:val="left"/>
            </w:pPr>
            <w:r>
              <w:rPr>
                <w:sz w:val="20"/>
                <w:szCs w:val="20"/>
              </w:rPr>
              <w:t xml:space="preserve">37.63</w:t>
            </w:r>
          </w:p>
        </w:tc>
        <w:tc>
          <w:tcPr>
            <w:tcW w:w="1830" w:type="dxa"/>
          </w:tcPr>
          <w:p>
            <w:pPr>
              <w:spacing w:before="0" w:after="0" w:line="240" w:lineRule="auto"/>
              <w:jc w:val="left"/>
            </w:pPr>
            <w:r>
              <w:rPr>
                <w:sz w:val="20"/>
                <w:szCs w:val="20"/>
              </w:rPr>
              <w:t xml:space="preserve">1,108,959***</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0.0050</w:t>
            </w:r>
          </w:p>
        </w:tc>
        <w:tc>
          <w:tcPr>
            <w:tcW w:w="929" w:type="dxa"/>
          </w:tcPr>
          <w:p>
            <w:pPr>
              <w:spacing w:before="0" w:after="0" w:line="240" w:lineRule="auto"/>
              <w:jc w:val="left"/>
            </w:pPr>
            <w:r>
              <w:rPr>
                <w:sz w:val="20"/>
                <w:szCs w:val="20"/>
              </w:rPr>
              <w:t xml:space="preserve">−1.50</w:t>
            </w:r>
          </w:p>
        </w:tc>
        <w:tc>
          <w:tcPr>
            <w:tcW w:w="929" w:type="dxa"/>
          </w:tcPr>
          <w:p>
            <w:pPr>
              <w:spacing w:before="0" w:after="0" w:line="240" w:lineRule="auto"/>
              <w:jc w:val="left"/>
            </w:pPr>
            <w:r>
              <w:rPr>
                <w:sz w:val="20"/>
                <w:szCs w:val="20"/>
              </w:rPr>
              <w:t xml:space="preserve">19.36</w:t>
            </w:r>
          </w:p>
        </w:tc>
        <w:tc>
          <w:tcPr>
            <w:tcW w:w="1830" w:type="dxa"/>
          </w:tcPr>
          <w:p>
            <w:pPr>
              <w:spacing w:before="0" w:after="0" w:line="240" w:lineRule="auto"/>
              <w:jc w:val="left"/>
            </w:pPr>
            <w:r>
              <w:rPr>
                <w:sz w:val="20"/>
                <w:szCs w:val="20"/>
              </w:rPr>
              <w:t xml:space="preserve">155,896***</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0.0082</w:t>
            </w:r>
          </w:p>
        </w:tc>
        <w:tc>
          <w:tcPr>
            <w:tcW w:w="929" w:type="dxa"/>
          </w:tcPr>
          <w:p>
            <w:pPr>
              <w:spacing w:before="0" w:after="0" w:line="240" w:lineRule="auto"/>
              <w:jc w:val="left"/>
            </w:pPr>
            <w:r>
              <w:rPr>
                <w:sz w:val="20"/>
                <w:szCs w:val="20"/>
              </w:rPr>
              <w:t xml:space="preserve">−1.30</w:t>
            </w:r>
          </w:p>
        </w:tc>
        <w:tc>
          <w:tcPr>
            <w:tcW w:w="929" w:type="dxa"/>
          </w:tcPr>
          <w:p>
            <w:pPr>
              <w:spacing w:before="0" w:after="0" w:line="240" w:lineRule="auto"/>
              <w:jc w:val="left"/>
            </w:pPr>
            <w:r>
              <w:rPr>
                <w:sz w:val="20"/>
                <w:szCs w:val="20"/>
              </w:rPr>
              <w:t xml:space="preserve">11.76</w:t>
            </w:r>
          </w:p>
        </w:tc>
        <w:tc>
          <w:tcPr>
            <w:tcW w:w="1830" w:type="dxa"/>
          </w:tcPr>
          <w:p>
            <w:pPr>
              <w:spacing w:before="0" w:after="0" w:line="240" w:lineRule="auto"/>
              <w:jc w:val="left"/>
            </w:pPr>
            <w:r>
              <w:rPr>
                <w:sz w:val="20"/>
                <w:szCs w:val="20"/>
              </w:rPr>
              <w:t xml:space="preserve">18,833***</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0.0115</w:t>
            </w:r>
          </w:p>
        </w:tc>
        <w:tc>
          <w:tcPr>
            <w:tcW w:w="929" w:type="dxa"/>
          </w:tcPr>
          <w:p>
            <w:pPr>
              <w:spacing w:before="0" w:after="0" w:line="240" w:lineRule="auto"/>
              <w:jc w:val="left"/>
            </w:pPr>
            <w:r>
              <w:rPr>
                <w:sz w:val="20"/>
                <w:szCs w:val="20"/>
              </w:rPr>
              <w:t xml:space="preserve">−0.98</w:t>
            </w:r>
          </w:p>
        </w:tc>
        <w:tc>
          <w:tcPr>
            <w:tcW w:w="929" w:type="dxa"/>
          </w:tcPr>
          <w:p>
            <w:pPr>
              <w:spacing w:before="0" w:after="0" w:line="240" w:lineRule="auto"/>
              <w:jc w:val="left"/>
            </w:pPr>
            <w:r>
              <w:rPr>
                <w:sz w:val="20"/>
                <w:szCs w:val="20"/>
              </w:rPr>
              <w:t xml:space="preserve">8.27</w:t>
            </w:r>
          </w:p>
        </w:tc>
        <w:tc>
          <w:tcPr>
            <w:tcW w:w="1830" w:type="dxa"/>
          </w:tcPr>
          <w:p>
            <w:pPr>
              <w:spacing w:before="0" w:after="0" w:line="240" w:lineRule="auto"/>
              <w:jc w:val="left"/>
            </w:pPr>
            <w:r>
              <w:rPr>
                <w:sz w:val="20"/>
                <w:szCs w:val="20"/>
              </w:rPr>
              <w:t xml:space="preserve">3,898***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0.0037</w:t>
            </w:r>
          </w:p>
        </w:tc>
        <w:tc>
          <w:tcPr>
            <w:tcW w:w="929" w:type="dxa"/>
          </w:tcPr>
          <w:p>
            <w:pPr>
              <w:spacing w:before="0" w:after="0" w:line="240" w:lineRule="auto"/>
              <w:jc w:val="left"/>
            </w:pPr>
            <w:r>
              <w:rPr>
                <w:sz w:val="20"/>
                <w:szCs w:val="20"/>
              </w:rPr>
              <w:t xml:space="preserve">−2.04</w:t>
            </w:r>
          </w:p>
        </w:tc>
        <w:tc>
          <w:tcPr>
            <w:tcW w:w="929" w:type="dxa"/>
          </w:tcPr>
          <w:p>
            <w:pPr>
              <w:spacing w:before="0" w:after="0" w:line="240" w:lineRule="auto"/>
              <w:jc w:val="left"/>
            </w:pPr>
            <w:r>
              <w:rPr>
                <w:sz w:val="20"/>
                <w:szCs w:val="20"/>
              </w:rPr>
              <w:t xml:space="preserve">40.64</w:t>
            </w:r>
          </w:p>
        </w:tc>
        <w:tc>
          <w:tcPr>
            <w:tcW w:w="1830" w:type="dxa"/>
          </w:tcPr>
          <w:p>
            <w:pPr>
              <w:spacing w:before="0" w:after="0" w:line="240" w:lineRule="auto"/>
              <w:jc w:val="left"/>
            </w:pPr>
            <w:r>
              <w:rPr>
                <w:sz w:val="20"/>
                <w:szCs w:val="20"/>
              </w:rPr>
              <w:t xml:space="preserve">1,310,762***</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0.0049</w:t>
            </w:r>
          </w:p>
        </w:tc>
        <w:tc>
          <w:tcPr>
            <w:tcW w:w="929" w:type="dxa"/>
          </w:tcPr>
          <w:p>
            <w:pPr>
              <w:spacing w:before="0" w:after="0" w:line="240" w:lineRule="auto"/>
              <w:jc w:val="left"/>
            </w:pPr>
            <w:r>
              <w:rPr>
                <w:sz w:val="20"/>
                <w:szCs w:val="20"/>
              </w:rPr>
              <w:t xml:space="preserve">−1.56</w:t>
            </w:r>
          </w:p>
        </w:tc>
        <w:tc>
          <w:tcPr>
            <w:tcW w:w="929" w:type="dxa"/>
          </w:tcPr>
          <w:p>
            <w:pPr>
              <w:spacing w:before="0" w:after="0" w:line="240" w:lineRule="auto"/>
              <w:jc w:val="left"/>
            </w:pPr>
            <w:r>
              <w:rPr>
                <w:sz w:val="20"/>
                <w:szCs w:val="20"/>
              </w:rPr>
              <w:t xml:space="preserve">19.54</w:t>
            </w:r>
          </w:p>
        </w:tc>
        <w:tc>
          <w:tcPr>
            <w:tcW w:w="1830" w:type="dxa"/>
          </w:tcPr>
          <w:p>
            <w:pPr>
              <w:spacing w:before="0" w:after="0" w:line="240" w:lineRule="auto"/>
              <w:jc w:val="left"/>
            </w:pPr>
            <w:r>
              <w:rPr>
                <w:sz w:val="20"/>
                <w:szCs w:val="20"/>
              </w:rPr>
              <w:t xml:space="preserve">159,748***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0.0080</w:t>
            </w:r>
          </w:p>
        </w:tc>
        <w:tc>
          <w:tcPr>
            <w:tcW w:w="929" w:type="dxa"/>
          </w:tcPr>
          <w:p>
            <w:pPr>
              <w:spacing w:before="0" w:after="0" w:line="240" w:lineRule="auto"/>
              <w:jc w:val="left"/>
            </w:pPr>
            <w:r>
              <w:rPr>
                <w:sz w:val="20"/>
                <w:szCs w:val="20"/>
              </w:rPr>
              <w:t xml:space="preserve">−1.31</w:t>
            </w:r>
          </w:p>
        </w:tc>
        <w:tc>
          <w:tcPr>
            <w:tcW w:w="929" w:type="dxa"/>
          </w:tcPr>
          <w:p>
            <w:pPr>
              <w:spacing w:before="0" w:after="0" w:line="240" w:lineRule="auto"/>
              <w:jc w:val="left"/>
            </w:pPr>
            <w:r>
              <w:rPr>
                <w:sz w:val="20"/>
                <w:szCs w:val="20"/>
              </w:rPr>
              <w:t xml:space="preserve">11.99</w:t>
            </w:r>
          </w:p>
        </w:tc>
        <w:tc>
          <w:tcPr>
            <w:tcW w:w="1830" w:type="dxa"/>
          </w:tcPr>
          <w:p>
            <w:pPr>
              <w:spacing w:before="0" w:after="0" w:line="240" w:lineRule="auto"/>
              <w:jc w:val="left"/>
            </w:pPr>
            <w:r>
              <w:rPr>
                <w:sz w:val="20"/>
                <w:szCs w:val="20"/>
              </w:rPr>
              <w:t xml:space="preserve">19,767***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0.0124</w:t>
            </w:r>
          </w:p>
        </w:tc>
        <w:tc>
          <w:tcPr>
            <w:tcW w:w="929" w:type="dxa"/>
          </w:tcPr>
          <w:p>
            <w:pPr>
              <w:spacing w:before="0" w:after="0" w:line="240" w:lineRule="auto"/>
              <w:jc w:val="left"/>
            </w:pPr>
            <w:r>
              <w:rPr>
                <w:sz w:val="20"/>
                <w:szCs w:val="20"/>
              </w:rPr>
              <w:t xml:space="preserve">−1.07</w:t>
            </w:r>
          </w:p>
        </w:tc>
        <w:tc>
          <w:tcPr>
            <w:tcW w:w="929" w:type="dxa"/>
          </w:tcPr>
          <w:p>
            <w:pPr>
              <w:spacing w:before="0" w:after="0" w:line="240" w:lineRule="auto"/>
              <w:jc w:val="left"/>
            </w:pPr>
            <w:r>
              <w:rPr>
                <w:sz w:val="20"/>
                <w:szCs w:val="20"/>
              </w:rPr>
              <w:t xml:space="preserve">8.15</w:t>
            </w:r>
          </w:p>
        </w:tc>
        <w:tc>
          <w:tcPr>
            <w:tcW w:w="1830" w:type="dxa"/>
          </w:tcPr>
          <w:p>
            <w:pPr>
              <w:spacing w:before="0" w:after="0" w:line="240" w:lineRule="auto"/>
              <w:jc w:val="left"/>
            </w:pPr>
            <w:r>
              <w:rPr>
                <w:sz w:val="20"/>
                <w:szCs w:val="20"/>
              </w:rPr>
              <w:t xml:space="preserve">3,837***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0.0041</w:t>
            </w:r>
          </w:p>
        </w:tc>
        <w:tc>
          <w:tcPr>
            <w:tcW w:w="929" w:type="dxa"/>
          </w:tcPr>
          <w:p>
            <w:pPr>
              <w:spacing w:before="0" w:after="0" w:line="240" w:lineRule="auto"/>
              <w:jc w:val="left"/>
            </w:pPr>
            <w:r>
              <w:rPr>
                <w:sz w:val="20"/>
                <w:szCs w:val="20"/>
              </w:rPr>
              <w:t xml:space="preserve">−1.87</w:t>
            </w:r>
          </w:p>
        </w:tc>
        <w:tc>
          <w:tcPr>
            <w:tcW w:w="929" w:type="dxa"/>
          </w:tcPr>
          <w:p>
            <w:pPr>
              <w:spacing w:before="0" w:after="0" w:line="240" w:lineRule="auto"/>
              <w:jc w:val="left"/>
            </w:pPr>
            <w:r>
              <w:rPr>
                <w:sz w:val="20"/>
                <w:szCs w:val="20"/>
              </w:rPr>
              <w:t xml:space="preserve">33.94</w:t>
            </w:r>
          </w:p>
        </w:tc>
        <w:tc>
          <w:tcPr>
            <w:tcW w:w="1830" w:type="dxa"/>
          </w:tcPr>
          <w:p>
            <w:pPr>
              <w:spacing w:before="0" w:after="0" w:line="240" w:lineRule="auto"/>
              <w:jc w:val="left"/>
            </w:pPr>
            <w:r>
              <w:rPr>
                <w:sz w:val="20"/>
                <w:szCs w:val="20"/>
              </w:rPr>
              <w:t xml:space="preserve">887,934***</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0.0052</w:t>
            </w:r>
          </w:p>
        </w:tc>
        <w:tc>
          <w:tcPr>
            <w:tcW w:w="929" w:type="dxa"/>
          </w:tcPr>
          <w:p>
            <w:pPr>
              <w:spacing w:before="0" w:after="0" w:line="240" w:lineRule="auto"/>
              <w:jc w:val="left"/>
            </w:pPr>
            <w:r>
              <w:rPr>
                <w:sz w:val="20"/>
                <w:szCs w:val="20"/>
              </w:rPr>
              <w:t xml:space="preserve">−1.51</w:t>
            </w:r>
          </w:p>
        </w:tc>
        <w:tc>
          <w:tcPr>
            <w:tcW w:w="929" w:type="dxa"/>
          </w:tcPr>
          <w:p>
            <w:pPr>
              <w:spacing w:before="0" w:after="0" w:line="240" w:lineRule="auto"/>
              <w:jc w:val="left"/>
            </w:pPr>
            <w:r>
              <w:rPr>
                <w:sz w:val="20"/>
                <w:szCs w:val="20"/>
              </w:rPr>
              <w:t xml:space="preserve">18.81</w:t>
            </w:r>
          </w:p>
        </w:tc>
        <w:tc>
          <w:tcPr>
            <w:tcW w:w="1830" w:type="dxa"/>
          </w:tcPr>
          <w:p>
            <w:pPr>
              <w:spacing w:before="0" w:after="0" w:line="240" w:lineRule="auto"/>
              <w:jc w:val="left"/>
            </w:pPr>
            <w:r>
              <w:rPr>
                <w:sz w:val="20"/>
                <w:szCs w:val="20"/>
              </w:rPr>
              <w:t xml:space="preserve">145,968***</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0.0086</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11.69</w:t>
            </w:r>
          </w:p>
        </w:tc>
        <w:tc>
          <w:tcPr>
            <w:tcW w:w="1830" w:type="dxa"/>
          </w:tcPr>
          <w:p>
            <w:pPr>
              <w:spacing w:before="0" w:after="0" w:line="240" w:lineRule="auto"/>
              <w:jc w:val="left"/>
            </w:pPr>
            <w:r>
              <w:rPr>
                <w:sz w:val="20"/>
                <w:szCs w:val="20"/>
              </w:rPr>
              <w:t xml:space="preserve">18,632***</w:t>
            </w:r>
          </w:p>
        </w:tc>
      </w:tr>
    </w:tbl>
    <w:p>
      <w:pPr>
        <w:pStyle w:val="Compact"/>
      </w:pPr>
      <w:r>
        <w:rPr>
          <w:sz w:val="20"/>
          <w:szCs w:val="20"/>
        </w:rPr>
        <w:t xml:space="preserve">Notes: Kurt.: non-excess kurtosis; P</w:t>
      </w:r>
      <w:r>
        <w:rPr>
          <w:vertAlign w:val="subscript"/>
          <w:sz w:val="20"/>
          <w:szCs w:val="20"/>
        </w:rPr>
        <w:t xml:space="preserve">cap</w:t>
      </w:r>
      <w:r>
        <w:rPr>
          <w:sz w:val="20"/>
          <w:szCs w:val="20"/>
        </w:rPr>
        <w:t xml:space="preserve">: overlap-purged series of Eq. (6); *** p &lt; 0.01. Source: Authors’ calculations based on the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All series are negatively skewed and leptokurtic (kurtosis above 33 at M30), and the Jarque–Bera test rejects normality for every series.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2692"/>
        <w:gridCol w:w="1284"/>
        <w:gridCol w:w="2379"/>
        <w:gridCol w:w="3005"/>
      </w:tblGrid>
      <w:tr>
        <w:trPr>
          <w:tblHeader w:val="true"/>
        </w:trPr>
        <w:tc>
          <w:tcPr>
            <w:tcW w:w="2692" w:type="dxa"/>
          </w:tcPr>
          <w:p>
            <w:pPr>
              <w:spacing w:before="0" w:after="0" w:line="240" w:lineRule="auto"/>
              <w:jc w:val="left"/>
            </w:pPr>
            <w:r>
              <w:rPr>
                <w:sz w:val="20"/>
                <w:szCs w:val="20"/>
              </w:rPr>
              <w:t xml:space="preserve">Frequency</w:t>
            </w:r>
          </w:p>
        </w:tc>
        <w:tc>
          <w:tcPr>
            <w:tcW w:w="1284" w:type="dxa"/>
          </w:tcPr>
          <w:p>
            <w:pPr>
              <w:spacing w:before="0" w:after="0" w:line="240" w:lineRule="auto"/>
              <w:jc w:val="left"/>
            </w:pPr>
            <w:r>
              <w:rPr>
                <w:sz w:val="20"/>
                <w:szCs w:val="20"/>
              </w:rPr>
              <w:t xml:space="preserve">N</w:t>
            </w:r>
          </w:p>
        </w:tc>
        <w:tc>
          <w:tcPr>
            <w:tcW w:w="2379" w:type="dxa"/>
          </w:tcPr>
          <w:p>
            <w:pPr>
              <w:spacing w:before="0" w:after="0" w:line="240" w:lineRule="auto"/>
              <w:jc w:val="left"/>
            </w:pPr>
            <w:r>
              <w:rPr>
                <w:sz w:val="20"/>
                <w:szCs w:val="20"/>
              </w:rPr>
              <w:t xml:space="preserve">Gaussian s</w:t>
            </w:r>
            <w:r>
              <w:rPr>
                <w:vertAlign w:val="subscript"/>
                <w:sz w:val="20"/>
                <w:szCs w:val="20"/>
              </w:rPr>
              <w:t xml:space="preserve">rel</w:t>
            </w:r>
          </w:p>
        </w:tc>
        <w:tc>
          <w:tcPr>
            <w:tcW w:w="3005" w:type="dxa"/>
          </w:tcPr>
          <w:p>
            <w:pPr>
              <w:spacing w:before="0" w:after="0" w:line="240" w:lineRule="auto"/>
              <w:jc w:val="left"/>
            </w:pPr>
            <w:r>
              <w:rPr>
                <w:sz w:val="20"/>
                <w:szCs w:val="20"/>
              </w:rPr>
              <w:t xml:space="preserve">Heavy-tailed s</w:t>
            </w:r>
            <w:r>
              <w:rPr>
                <w:vertAlign w:val="subscript"/>
                <w:sz w:val="20"/>
                <w:szCs w:val="20"/>
              </w:rPr>
              <w:t xml:space="preserve">rel</w:t>
            </w:r>
          </w:p>
        </w:tc>
      </w:tr>
      <w:tr>
        <w:tc>
          <w:tcPr>
            <w:tcW w:w="2692" w:type="dxa"/>
          </w:tcPr>
          <w:p>
            <w:pPr>
              <w:spacing w:before="0" w:after="0" w:line="240" w:lineRule="auto"/>
              <w:jc w:val="left"/>
            </w:pPr>
            <w:r>
              <w:rPr>
                <w:sz w:val="20"/>
                <w:szCs w:val="20"/>
              </w:rPr>
              <w:t xml:space="preserve">Daily (1D)</w:t>
            </w:r>
          </w:p>
        </w:tc>
        <w:tc>
          <w:tcPr>
            <w:tcW w:w="1284" w:type="dxa"/>
          </w:tcPr>
          <w:p>
            <w:pPr>
              <w:spacing w:before="0" w:after="0" w:line="240" w:lineRule="auto"/>
              <w:jc w:val="left"/>
            </w:pPr>
            <w:r>
              <w:rPr>
                <w:sz w:val="20"/>
                <w:szCs w:val="20"/>
              </w:rPr>
              <w:t xml:space="preserve">2,963</w:t>
            </w:r>
          </w:p>
        </w:tc>
        <w:tc>
          <w:tcPr>
            <w:tcW w:w="2379" w:type="dxa"/>
          </w:tcPr>
          <w:p>
            <w:pPr>
              <w:spacing w:before="0" w:after="0" w:line="240" w:lineRule="auto"/>
              <w:jc w:val="left"/>
            </w:pPr>
            <w:r>
              <w:rPr>
                <w:sz w:val="20"/>
                <w:szCs w:val="20"/>
              </w:rPr>
              <w:t xml:space="preserve">50</w:t>
            </w:r>
          </w:p>
        </w:tc>
        <w:tc>
          <w:tcPr>
            <w:tcW w:w="3005" w:type="dxa"/>
          </w:tcPr>
          <w:p>
            <w:pPr>
              <w:spacing w:before="0" w:after="0" w:line="240" w:lineRule="auto"/>
              <w:jc w:val="left"/>
            </w:pPr>
            <w:r>
              <w:rPr>
                <w:sz w:val="20"/>
                <w:szCs w:val="20"/>
              </w:rPr>
              <w:t xml:space="preserve">20</w:t>
            </w:r>
          </w:p>
        </w:tc>
      </w:tr>
      <w:tr>
        <w:tc>
          <w:tcPr>
            <w:tcW w:w="2692" w:type="dxa"/>
          </w:tcPr>
          <w:p>
            <w:pPr>
              <w:spacing w:before="0" w:after="0" w:line="240" w:lineRule="auto"/>
              <w:jc w:val="left"/>
            </w:pPr>
            <w:r>
              <w:rPr>
                <w:sz w:val="20"/>
                <w:szCs w:val="20"/>
              </w:rPr>
              <w:t xml:space="preserve">30-minute (M30)</w:t>
            </w:r>
          </w:p>
        </w:tc>
        <w:tc>
          <w:tcPr>
            <w:tcW w:w="1284" w:type="dxa"/>
          </w:tcPr>
          <w:p>
            <w:pPr>
              <w:spacing w:before="0" w:after="0" w:line="240" w:lineRule="auto"/>
              <w:jc w:val="left"/>
            </w:pPr>
            <w:r>
              <w:rPr>
                <w:sz w:val="20"/>
                <w:szCs w:val="20"/>
              </w:rPr>
              <w:t xml:space="preserve">21,942</w:t>
            </w:r>
          </w:p>
        </w:tc>
        <w:tc>
          <w:tcPr>
            <w:tcW w:w="2379" w:type="dxa"/>
          </w:tcPr>
          <w:p>
            <w:pPr>
              <w:spacing w:before="0" w:after="0" w:line="240" w:lineRule="auto"/>
              <w:jc w:val="left"/>
            </w:pPr>
            <w:r>
              <w:rPr>
                <w:sz w:val="20"/>
                <w:szCs w:val="20"/>
              </w:rPr>
              <w:t xml:space="preserve">444</w:t>
            </w:r>
          </w:p>
        </w:tc>
        <w:tc>
          <w:tcPr>
            <w:tcW w:w="3005" w:type="dxa"/>
          </w:tcPr>
          <w:p>
            <w:pPr>
              <w:spacing w:before="0" w:after="0" w:line="240" w:lineRule="auto"/>
              <w:jc w:val="left"/>
            </w:pPr>
            <w:r>
              <w:rPr>
                <w:sz w:val="20"/>
                <w:szCs w:val="20"/>
              </w:rPr>
              <w:t xml:space="preserve">151</w:t>
            </w:r>
          </w:p>
        </w:tc>
      </w:tr>
      <w:tr>
        <w:tc>
          <w:tcPr>
            <w:tcW w:w="2692" w:type="dxa"/>
          </w:tcPr>
          <w:p>
            <w:pPr>
              <w:spacing w:before="0" w:after="0" w:line="240" w:lineRule="auto"/>
              <w:jc w:val="left"/>
            </w:pPr>
            <w:r>
              <w:rPr>
                <w:sz w:val="20"/>
                <w:szCs w:val="20"/>
              </w:rPr>
              <w:t xml:space="preserve">1-hour (H1)</w:t>
            </w:r>
          </w:p>
        </w:tc>
        <w:tc>
          <w:tcPr>
            <w:tcW w:w="1284" w:type="dxa"/>
          </w:tcPr>
          <w:p>
            <w:pPr>
              <w:spacing w:before="0" w:after="0" w:line="240" w:lineRule="auto"/>
              <w:jc w:val="left"/>
            </w:pPr>
            <w:r>
              <w:rPr>
                <w:sz w:val="20"/>
                <w:szCs w:val="20"/>
              </w:rPr>
              <w:t xml:space="preserve">13,523</w:t>
            </w:r>
          </w:p>
        </w:tc>
        <w:tc>
          <w:tcPr>
            <w:tcW w:w="2379" w:type="dxa"/>
          </w:tcPr>
          <w:p>
            <w:pPr>
              <w:spacing w:before="0" w:after="0" w:line="240" w:lineRule="auto"/>
              <w:jc w:val="left"/>
            </w:pPr>
            <w:r>
              <w:rPr>
                <w:sz w:val="20"/>
                <w:szCs w:val="20"/>
              </w:rPr>
              <w:t xml:space="preserve">233</w:t>
            </w:r>
          </w:p>
        </w:tc>
        <w:tc>
          <w:tcPr>
            <w:tcW w:w="3005" w:type="dxa"/>
          </w:tcPr>
          <w:p>
            <w:pPr>
              <w:spacing w:before="0" w:after="0" w:line="240" w:lineRule="auto"/>
              <w:jc w:val="left"/>
            </w:pPr>
            <w:r>
              <w:rPr>
                <w:sz w:val="20"/>
                <w:szCs w:val="20"/>
              </w:rPr>
              <w:t xml:space="preserve">86</w:t>
            </w:r>
          </w:p>
        </w:tc>
      </w:tr>
      <w:tr>
        <w:tc>
          <w:tcPr>
            <w:tcW w:w="2692" w:type="dxa"/>
          </w:tcPr>
          <w:p>
            <w:pPr>
              <w:spacing w:before="0" w:after="0" w:line="240" w:lineRule="auto"/>
              <w:jc w:val="left"/>
            </w:pPr>
            <w:r>
              <w:rPr>
                <w:sz w:val="20"/>
                <w:szCs w:val="20"/>
              </w:rPr>
              <w:t xml:space="preserve">4-hour (H4)</w:t>
            </w:r>
          </w:p>
        </w:tc>
        <w:tc>
          <w:tcPr>
            <w:tcW w:w="1284" w:type="dxa"/>
          </w:tcPr>
          <w:p>
            <w:pPr>
              <w:spacing w:before="0" w:after="0" w:line="240" w:lineRule="auto"/>
              <w:jc w:val="left"/>
            </w:pPr>
            <w:r>
              <w:rPr>
                <w:sz w:val="20"/>
                <w:szCs w:val="20"/>
              </w:rPr>
              <w:t xml:space="preserve">5,410</w:t>
            </w:r>
          </w:p>
        </w:tc>
        <w:tc>
          <w:tcPr>
            <w:tcW w:w="2379" w:type="dxa"/>
          </w:tcPr>
          <w:p>
            <w:pPr>
              <w:spacing w:before="0" w:after="0" w:line="240" w:lineRule="auto"/>
              <w:jc w:val="left"/>
            </w:pPr>
            <w:r>
              <w:rPr>
                <w:sz w:val="20"/>
                <w:szCs w:val="20"/>
              </w:rPr>
              <w:t xml:space="preserve">88</w:t>
            </w:r>
          </w:p>
        </w:tc>
        <w:tc>
          <w:tcPr>
            <w:tcW w:w="3005" w:type="dxa"/>
          </w:tcPr>
          <w:p>
            <w:pPr>
              <w:spacing w:before="0" w:after="0" w:line="240" w:lineRule="auto"/>
              <w:jc w:val="left"/>
            </w:pPr>
            <w:r>
              <w:rPr>
                <w:sz w:val="20"/>
                <w:szCs w:val="20"/>
              </w:rPr>
              <w:t xml:space="preserve">28</w:t>
            </w:r>
          </w:p>
        </w:tc>
      </w:tr>
    </w:tbl>
    <w:p>
      <w:pPr>
        <w:pStyle w:val="Compact"/>
      </w:pPr>
      <w:r>
        <w:rPr>
          <w:sz w:val="20"/>
          <w:szCs w:val="20"/>
        </w:rPr>
        <w:t xml:space="preserve">Notes: DCCA: detrended cross-correlation analysis; s</w:t>
      </w:r>
      <w:r>
        <w:rPr>
          <w:vertAlign w:val="subscript"/>
          <w:sz w:val="20"/>
          <w:szCs w:val="20"/>
        </w:rPr>
        <w:t xml:space="preserve">rel</w:t>
      </w:r>
      <w:r>
        <w:rPr>
          <w:sz w:val="20"/>
          <w:szCs w:val="20"/>
        </w:rPr>
        <w:t xml:space="preserve">: largest scale (bars) at which the worst-case mean absolute error stays below 0.05; Gaussian: 1,002 white-noise simulations; heavy-tailed: 300 GARCH(1,1)-t(5) simulations (generalized autoregressive conditional heteroscedasticity).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w:t>
      </w:r>
      <w:r>
        <w:rPr>
          <w:rFonts w:ascii="Times New Roman" w:hAnsi="Times New Roman" w:cs="Times New Roman" w:eastAsia="Times New Roman"/>
          <w:b/>
          <w:vertAlign w:val="subscript"/>
          <w:sz w:val="24"/>
          <w:szCs w:val="24"/>
        </w:rPr>
        <w:t xml:space="preserve">1</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4 compares the nested and purged coefficients; Fig. 2 shows the curves with bootstrap bands.</w:t>
      </w:r>
    </w:p>
    <w:p>
      <w:pPr>
        <w:pStyle w:val="tablecaption0"/>
      </w:pPr>
      <w:r>
        <w:rPr>
          <w:bCs/>
          <w:b/>
        </w:rPr>
        <w:t xml:space="preserve">Table 4</w:t>
      </w:r>
      <w:r>
        <w:t xml:space="preserve"> </w:t>
      </w:r>
      <w:r>
        <w:t xml:space="preserve">Average DCCA coefficients of the nested pairs and the overlap-purged pair</w:t>
      </w:r>
    </w:p>
    <w:tbl>
      <w:tblPr>
        <w:tblStyle w:val="TableGrid"/>
        <w:tblW w:type="pct" w:w="5000"/>
        <w:tblLook w:firstRow="1" w:lastRow="0" w:firstColumn="0" w:lastColumn="0" w:noHBand="0" w:noVBand="0" w:val="0020"/>
        <w:jc w:val="start"/>
      </w:tblPr>
      <w:tblGrid>
        <w:gridCol w:w="1358"/>
        <w:gridCol w:w="1014"/>
        <w:gridCol w:w="910"/>
        <w:gridCol w:w="878"/>
        <w:gridCol w:w="1470"/>
        <w:gridCol w:w="1566"/>
        <w:gridCol w:w="1310"/>
        <w:gridCol w:w="854"/>
      </w:tblGrid>
      <w:tr>
        <w:trPr>
          <w:tblHeader w:val="true"/>
        </w:trPr>
        <w:tc>
          <w:tcPr>
            <w:tcW w:w="1358" w:type="dxa"/>
          </w:tcPr>
          <w:p>
            <w:pPr>
              <w:spacing w:before="0" w:after="0" w:line="240" w:lineRule="auto"/>
              <w:jc w:val="left"/>
            </w:pPr>
            <w:r>
              <w:rPr>
                <w:sz w:val="20"/>
                <w:szCs w:val="20"/>
              </w:rPr>
              <w:t xml:space="preserve">Frequency</w:t>
            </w:r>
          </w:p>
        </w:tc>
        <w:tc>
          <w:tcPr>
            <w:tcW w:w="1014" w:type="dxa"/>
          </w:tcPr>
          <w:p>
            <w:pPr>
              <w:spacing w:before="0" w:after="0" w:line="240" w:lineRule="auto"/>
              <w:jc w:val="left"/>
            </w:pPr>
            <w:r>
              <w:rPr>
                <w:sz w:val="20"/>
                <w:szCs w:val="20"/>
              </w:rPr>
              <w:t xml:space="preserve">Nested mean</w:t>
            </w:r>
          </w:p>
        </w:tc>
        <w:tc>
          <w:tcPr>
            <w:tcW w:w="910" w:type="dxa"/>
          </w:tcPr>
          <w:p>
            <w:pPr>
              <w:spacing w:before="0" w:after="0" w:line="240" w:lineRule="auto"/>
              <w:jc w:val="left"/>
            </w:pPr>
            <w:r>
              <w:rPr>
                <w:sz w:val="20"/>
                <w:szCs w:val="20"/>
              </w:rPr>
              <w:t xml:space="preserve">VN30–VN100</w:t>
            </w:r>
          </w:p>
        </w:tc>
        <w:tc>
          <w:tcPr>
            <w:tcW w:w="87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70" w:type="dxa"/>
          </w:tcPr>
          <w:p>
            <w:pPr>
              <w:spacing w:before="0" w:after="0" w:line="240" w:lineRule="auto"/>
              <w:jc w:val="left"/>
            </w:pPr>
            <w:r>
              <w:rPr>
                <w:sz w:val="20"/>
                <w:szCs w:val="20"/>
              </w:rPr>
              <w:t xml:space="preserve">Three-pair gap [95% CI]</w:t>
            </w:r>
          </w:p>
        </w:tc>
        <w:tc>
          <w:tcPr>
            <w:tcW w:w="1566" w:type="dxa"/>
          </w:tcPr>
          <w:p>
            <w:pPr>
              <w:spacing w:before="0" w:after="0" w:line="240" w:lineRule="auto"/>
              <w:jc w:val="left"/>
            </w:pPr>
            <w:r>
              <w:rPr>
                <w:sz w:val="20"/>
                <w:szCs w:val="20"/>
              </w:rPr>
              <w:t xml:space="preserve">Like-for-like gap [95% CI]</w:t>
            </w:r>
          </w:p>
        </w:tc>
        <w:tc>
          <w:tcPr>
            <w:tcW w:w="1310" w:type="dxa"/>
          </w:tcPr>
          <w:p>
            <w:pPr>
              <w:spacing w:before="0" w:after="0" w:line="240" w:lineRule="auto"/>
              <w:jc w:val="left"/>
            </w:pPr>
            <w:r>
              <w:rPr>
                <w:sz w:val="20"/>
                <w:szCs w:val="20"/>
              </w:rPr>
              <w:t xml:space="preserve">Cohen’s q [95% CI]</w:t>
            </w:r>
          </w:p>
        </w:tc>
        <w:tc>
          <w:tcPr>
            <w:tcW w:w="854" w:type="dxa"/>
          </w:tcPr>
          <w:p>
            <w:pPr>
              <w:spacing w:before="0" w:after="0" w:line="240" w:lineRule="auto"/>
              <w:jc w:val="left"/>
            </w:pPr>
            <w:r>
              <w:rPr>
                <w:sz w:val="20"/>
                <w:szCs w:val="20"/>
              </w:rPr>
              <w:t xml:space="preserve">N</w:t>
            </w:r>
          </w:p>
        </w:tc>
      </w:tr>
      <w:tr>
        <w:tc>
          <w:tcPr>
            <w:tcW w:w="9360" w:type="dxa"/>
            <w:gridSpan w:val="8"/>
          </w:tcPr>
          <w:p>
            <w:pPr>
              <w:spacing w:before="0" w:after="0" w:line="240" w:lineRule="auto"/>
              <w:jc w:val="left"/>
            </w:pPr>
            <w:r>
              <w:rPr>
                <w:iCs/>
                <w:i/>
                <w:sz w:val="20"/>
                <w:szCs w:val="20"/>
              </w:rPr>
              <w:t xml:space="preserve">Panel A: synchronized window, 2017–2024</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0.090</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1,983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19,463</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0.891</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9,879</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0.892</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3,953</w:t>
            </w:r>
          </w:p>
        </w:tc>
      </w:tr>
      <w:tr>
        <w:tc>
          <w:tcPr>
            <w:tcW w:w="9360" w:type="dxa"/>
            <w:gridSpan w:val="8"/>
          </w:tcPr>
          <w:p>
            <w:pPr>
              <w:spacing w:before="0" w:after="0" w:line="240" w:lineRule="auto"/>
              <w:jc w:val="left"/>
            </w:pPr>
            <w:r>
              <w:rPr>
                <w:iCs/>
                <w:i/>
                <w:sz w:val="20"/>
                <w:szCs w:val="20"/>
              </w:rPr>
              <w:t xml:space="preserve">Panel B: full sample, 2014–2025</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0.977</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0.884</w:t>
            </w:r>
          </w:p>
        </w:tc>
        <w:tc>
          <w:tcPr>
            <w:tcW w:w="1470" w:type="dxa"/>
          </w:tcPr>
          <w:p>
            <w:pPr>
              <w:spacing w:before="0" w:after="0" w:line="240" w:lineRule="auto"/>
              <w:jc w:val="left"/>
            </w:pPr>
            <w:r>
              <w:rPr>
                <w:sz w:val="20"/>
                <w:szCs w:val="20"/>
              </w:rPr>
              <w:t xml:space="preserve">0.093 [0.074, 0.115]</w:t>
            </w:r>
          </w:p>
        </w:tc>
        <w:tc>
          <w:tcPr>
            <w:tcW w:w="1566" w:type="dxa"/>
          </w:tcPr>
          <w:p>
            <w:pPr>
              <w:spacing w:before="0" w:after="0" w:line="240" w:lineRule="auto"/>
              <w:jc w:val="left"/>
            </w:pPr>
            <w:r>
              <w:rPr>
                <w:sz w:val="20"/>
                <w:szCs w:val="20"/>
              </w:rPr>
              <w:t xml:space="preserve">0.104 [0.085, 0.128]</w:t>
            </w:r>
          </w:p>
        </w:tc>
        <w:tc>
          <w:tcPr>
            <w:tcW w:w="1310" w:type="dxa"/>
          </w:tcPr>
          <w:p>
            <w:pPr>
              <w:spacing w:before="0" w:after="0" w:line="240" w:lineRule="auto"/>
              <w:jc w:val="left"/>
            </w:pPr>
            <w:r>
              <w:rPr>
                <w:sz w:val="20"/>
                <w:szCs w:val="20"/>
              </w:rPr>
              <w:t xml:space="preserve">0.83 [0.75, 0.89]</w:t>
            </w:r>
          </w:p>
        </w:tc>
        <w:tc>
          <w:tcPr>
            <w:tcW w:w="854" w:type="dxa"/>
          </w:tcPr>
          <w:p>
            <w:pPr>
              <w:spacing w:before="0" w:after="0" w:line="240" w:lineRule="auto"/>
              <w:jc w:val="left"/>
            </w:pPr>
            <w:r>
              <w:rPr>
                <w:sz w:val="20"/>
                <w:szCs w:val="20"/>
              </w:rPr>
              <w:t xml:space="preserve">2,963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0.987</w:t>
            </w:r>
          </w:p>
        </w:tc>
        <w:tc>
          <w:tcPr>
            <w:tcW w:w="878" w:type="dxa"/>
          </w:tcPr>
          <w:p>
            <w:pPr>
              <w:spacing w:before="0" w:after="0" w:line="240" w:lineRule="auto"/>
              <w:jc w:val="left"/>
            </w:pPr>
            <w:r>
              <w:rPr>
                <w:sz w:val="20"/>
                <w:szCs w:val="20"/>
              </w:rPr>
              <w:t xml:space="preserve">0.883</w:t>
            </w:r>
          </w:p>
        </w:tc>
        <w:tc>
          <w:tcPr>
            <w:tcW w:w="1470" w:type="dxa"/>
          </w:tcPr>
          <w:p>
            <w:pPr>
              <w:spacing w:before="0" w:after="0" w:line="240" w:lineRule="auto"/>
              <w:jc w:val="left"/>
            </w:pPr>
            <w:r>
              <w:rPr>
                <w:sz w:val="20"/>
                <w:szCs w:val="20"/>
              </w:rPr>
              <w:t xml:space="preserve">0.096 [0.080, 0.119]</w:t>
            </w:r>
          </w:p>
        </w:tc>
        <w:tc>
          <w:tcPr>
            <w:tcW w:w="1566" w:type="dxa"/>
          </w:tcPr>
          <w:p>
            <w:pPr>
              <w:spacing w:before="0" w:after="0" w:line="240" w:lineRule="auto"/>
              <w:jc w:val="left"/>
            </w:pPr>
            <w:r>
              <w:rPr>
                <w:sz w:val="20"/>
                <w:szCs w:val="20"/>
              </w:rPr>
              <w:t xml:space="preserve">0.104 [0.087, 0.125]</w:t>
            </w:r>
          </w:p>
        </w:tc>
        <w:tc>
          <w:tcPr>
            <w:tcW w:w="1310" w:type="dxa"/>
          </w:tcPr>
          <w:p>
            <w:pPr>
              <w:spacing w:before="0" w:after="0" w:line="240" w:lineRule="auto"/>
              <w:jc w:val="left"/>
            </w:pPr>
            <w:r>
              <w:rPr>
                <w:sz w:val="20"/>
                <w:szCs w:val="20"/>
              </w:rPr>
              <w:t xml:space="preserve">0.89 [0.83, 0.94]</w:t>
            </w:r>
          </w:p>
        </w:tc>
        <w:tc>
          <w:tcPr>
            <w:tcW w:w="854" w:type="dxa"/>
          </w:tcPr>
          <w:p>
            <w:pPr>
              <w:spacing w:before="0" w:after="0" w:line="240" w:lineRule="auto"/>
              <w:jc w:val="left"/>
            </w:pPr>
            <w:r>
              <w:rPr>
                <w:sz w:val="20"/>
                <w:szCs w:val="20"/>
              </w:rPr>
              <w:t xml:space="preserve">21,942</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0.975</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0.889</w:t>
            </w:r>
          </w:p>
        </w:tc>
        <w:tc>
          <w:tcPr>
            <w:tcW w:w="1470" w:type="dxa"/>
          </w:tcPr>
          <w:p>
            <w:pPr>
              <w:spacing w:before="0" w:after="0" w:line="240" w:lineRule="auto"/>
              <w:jc w:val="left"/>
            </w:pPr>
            <w:r>
              <w:rPr>
                <w:sz w:val="20"/>
                <w:szCs w:val="20"/>
              </w:rPr>
              <w:t xml:space="preserve">0.086 [0.071, 0.103]</w:t>
            </w:r>
          </w:p>
        </w:tc>
        <w:tc>
          <w:tcPr>
            <w:tcW w:w="1566" w:type="dxa"/>
          </w:tcPr>
          <w:p>
            <w:pPr>
              <w:spacing w:before="0" w:after="0" w:line="240" w:lineRule="auto"/>
              <w:jc w:val="left"/>
            </w:pPr>
            <w:r>
              <w:rPr>
                <w:sz w:val="20"/>
                <w:szCs w:val="20"/>
              </w:rPr>
              <w:t xml:space="preserve">0.099 [0.084, 0.118]</w:t>
            </w:r>
          </w:p>
        </w:tc>
        <w:tc>
          <w:tcPr>
            <w:tcW w:w="1310" w:type="dxa"/>
          </w:tcPr>
          <w:p>
            <w:pPr>
              <w:spacing w:before="0" w:after="0" w:line="240" w:lineRule="auto"/>
              <w:jc w:val="left"/>
            </w:pPr>
            <w:r>
              <w:rPr>
                <w:sz w:val="20"/>
                <w:szCs w:val="20"/>
              </w:rPr>
              <w:t xml:space="preserve">0.78 [0.70, 0.83]</w:t>
            </w:r>
          </w:p>
        </w:tc>
        <w:tc>
          <w:tcPr>
            <w:tcW w:w="854" w:type="dxa"/>
          </w:tcPr>
          <w:p>
            <w:pPr>
              <w:spacing w:before="0" w:after="0" w:line="240" w:lineRule="auto"/>
              <w:jc w:val="left"/>
            </w:pPr>
            <w:r>
              <w:rPr>
                <w:sz w:val="20"/>
                <w:szCs w:val="20"/>
              </w:rPr>
              <w:t xml:space="preserve">13,523</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0.976</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0.087 [0.072, 0.103]</w:t>
            </w:r>
          </w:p>
        </w:tc>
        <w:tc>
          <w:tcPr>
            <w:tcW w:w="1566" w:type="dxa"/>
          </w:tcPr>
          <w:p>
            <w:pPr>
              <w:spacing w:before="0" w:after="0" w:line="240" w:lineRule="auto"/>
              <w:jc w:val="left"/>
            </w:pPr>
            <w:r>
              <w:rPr>
                <w:sz w:val="20"/>
                <w:szCs w:val="20"/>
              </w:rPr>
              <w:t xml:space="preserve">0.099 [0.084, 0.116]</w:t>
            </w:r>
          </w:p>
        </w:tc>
        <w:tc>
          <w:tcPr>
            <w:tcW w:w="1310" w:type="dxa"/>
          </w:tcPr>
          <w:p>
            <w:pPr>
              <w:spacing w:before="0" w:after="0" w:line="240" w:lineRule="auto"/>
              <w:jc w:val="left"/>
            </w:pPr>
            <w:r>
              <w:rPr>
                <w:sz w:val="20"/>
                <w:szCs w:val="20"/>
              </w:rPr>
              <w:t xml:space="preserve">0.79 [0.72, 0.84]</w:t>
            </w:r>
          </w:p>
        </w:tc>
        <w:tc>
          <w:tcPr>
            <w:tcW w:w="854" w:type="dxa"/>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P</w:t>
      </w:r>
      <w:r>
        <w:rPr>
          <w:vertAlign w:val="subscript"/>
          <w:sz w:val="20"/>
          <w:szCs w:val="20"/>
        </w:rPr>
        <w:t xml:space="preserve">cap</w:t>
      </w:r>
      <w:r>
        <w:rPr>
          <w:sz w:val="20"/>
          <w:szCs w:val="20"/>
        </w:rPr>
        <w:t xml:space="preserve">: overlap-purged mid-cap series;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averages 0.883–0.892. Corollary 3 fixes the sign of the like-for-like gap, but not its size: the gap is 0.099–0.104 with interval lower bounds of at least 0.084, above the 0.05 tolerance at every frequency,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The three-pair gap is 0.086–0.096, with Cohen’s q (Cohen 1988) of 0.78–0.89. We report q descriptively because both coefficients come from the same sample.</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daily like-for-like gap is 0.063–0.164, and the three-pair gap 0.052–0.153 (Tables S2 and S3). With w drawn in each replicate, the like-for-like intervals have lower bounds of 0.057–0.061 and every replicate exceeds 0.05,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holds under weight uncertainty. The size of the gap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P</w:t>
      </w:r>
      <w:r>
        <w:rPr>
          <w:vertAlign w:val="subscript"/>
          <w:sz w:val="20"/>
          <w:szCs w:val="20"/>
        </w:rPr>
        <w:t xml:space="preserve">cap</w:t>
      </w:r>
      <w:r>
        <w:rPr>
          <w:sz w:val="20"/>
          <w:szCs w:val="20"/>
        </w:rPr>
        <w:t xml:space="preserve">: overlap-purged mid-cap series; gray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the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1183"/>
        <w:gridCol w:w="750"/>
        <w:gridCol w:w="994"/>
        <w:gridCol w:w="865"/>
        <w:gridCol w:w="1196"/>
        <w:gridCol w:w="778"/>
        <w:gridCol w:w="1399"/>
        <w:gridCol w:w="1199"/>
        <w:gridCol w:w="997"/>
      </w:tblGrid>
      <w:tr>
        <w:trPr>
          <w:tblHeader w:val="true"/>
        </w:trPr>
        <w:tc>
          <w:tcPr>
            <w:tcW w:w="1183" w:type="dxa"/>
          </w:tcPr>
          <w:p>
            <w:pPr>
              <w:spacing w:before="0" w:after="0" w:line="240" w:lineRule="auto"/>
              <w:jc w:val="left"/>
            </w:pPr>
            <w:r>
              <w:rPr>
                <w:sz w:val="20"/>
                <w:szCs w:val="20"/>
              </w:rPr>
              <w:t xml:space="preserve">Frequency</w:t>
            </w:r>
          </w:p>
        </w:tc>
        <w:tc>
          <w:tcPr>
            <w:tcW w:w="750" w:type="dxa"/>
          </w:tcPr>
          <w:p>
            <w:pPr>
              <w:spacing w:before="0" w:after="0" w:line="240" w:lineRule="auto"/>
              <w:jc w:val="left"/>
            </w:pPr>
            <w:r>
              <w:rPr>
                <w:sz w:val="20"/>
                <w:szCs w:val="20"/>
              </w:rPr>
              <w:t xml:space="preserve">κ</w:t>
            </w:r>
          </w:p>
        </w:tc>
        <w:tc>
          <w:tcPr>
            <w:tcW w:w="994" w:type="dxa"/>
          </w:tcPr>
          <w:p>
            <w:pPr>
              <w:spacing w:before="0" w:after="0" w:line="240" w:lineRule="auto"/>
              <w:jc w:val="left"/>
            </w:pPr>
            <w:r>
              <w:rPr>
                <w:sz w:val="20"/>
                <w:szCs w:val="20"/>
              </w:rPr>
              <w:t xml:space="preserve">Purged ρ</w:t>
            </w:r>
            <w:r>
              <w:rPr>
                <w:vertAlign w:val="subscript"/>
                <w:sz w:val="20"/>
                <w:szCs w:val="20"/>
              </w:rPr>
              <w:t xml:space="preserve">AM</w:t>
            </w:r>
          </w:p>
        </w:tc>
        <w:tc>
          <w:tcPr>
            <w:tcW w:w="865" w:type="dxa"/>
          </w:tcPr>
          <w:p>
            <w:pPr>
              <w:spacing w:before="0" w:after="0" w:line="240" w:lineRule="auto"/>
              <w:jc w:val="left"/>
            </w:pPr>
            <w:r>
              <w:rPr>
                <w:sz w:val="20"/>
                <w:szCs w:val="20"/>
              </w:rPr>
              <w:t xml:space="preserve">Nested ρ</w:t>
            </w:r>
            <w:r>
              <w:rPr>
                <w:vertAlign w:val="subscript"/>
                <w:sz w:val="20"/>
                <w:szCs w:val="20"/>
              </w:rPr>
              <w:t xml:space="preserve">AB</w:t>
            </w:r>
          </w:p>
        </w:tc>
        <w:tc>
          <w:tcPr>
            <w:tcW w:w="1196" w:type="dxa"/>
          </w:tcPr>
          <w:p>
            <w:pPr>
              <w:spacing w:before="0" w:after="0" w:line="240" w:lineRule="auto"/>
              <w:jc w:val="left"/>
            </w:pPr>
            <w:r>
              <w:rPr>
                <w:sz w:val="20"/>
                <w:szCs w:val="20"/>
              </w:rPr>
              <w:t xml:space="preserve">Benchmark ρ̲</w:t>
            </w:r>
          </w:p>
        </w:tc>
        <w:tc>
          <w:tcPr>
            <w:tcW w:w="778" w:type="dxa"/>
          </w:tcPr>
          <w:p>
            <w:pPr>
              <w:spacing w:before="0" w:after="0" w:line="240" w:lineRule="auto"/>
              <w:jc w:val="left"/>
            </w:pPr>
            <w:r>
              <w:rPr>
                <w:sz w:val="20"/>
                <w:szCs w:val="20"/>
              </w:rPr>
              <w:t xml:space="preserve">Bound √(1 − κ²)</w:t>
            </w:r>
          </w:p>
        </w:tc>
        <w:tc>
          <w:tcPr>
            <w:tcW w:w="1399" w:type="dxa"/>
          </w:tcPr>
          <w:p>
            <w:pPr>
              <w:spacing w:before="0" w:after="0" w:line="240" w:lineRule="auto"/>
              <w:jc w:val="left"/>
            </w:pPr>
            <w:r>
              <w:rPr>
                <w:sz w:val="20"/>
                <w:szCs w:val="20"/>
              </w:rPr>
              <w:t xml:space="preserve">Sensitivity</w:t>
            </w:r>
          </w:p>
        </w:tc>
        <w:tc>
          <w:tcPr>
            <w:tcW w:w="1199" w:type="dxa"/>
          </w:tcPr>
          <w:p>
            <w:pPr>
              <w:spacing w:before="0" w:after="0" w:line="240" w:lineRule="auto"/>
              <w:jc w:val="left"/>
            </w:pPr>
            <w:r>
              <w:rPr>
                <w:sz w:val="20"/>
                <w:szCs w:val="20"/>
              </w:rPr>
              <w:t xml:space="preserve">Benchmark-first share</w:t>
            </w:r>
          </w:p>
        </w:tc>
        <w:tc>
          <w:tcPr>
            <w:tcW w:w="997" w:type="dxa"/>
          </w:tcPr>
          <w:p>
            <w:pPr>
              <w:spacing w:before="0" w:after="0" w:line="240" w:lineRule="auto"/>
              <w:jc w:val="left"/>
            </w:pPr>
            <w:r>
              <w:rPr>
                <w:sz w:val="20"/>
                <w:szCs w:val="20"/>
              </w:rPr>
              <w:t xml:space="preserve">Shapley overlap share</w:t>
            </w:r>
          </w:p>
        </w:tc>
      </w:tr>
      <w:tr>
        <w:tc>
          <w:tcPr>
            <w:tcW w:w="9361" w:type="dxa"/>
            <w:gridSpan w:val="9"/>
          </w:tcPr>
          <w:p>
            <w:pPr>
              <w:spacing w:before="0" w:after="0" w:line="240" w:lineRule="auto"/>
              <w:jc w:val="left"/>
            </w:pPr>
            <w:r>
              <w:rPr>
                <w:iCs/>
                <w:i/>
                <w:sz w:val="20"/>
                <w:szCs w:val="20"/>
              </w:rPr>
              <w:t xml:space="preserve">Panel A: sampling uncertainty, w fixed at the factsheet value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jc w:val="left"/>
            </w:pPr>
            <w:r>
              <w:rPr>
                <w:sz w:val="20"/>
                <w:szCs w:val="20"/>
              </w:rPr>
              <w:t xml:space="preserve">0.484</w:t>
            </w:r>
          </w:p>
        </w:tc>
        <w:tc>
          <w:tcPr>
            <w:tcW w:w="994" w:type="dxa"/>
          </w:tcPr>
          <w:p>
            <w:pPr>
              <w:spacing w:before="0" w:after="0" w:line="240" w:lineRule="auto"/>
              <w:jc w:val="left"/>
            </w:pPr>
            <w:r>
              <w:rPr>
                <w:sz w:val="20"/>
                <w:szCs w:val="20"/>
              </w:rPr>
              <w:t xml:space="preserve">0.884 [0.857, 0.906]</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[0.891, 0.910]</w:t>
            </w:r>
          </w:p>
        </w:tc>
        <w:tc>
          <w:tcPr>
            <w:tcW w:w="778" w:type="dxa"/>
          </w:tcPr>
          <w:p>
            <w:pPr>
              <w:spacing w:before="0" w:after="0" w:line="240" w:lineRule="auto"/>
              <w:jc w:val="left"/>
            </w:pPr>
            <w:r>
              <w:rPr>
                <w:sz w:val="20"/>
                <w:szCs w:val="20"/>
              </w:rPr>
              <w:t xml:space="preserve">0.875</w:t>
            </w:r>
          </w:p>
        </w:tc>
        <w:tc>
          <w:tcPr>
            <w:tcW w:w="1399" w:type="dxa"/>
          </w:tcPr>
          <w:p>
            <w:pPr>
              <w:spacing w:before="0" w:after="0" w:line="240" w:lineRule="auto"/>
              <w:jc w:val="left"/>
            </w:pPr>
            <w:r>
              <w:rPr>
                <w:sz w:val="20"/>
                <w:szCs w:val="20"/>
              </w:rPr>
              <w:t xml:space="preserve">0.106 [0.098, 0.114]</w:t>
            </w:r>
          </w:p>
        </w:tc>
        <w:tc>
          <w:tcPr>
            <w:tcW w:w="1199" w:type="dxa"/>
          </w:tcPr>
          <w:p>
            <w:pPr>
              <w:spacing w:before="0" w:after="0" w:line="240" w:lineRule="auto"/>
              <w:jc w:val="left"/>
            </w:pPr>
            <w:r>
              <w:rPr>
                <w:sz w:val="20"/>
                <w:szCs w:val="20"/>
              </w:rPr>
              <w:t xml:space="preserve">0.911</w:t>
            </w:r>
          </w:p>
        </w:tc>
        <w:tc>
          <w:tcPr>
            <w:tcW w:w="997" w:type="dxa"/>
          </w:tcPr>
          <w:p>
            <w:pPr>
              <w:spacing w:before="0" w:after="0" w:line="240" w:lineRule="auto"/>
              <w:jc w:val="left"/>
            </w:pPr>
            <w:r>
              <w:rPr>
                <w:sz w:val="20"/>
                <w:szCs w:val="20"/>
              </w:rPr>
              <w:t xml:space="preserve">0.508 [0.498, 0.521]</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jc w:val="left"/>
            </w:pPr>
            <w:r>
              <w:rPr>
                <w:sz w:val="20"/>
                <w:szCs w:val="20"/>
              </w:rPr>
              <w:t xml:space="preserve">0.503</w:t>
            </w:r>
          </w:p>
        </w:tc>
        <w:tc>
          <w:tcPr>
            <w:tcW w:w="994" w:type="dxa"/>
          </w:tcPr>
          <w:p>
            <w:pPr>
              <w:spacing w:before="0" w:after="0" w:line="240" w:lineRule="auto"/>
              <w:jc w:val="left"/>
            </w:pPr>
            <w:r>
              <w:rPr>
                <w:sz w:val="20"/>
                <w:szCs w:val="20"/>
              </w:rPr>
              <w:t xml:space="preserve">0.883 [0.859, 0.904]</w:t>
            </w:r>
          </w:p>
        </w:tc>
        <w:tc>
          <w:tcPr>
            <w:tcW w:w="865" w:type="dxa"/>
          </w:tcPr>
          <w:p>
            <w:pPr>
              <w:spacing w:before="0" w:after="0" w:line="240" w:lineRule="auto"/>
              <w:jc w:val="left"/>
            </w:pPr>
            <w:r>
              <w:rPr>
                <w:sz w:val="20"/>
                <w:szCs w:val="20"/>
              </w:rPr>
              <w:t xml:space="preserve">0.987</w:t>
            </w:r>
          </w:p>
        </w:tc>
        <w:tc>
          <w:tcPr>
            <w:tcW w:w="1196" w:type="dxa"/>
          </w:tcPr>
          <w:p>
            <w:pPr>
              <w:spacing w:before="0" w:after="0" w:line="240" w:lineRule="auto"/>
              <w:jc w:val="left"/>
            </w:pPr>
            <w:r>
              <w:rPr>
                <w:sz w:val="20"/>
                <w:szCs w:val="20"/>
              </w:rPr>
              <w:t xml:space="preserve">0.893 [0.882, 0.903]</w:t>
            </w:r>
          </w:p>
        </w:tc>
        <w:tc>
          <w:tcPr>
            <w:tcW w:w="778" w:type="dxa"/>
          </w:tcPr>
          <w:p>
            <w:pPr>
              <w:spacing w:before="0" w:after="0" w:line="240" w:lineRule="auto"/>
              <w:jc w:val="left"/>
            </w:pPr>
            <w:r>
              <w:rPr>
                <w:sz w:val="20"/>
                <w:szCs w:val="20"/>
              </w:rPr>
              <w:t xml:space="preserve">0.864</w:t>
            </w:r>
          </w:p>
        </w:tc>
        <w:tc>
          <w:tcPr>
            <w:tcW w:w="1399" w:type="dxa"/>
          </w:tcPr>
          <w:p>
            <w:pPr>
              <w:spacing w:before="0" w:after="0" w:line="240" w:lineRule="auto"/>
              <w:jc w:val="left"/>
            </w:pPr>
            <w:r>
              <w:rPr>
                <w:sz w:val="20"/>
                <w:szCs w:val="20"/>
              </w:rPr>
              <w:t xml:space="preserve">0.112 [0.104, 0.122]</w:t>
            </w:r>
          </w:p>
        </w:tc>
        <w:tc>
          <w:tcPr>
            <w:tcW w:w="1199" w:type="dxa"/>
          </w:tcPr>
          <w:p>
            <w:pPr>
              <w:spacing w:before="0" w:after="0" w:line="240" w:lineRule="auto"/>
              <w:jc w:val="left"/>
            </w:pPr>
            <w:r>
              <w:rPr>
                <w:sz w:val="20"/>
                <w:szCs w:val="20"/>
              </w:rPr>
              <w:t xml:space="preserve">0.905</w:t>
            </w:r>
          </w:p>
        </w:tc>
        <w:tc>
          <w:tcPr>
            <w:tcW w:w="997" w:type="dxa"/>
          </w:tcPr>
          <w:p>
            <w:pPr>
              <w:spacing w:before="0" w:after="0" w:line="240" w:lineRule="auto"/>
              <w:jc w:val="left"/>
            </w:pPr>
            <w:r>
              <w:rPr>
                <w:sz w:val="20"/>
                <w:szCs w:val="20"/>
              </w:rPr>
              <w:t xml:space="preserve">0.505 [0.497, 0.515]</w:t>
            </w:r>
          </w:p>
        </w:tc>
      </w:tr>
      <w:tr>
        <w:tc>
          <w:tcPr>
            <w:tcW w:w="1183" w:type="dxa"/>
          </w:tcPr>
          <w:p>
            <w:pPr>
              <w:spacing w:before="0" w:after="0" w:line="240" w:lineRule="auto"/>
              <w:jc w:val="left"/>
            </w:pPr>
            <w:r>
              <w:rPr>
                <w:sz w:val="20"/>
                <w:szCs w:val="20"/>
              </w:rPr>
              <w:t xml:space="preserve">1-hour (H1)</w:t>
            </w:r>
          </w:p>
        </w:tc>
        <w:tc>
          <w:tcPr>
            <w:tcW w:w="750" w:type="dxa"/>
          </w:tcPr>
          <w:p>
            <w:pPr>
              <w:spacing w:before="0" w:after="0" w:line="240" w:lineRule="auto"/>
              <w:jc w:val="left"/>
            </w:pPr>
            <w:r>
              <w:rPr>
                <w:sz w:val="20"/>
                <w:szCs w:val="20"/>
              </w:rPr>
              <w:t xml:space="preserve">0.486</w:t>
            </w:r>
          </w:p>
        </w:tc>
        <w:tc>
          <w:tcPr>
            <w:tcW w:w="994" w:type="dxa"/>
          </w:tcPr>
          <w:p>
            <w:pPr>
              <w:spacing w:before="0" w:after="0" w:line="240" w:lineRule="auto"/>
              <w:jc w:val="left"/>
            </w:pPr>
            <w:r>
              <w:rPr>
                <w:sz w:val="20"/>
                <w:szCs w:val="20"/>
              </w:rPr>
              <w:t xml:space="preserve">0.889 [0.868, 0.905]</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0.899 [0.889, 0.909]</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0.107 [0.099, 0.116]</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1183" w:type="dxa"/>
          </w:tcPr>
          <w:p>
            <w:pPr>
              <w:spacing w:before="0" w:after="0" w:line="240" w:lineRule="auto"/>
              <w:jc w:val="left"/>
            </w:pPr>
            <w:r>
              <w:rPr>
                <w:sz w:val="20"/>
                <w:szCs w:val="20"/>
              </w:rPr>
              <w:t xml:space="preserve">4-hour (H4)</w:t>
            </w:r>
          </w:p>
        </w:tc>
        <w:tc>
          <w:tcPr>
            <w:tcW w:w="750" w:type="dxa"/>
          </w:tcPr>
          <w:p>
            <w:pPr>
              <w:spacing w:before="0" w:after="0" w:line="240" w:lineRule="auto"/>
              <w:jc w:val="left"/>
            </w:pPr>
            <w:r>
              <w:rPr>
                <w:sz w:val="20"/>
                <w:szCs w:val="20"/>
              </w:rPr>
              <w:t xml:space="preserve">0.485</w:t>
            </w:r>
          </w:p>
        </w:tc>
        <w:tc>
          <w:tcPr>
            <w:tcW w:w="994" w:type="dxa"/>
          </w:tcPr>
          <w:p>
            <w:pPr>
              <w:spacing w:before="0" w:after="0" w:line="240" w:lineRule="auto"/>
              <w:jc w:val="left"/>
            </w:pPr>
            <w:r>
              <w:rPr>
                <w:sz w:val="20"/>
                <w:szCs w:val="20"/>
              </w:rPr>
              <w:t xml:space="preserve">0.890 [0.865, 0.908]</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[0.890, 0.910]</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0.106 [0.098, 0.115]</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9361" w:type="dxa"/>
            <w:gridSpan w:val="9"/>
          </w:tcPr>
          <w:p>
            <w:pPr>
              <w:spacing w:before="0" w:after="0" w:line="240" w:lineRule="auto"/>
              <w:jc w:val="left"/>
            </w:pPr>
            <w:r>
              <w:rPr>
                <w:iCs/>
                <w:i/>
                <w:sz w:val="20"/>
                <w:szCs w:val="20"/>
              </w:rPr>
              <w:t xml:space="preserve">Panel B: sampling and weight uncertainty, w ~ U(0.60, 0.75) in each replicate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0.884 [0.821, 0.931]</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0.900 [0.830, 0.938]</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0.106 [0.071, 0.163]</w:t>
            </w:r>
          </w:p>
        </w:tc>
        <w:tc>
          <w:tcPr>
            <w:tcW w:w="1199" w:type="dxa"/>
          </w:tcPr>
          <w:p>
            <w:pPr>
              <w:spacing w:before="0" w:after="0" w:line="240" w:lineRule="auto"/>
              <w:jc w:val="left"/>
            </w:pPr>
            <w:r>
              <w:rPr>
                <w:sz w:val="20"/>
                <w:szCs w:val="20"/>
              </w:rPr>
              <w:t xml:space="preserve">0.911 [0.841, 0.949]</w:t>
            </w:r>
          </w:p>
        </w:tc>
        <w:tc>
          <w:tcPr>
            <w:tcW w:w="997" w:type="dxa"/>
          </w:tcPr>
          <w:p>
            <w:pPr>
              <w:spacing w:before="0" w:after="0" w:line="240" w:lineRule="auto"/>
              <w:jc w:val="left"/>
            </w:pPr>
            <w:r>
              <w:rPr>
                <w:sz w:val="20"/>
                <w:szCs w:val="20"/>
              </w:rPr>
              <w:t xml:space="preserve">0.508 [0.452, 0.556]</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0.883 [0.817, 0.926]</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0.893 [0.823, 0.932]</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0.112 [0.077, 0.168]</w:t>
            </w:r>
          </w:p>
        </w:tc>
        <w:tc>
          <w:tcPr>
            <w:tcW w:w="1199" w:type="dxa"/>
          </w:tcPr>
          <w:p>
            <w:pPr>
              <w:spacing w:before="0" w:after="0" w:line="240" w:lineRule="auto"/>
              <w:jc w:val="left"/>
            </w:pPr>
            <w:r>
              <w:rPr>
                <w:sz w:val="20"/>
                <w:szCs w:val="20"/>
              </w:rPr>
              <w:t xml:space="preserve">0.905 [0.834, 0.944]</w:t>
            </w:r>
          </w:p>
        </w:tc>
        <w:tc>
          <w:tcPr>
            <w:tcW w:w="997" w:type="dxa"/>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and M = P</w:t>
      </w:r>
      <w:r>
        <w:rPr>
          <w:vertAlign w:val="subscript"/>
          <w:sz w:val="20"/>
          <w:szCs w:val="20"/>
        </w:rPr>
        <w:t xml:space="preserve">cap</w:t>
      </w:r>
      <w:r>
        <w:rPr>
          <w:sz w:val="20"/>
          <w:szCs w:val="20"/>
        </w:rPr>
        <w:t xml:space="preserve"> </w:t>
      </w:r>
      <w:r>
        <w:rPr>
          <w:sz w:val="20"/>
          <w:szCs w:val="20"/>
        </w:rPr>
        <w:t xml:space="preserve">(overlap-purged mid-cap series). Brackets: block-bootstrap 95% intervals; Panel B covers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nested coefficient by 0.01 requires the purged coefficient to move by approximately 0.09. Under weight uncertainty, the sensitivity interval is 0.07–0.17. With κ of 0.48–0.50, the remaining 32% of VN100 contributes approximately half as much detrended variation as VN30, which puts the benchmark at 0.893–0.900 and the lower bound of Eq. (9) at 0.864–0.875.</w:t>
      </w:r>
    </w:p>
    <w:p>
      <w:pPr>
        <w:pStyle w:val="BodyText"/>
        <w:spacing w:before="0" w:after="120" w:line="300" w:lineRule="auto"/>
        <w:jc w:val="both"/>
      </w:pPr>
      <w:r>
        <w:rPr>
          <w:rFonts w:ascii="Times New Roman" w:hAnsi="Times New Roman" w:cs="Times New Roman" w:eastAsia="Times New Roman"/>
          <w:sz w:val="24"/>
          <w:szCs w:val="24"/>
        </w:rPr>
        <w:t xml:space="preserve">The part of the observed 0.987–0.988 attributable to overlap depends on the attribution convention. The benchmark-first share is 0.905–0.911 and the dependence-first share is 0.895–0.900, because either factor alone produces a coefficient near 0.9. The Shapley split attributes 0.505–0.508 to overlap (intervals within 0.497–0.521). Weight uncertainty widens the Shapley intervals to 0.45–0.56 and the benchmark-first intervals to 0.83–0.95, against a sampling-only width of approximately 0.02; thus,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zero. The slope, about −0.002 per unit of ln s, is negligible. On full-sample Pearson moments, the benchmark is 0.898–0.903 and the benchmark-first share 0.911–0.914, within 0.01 of the DCCA values. In these data, the multiscale layer checks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w:t>
      </w:r>
      <w:r>
        <w:rPr>
          <w:rFonts w:ascii="Times New Roman" w:hAnsi="Times New Roman" w:cs="Times New Roman" w:eastAsia="Times New Roman"/>
          <w:b/>
          <w:vertAlign w:val="subscript"/>
          <w:sz w:val="24"/>
          <w:szCs w:val="24"/>
        </w:rPr>
        <w:t xml:space="preserve">2</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6 lists the reliable-range slopes for the four main pairs.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1255"/>
        <w:gridCol w:w="1047"/>
        <w:gridCol w:w="1404"/>
        <w:gridCol w:w="1404"/>
        <w:gridCol w:w="1612"/>
        <w:gridCol w:w="884"/>
        <w:gridCol w:w="988"/>
        <w:gridCol w:w="765"/>
      </w:tblGrid>
      <w:tr>
        <w:trPr>
          <w:tblHeader w:val="true"/>
        </w:trPr>
        <w:tc>
          <w:tcPr>
            <w:tcW w:w="1255" w:type="dxa"/>
          </w:tcPr>
          <w:p>
            <w:pPr>
              <w:spacing w:before="0" w:after="0" w:line="240" w:lineRule="auto"/>
              <w:jc w:val="left"/>
            </w:pPr>
            <w:r>
              <w:rPr>
                <w:sz w:val="20"/>
                <w:szCs w:val="20"/>
              </w:rPr>
              <w:t xml:space="preserve">Frequency</w:t>
            </w:r>
          </w:p>
        </w:tc>
        <w:tc>
          <w:tcPr>
            <w:tcW w:w="1047" w:type="dxa"/>
          </w:tcPr>
          <w:p>
            <w:pPr>
              <w:spacing w:before="0" w:after="0" w:line="240" w:lineRule="auto"/>
              <w:jc w:val="left"/>
            </w:pPr>
            <w:r>
              <w:rPr>
                <w:sz w:val="20"/>
                <w:szCs w:val="20"/>
              </w:rPr>
              <w:t xml:space="preserve">Pair</w:t>
            </w:r>
          </w:p>
        </w:tc>
        <w:tc>
          <w:tcPr>
            <w:tcW w:w="1404" w:type="dxa"/>
          </w:tcPr>
          <w:p>
            <w:pPr>
              <w:spacing w:before="0" w:after="0" w:line="240" w:lineRule="auto"/>
              <w:jc w:val="left"/>
            </w:pPr>
            <w:r>
              <w:rPr>
                <w:sz w:val="20"/>
                <w:szCs w:val="20"/>
              </w:rPr>
              <w:t xml:space="preserve">Slope [95% CI]</w:t>
            </w:r>
          </w:p>
        </w:tc>
        <w:tc>
          <w:tcPr>
            <w:tcW w:w="1404" w:type="dxa"/>
          </w:tcPr>
          <w:p>
            <w:pPr>
              <w:spacing w:before="0" w:after="0" w:line="240" w:lineRule="auto"/>
              <w:jc w:val="left"/>
            </w:pPr>
            <w:r>
              <w:rPr>
                <w:sz w:val="20"/>
                <w:szCs w:val="20"/>
              </w:rPr>
              <w:t xml:space="preserve">p (bootstrap)</w:t>
            </w:r>
          </w:p>
        </w:tc>
        <w:tc>
          <w:tcPr>
            <w:tcW w:w="1612" w:type="dxa"/>
          </w:tcPr>
          <w:p>
            <w:pPr>
              <w:spacing w:before="0" w:after="0" w:line="240" w:lineRule="auto"/>
              <w:jc w:val="left"/>
            </w:pPr>
            <w:r>
              <w:rPr>
                <w:sz w:val="20"/>
                <w:szCs w:val="20"/>
              </w:rPr>
              <w:t xml:space="preserve">p (studentized)</w:t>
            </w:r>
          </w:p>
        </w:tc>
        <w:tc>
          <w:tcPr>
            <w:tcW w:w="884" w:type="dxa"/>
          </w:tcPr>
          <w:p>
            <w:pPr>
              <w:spacing w:before="0" w:after="0" w:line="240" w:lineRule="auto"/>
              <w:jc w:val="left"/>
            </w:pPr>
            <w:r>
              <w:rPr>
                <w:sz w:val="20"/>
                <w:szCs w:val="20"/>
              </w:rPr>
              <w:t xml:space="preserve">Holm, 19 tests</w:t>
            </w:r>
          </w:p>
        </w:tc>
        <w:tc>
          <w:tcPr>
            <w:tcW w:w="988" w:type="dxa"/>
          </w:tcPr>
          <w:p>
            <w:pPr>
              <w:spacing w:before="0" w:after="0" w:line="240" w:lineRule="auto"/>
              <w:jc w:val="left"/>
            </w:pPr>
            <w:r>
              <w:rPr>
                <w:sz w:val="20"/>
                <w:szCs w:val="20"/>
              </w:rPr>
              <w:t xml:space="preserve">Holm, H</w:t>
            </w:r>
            <w:r>
              <w:rPr>
                <w:vertAlign w:val="subscript"/>
                <w:sz w:val="20"/>
                <w:szCs w:val="20"/>
              </w:rPr>
              <w:t xml:space="preserve">2</w:t>
            </w:r>
            <w:r>
              <w:rPr>
                <w:sz w:val="20"/>
                <w:szCs w:val="20"/>
              </w:rPr>
              <w:t xml:space="preserve"> </w:t>
            </w:r>
            <w:r>
              <w:rPr>
                <w:sz w:val="20"/>
                <w:szCs w:val="20"/>
              </w:rPr>
              <w:t xml:space="preserve">family</w:t>
            </w:r>
          </w:p>
        </w:tc>
        <w:tc>
          <w:tcPr>
            <w:tcW w:w="765" w:type="dxa"/>
          </w:tcPr>
          <w:p>
            <w:pPr>
              <w:spacing w:before="0" w:after="0" w:line="240" w:lineRule="auto"/>
              <w:jc w:val="left"/>
            </w:pPr>
            <w:r>
              <w:rPr>
                <w:sz w:val="20"/>
                <w:szCs w:val="20"/>
              </w:rPr>
              <w:t xml:space="preserve">TOST p</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0.0010 [−0.0031, 0.0043]</w:t>
            </w:r>
          </w:p>
        </w:tc>
        <w:tc>
          <w:tcPr>
            <w:tcW w:w="1404" w:type="dxa"/>
          </w:tcPr>
          <w:p>
            <w:pPr>
              <w:spacing w:before="0" w:after="0" w:line="240" w:lineRule="auto"/>
              <w:jc w:val="left"/>
            </w:pPr>
            <w:r>
              <w:rPr>
                <w:sz w:val="20"/>
                <w:szCs w:val="20"/>
              </w:rPr>
              <w:t xml:space="preserve">0.700</w:t>
            </w:r>
          </w:p>
        </w:tc>
        <w:tc>
          <w:tcPr>
            <w:tcW w:w="1612" w:type="dxa"/>
          </w:tcPr>
          <w:p>
            <w:pPr>
              <w:spacing w:before="0" w:after="0" w:line="240" w:lineRule="auto"/>
              <w:jc w:val="left"/>
            </w:pPr>
            <w:r>
              <w:rPr>
                <w:sz w:val="20"/>
                <w:szCs w:val="20"/>
              </w:rPr>
              <w:t xml:space="preserve">0.602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0.0008 [−0.0021, 0.0027]</w:t>
            </w:r>
          </w:p>
        </w:tc>
        <w:tc>
          <w:tcPr>
            <w:tcW w:w="1404" w:type="dxa"/>
          </w:tcPr>
          <w:p>
            <w:pPr>
              <w:spacing w:before="0" w:after="0" w:line="240" w:lineRule="auto"/>
              <w:jc w:val="left"/>
            </w:pPr>
            <w:r>
              <w:rPr>
                <w:sz w:val="20"/>
                <w:szCs w:val="20"/>
              </w:rPr>
              <w:t xml:space="preserve">0.736</w:t>
            </w:r>
          </w:p>
        </w:tc>
        <w:tc>
          <w:tcPr>
            <w:tcW w:w="1612" w:type="dxa"/>
          </w:tcPr>
          <w:p>
            <w:pPr>
              <w:spacing w:before="0" w:after="0" w:line="240" w:lineRule="auto"/>
              <w:jc w:val="left"/>
            </w:pPr>
            <w:r>
              <w:rPr>
                <w:sz w:val="20"/>
                <w:szCs w:val="20"/>
              </w:rPr>
              <w:t xml:space="preserve">0.530</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−0.0008 [−0.0023, 0.0008]</w:t>
            </w:r>
          </w:p>
        </w:tc>
        <w:tc>
          <w:tcPr>
            <w:tcW w:w="1404" w:type="dxa"/>
          </w:tcPr>
          <w:p>
            <w:pPr>
              <w:spacing w:before="0" w:after="0" w:line="240" w:lineRule="auto"/>
              <w:jc w:val="left"/>
            </w:pPr>
            <w:r>
              <w:rPr>
                <w:sz w:val="20"/>
                <w:szCs w:val="20"/>
              </w:rPr>
              <w:t xml:space="preserve">0.348</w:t>
            </w:r>
          </w:p>
        </w:tc>
        <w:tc>
          <w:tcPr>
            <w:tcW w:w="1612" w:type="dxa"/>
          </w:tcPr>
          <w:p>
            <w:pPr>
              <w:spacing w:before="0" w:after="0" w:line="240" w:lineRule="auto"/>
              <w:jc w:val="left"/>
            </w:pPr>
            <w:r>
              <w:rPr>
                <w:sz w:val="20"/>
                <w:szCs w:val="20"/>
              </w:rPr>
              <w:t xml:space="preserve">0.319</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0.385</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−0.0040 [−0.0157, 0.0085]</w:t>
            </w:r>
          </w:p>
        </w:tc>
        <w:tc>
          <w:tcPr>
            <w:tcW w:w="1404" w:type="dxa"/>
          </w:tcPr>
          <w:p>
            <w:pPr>
              <w:spacing w:before="0" w:after="0" w:line="240" w:lineRule="auto"/>
              <w:jc w:val="left"/>
            </w:pPr>
            <w:r>
              <w:rPr>
                <w:sz w:val="20"/>
                <w:szCs w:val="20"/>
              </w:rPr>
              <w:t xml:space="preserve">0.576</w:t>
            </w:r>
          </w:p>
        </w:tc>
        <w:tc>
          <w:tcPr>
            <w:tcW w:w="1612" w:type="dxa"/>
          </w:tcPr>
          <w:p>
            <w:pPr>
              <w:spacing w:before="0" w:after="0" w:line="240" w:lineRule="auto"/>
              <w:jc w:val="left"/>
            </w:pPr>
            <w:r>
              <w:rPr>
                <w:sz w:val="20"/>
                <w:szCs w:val="20"/>
              </w:rPr>
              <w:t xml:space="preserve">0.512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0.0022 [0.0007, 0.0038]</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0.009</w:t>
            </w:r>
          </w:p>
        </w:tc>
        <w:tc>
          <w:tcPr>
            <w:tcW w:w="884" w:type="dxa"/>
          </w:tcPr>
          <w:p>
            <w:pPr>
              <w:spacing w:before="0" w:after="0" w:line="240" w:lineRule="auto"/>
              <w:jc w:val="left"/>
            </w:pPr>
            <w:r>
              <w:rPr>
                <w:sz w:val="20"/>
                <w:szCs w:val="20"/>
              </w:rPr>
              <w:t xml:space="preserve">0.144</w:t>
            </w:r>
          </w:p>
        </w:tc>
        <w:tc>
          <w:tcPr>
            <w:tcW w:w="988" w:type="dxa"/>
          </w:tcPr>
          <w:p>
            <w:pPr>
              <w:spacing w:before="0" w:after="0" w:line="240" w:lineRule="auto"/>
              <w:jc w:val="left"/>
            </w:pPr>
            <w:r>
              <w:rPr>
                <w:sz w:val="20"/>
                <w:szCs w:val="20"/>
              </w:rPr>
              <w:t xml:space="preserve">0.045</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0.0022 [0.0011, 0.0032]</w:t>
            </w:r>
          </w:p>
        </w:tc>
        <w:tc>
          <w:tcPr>
            <w:tcW w:w="1404" w:type="dxa"/>
          </w:tcPr>
          <w:p>
            <w:pPr>
              <w:spacing w:before="0" w:after="0" w:line="240" w:lineRule="auto"/>
              <w:jc w:val="left"/>
            </w:pPr>
            <w:r>
              <w:rPr>
                <w:sz w:val="20"/>
                <w:szCs w:val="20"/>
              </w:rPr>
              <w:t xml:space="preserve">&lt; 0.005</w:t>
            </w:r>
          </w:p>
        </w:tc>
        <w:tc>
          <w:tcPr>
            <w:tcW w:w="1612" w:type="dxa"/>
          </w:tcPr>
          <w:p>
            <w:pPr>
              <w:spacing w:before="0" w:after="0" w:line="240" w:lineRule="auto"/>
              <w:jc w:val="left"/>
            </w:pPr>
            <w:r>
              <w:rPr>
                <w:sz w:val="20"/>
                <w:szCs w:val="20"/>
              </w:rPr>
              <w:t xml:space="preserve">&lt; 0.001</w:t>
            </w:r>
          </w:p>
        </w:tc>
        <w:tc>
          <w:tcPr>
            <w:tcW w:w="884" w:type="dxa"/>
          </w:tcPr>
          <w:p>
            <w:pPr>
              <w:spacing w:before="0" w:after="0" w:line="240" w:lineRule="auto"/>
              <w:jc w:val="left"/>
            </w:pPr>
            <w:r>
              <w:rPr>
                <w:sz w:val="20"/>
                <w:szCs w:val="20"/>
              </w:rPr>
              <w:t xml:space="preserve">0.002</w:t>
            </w:r>
          </w:p>
        </w:tc>
        <w:tc>
          <w:tcPr>
            <w:tcW w:w="988" w:type="dxa"/>
          </w:tcPr>
          <w:p>
            <w:pPr>
              <w:spacing w:before="0" w:after="0" w:line="240" w:lineRule="auto"/>
              <w:jc w:val="left"/>
            </w:pPr>
            <w:r>
              <w:rPr>
                <w:sz w:val="20"/>
                <w:szCs w:val="20"/>
              </w:rPr>
              <w:t xml:space="preserve">&lt; 0.001</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0.0007]</w:t>
            </w:r>
          </w:p>
        </w:tc>
        <w:tc>
          <w:tcPr>
            <w:tcW w:w="1404" w:type="dxa"/>
          </w:tcPr>
          <w:p>
            <w:pPr>
              <w:spacing w:before="0" w:after="0" w:line="240" w:lineRule="auto"/>
              <w:jc w:val="left"/>
            </w:pPr>
            <w:r>
              <w:rPr>
                <w:sz w:val="20"/>
                <w:szCs w:val="20"/>
              </w:rPr>
              <w:t xml:space="preserve">0.980</w:t>
            </w:r>
          </w:p>
        </w:tc>
        <w:tc>
          <w:tcPr>
            <w:tcW w:w="1612" w:type="dxa"/>
          </w:tcPr>
          <w:p>
            <w:pPr>
              <w:spacing w:before="0" w:after="0" w:line="240" w:lineRule="auto"/>
              <w:jc w:val="left"/>
            </w:pPr>
            <w:r>
              <w:rPr>
                <w:sz w:val="20"/>
                <w:szCs w:val="20"/>
              </w:rPr>
              <w:t xml:space="preserve">0.863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0.007</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0.0017 [−0.0045, 0.0078]</w:t>
            </w:r>
          </w:p>
        </w:tc>
        <w:tc>
          <w:tcPr>
            <w:tcW w:w="1404" w:type="dxa"/>
          </w:tcPr>
          <w:p>
            <w:pPr>
              <w:spacing w:before="0" w:after="0" w:line="240" w:lineRule="auto"/>
              <w:jc w:val="left"/>
            </w:pPr>
            <w:r>
              <w:rPr>
                <w:sz w:val="20"/>
                <w:szCs w:val="20"/>
              </w:rPr>
              <w:t xml:space="preserve">0.520</w:t>
            </w:r>
          </w:p>
        </w:tc>
        <w:tc>
          <w:tcPr>
            <w:tcW w:w="1612" w:type="dxa"/>
          </w:tcPr>
          <w:p>
            <w:pPr>
              <w:spacing w:before="0" w:after="0" w:line="240" w:lineRule="auto"/>
              <w:jc w:val="left"/>
            </w:pPr>
            <w:r>
              <w:rPr>
                <w:sz w:val="20"/>
                <w:szCs w:val="20"/>
              </w:rPr>
              <w:t xml:space="preserve">0.603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0.0024 [0.0006, 0.0041]</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0.0019 [0.0007, 0.0032]</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0.0009]</w:t>
            </w:r>
          </w:p>
        </w:tc>
        <w:tc>
          <w:tcPr>
            <w:tcW w:w="1404" w:type="dxa"/>
          </w:tcPr>
          <w:p>
            <w:pPr>
              <w:spacing w:before="0" w:after="0" w:line="240" w:lineRule="auto"/>
              <w:jc w:val="left"/>
            </w:pPr>
            <w:r>
              <w:rPr>
                <w:sz w:val="20"/>
                <w:szCs w:val="20"/>
              </w:rPr>
              <w:t xml:space="preserve">0.652</w:t>
            </w:r>
          </w:p>
        </w:tc>
        <w:tc>
          <w:tcPr>
            <w:tcW w:w="1612" w:type="dxa"/>
          </w:tcPr>
          <w:p>
            <w:pPr>
              <w:spacing w:before="0" w:after="0" w:line="240" w:lineRule="auto"/>
              <w:jc w:val="left"/>
            </w:pPr>
            <w:r>
              <w:rPr>
                <w:sz w:val="20"/>
                <w:szCs w:val="20"/>
              </w:rPr>
              <w:t xml:space="preserve">0.884</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0.012</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[−0.0035, 0.0089]</w:t>
            </w:r>
          </w:p>
        </w:tc>
        <w:tc>
          <w:tcPr>
            <w:tcW w:w="1404" w:type="dxa"/>
          </w:tcPr>
          <w:p>
            <w:pPr>
              <w:spacing w:before="0" w:after="0" w:line="240" w:lineRule="auto"/>
              <w:jc w:val="left"/>
            </w:pPr>
            <w:r>
              <w:rPr>
                <w:sz w:val="20"/>
                <w:szCs w:val="20"/>
              </w:rPr>
              <w:t xml:space="preserve">0.392</w:t>
            </w:r>
          </w:p>
        </w:tc>
        <w:tc>
          <w:tcPr>
            <w:tcW w:w="1612" w:type="dxa"/>
          </w:tcPr>
          <w:p>
            <w:pPr>
              <w:spacing w:before="0" w:after="0" w:line="240" w:lineRule="auto"/>
              <w:jc w:val="left"/>
            </w:pPr>
            <w:r>
              <w:rPr>
                <w:sz w:val="20"/>
                <w:szCs w:val="20"/>
              </w:rPr>
              <w:t xml:space="preserve">0.552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0.0003 [−0.0026, 0.0029]</w:t>
            </w:r>
          </w:p>
        </w:tc>
        <w:tc>
          <w:tcPr>
            <w:tcW w:w="1404" w:type="dxa"/>
          </w:tcPr>
          <w:p>
            <w:pPr>
              <w:spacing w:before="0" w:after="0" w:line="240" w:lineRule="auto"/>
              <w:jc w:val="left"/>
            </w:pPr>
            <w:r>
              <w:rPr>
                <w:sz w:val="20"/>
                <w:szCs w:val="20"/>
              </w:rPr>
              <w:t xml:space="preserve">0.852</w:t>
            </w:r>
          </w:p>
        </w:tc>
        <w:tc>
          <w:tcPr>
            <w:tcW w:w="1612" w:type="dxa"/>
          </w:tcPr>
          <w:p>
            <w:pPr>
              <w:spacing w:before="0" w:after="0" w:line="240" w:lineRule="auto"/>
              <w:jc w:val="left"/>
            </w:pPr>
            <w:r>
              <w:rPr>
                <w:sz w:val="20"/>
                <w:szCs w:val="20"/>
              </w:rPr>
              <w:t xml:space="preserve">0.807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0.0002 [−0.0018, 0.0021]</w:t>
            </w:r>
          </w:p>
        </w:tc>
        <w:tc>
          <w:tcPr>
            <w:tcW w:w="1404" w:type="dxa"/>
          </w:tcPr>
          <w:p>
            <w:pPr>
              <w:spacing w:before="0" w:after="0" w:line="240" w:lineRule="auto"/>
              <w:jc w:val="left"/>
            </w:pPr>
            <w:r>
              <w:rPr>
                <w:sz w:val="20"/>
                <w:szCs w:val="20"/>
              </w:rPr>
              <w:t xml:space="preserve">0.800</w:t>
            </w:r>
          </w:p>
        </w:tc>
        <w:tc>
          <w:tcPr>
            <w:tcW w:w="1612" w:type="dxa"/>
          </w:tcPr>
          <w:p>
            <w:pPr>
              <w:spacing w:before="0" w:after="0" w:line="240" w:lineRule="auto"/>
              <w:jc w:val="left"/>
            </w:pPr>
            <w:r>
              <w:rPr>
                <w:sz w:val="20"/>
                <w:szCs w:val="20"/>
              </w:rPr>
              <w:t xml:space="preserve">0.856</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−0.0004 [−0.0018, 0.0007]</w:t>
            </w:r>
          </w:p>
        </w:tc>
        <w:tc>
          <w:tcPr>
            <w:tcW w:w="1404" w:type="dxa"/>
          </w:tcPr>
          <w:p>
            <w:pPr>
              <w:spacing w:before="0" w:after="0" w:line="240" w:lineRule="auto"/>
              <w:jc w:val="left"/>
            </w:pPr>
            <w:r>
              <w:rPr>
                <w:sz w:val="20"/>
                <w:szCs w:val="20"/>
              </w:rPr>
              <w:t xml:space="preserve">0.628</w:t>
            </w:r>
          </w:p>
        </w:tc>
        <w:tc>
          <w:tcPr>
            <w:tcW w:w="1612" w:type="dxa"/>
          </w:tcPr>
          <w:p>
            <w:pPr>
              <w:spacing w:before="0" w:after="0" w:line="240" w:lineRule="auto"/>
              <w:jc w:val="left"/>
            </w:pPr>
            <w:r>
              <w:rPr>
                <w:sz w:val="20"/>
                <w:szCs w:val="20"/>
              </w:rPr>
              <w:t xml:space="preserve">0.541</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0.142</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[−0.0124, 0.0067]</w:t>
            </w:r>
          </w:p>
        </w:tc>
        <w:tc>
          <w:tcPr>
            <w:tcW w:w="1404" w:type="dxa"/>
          </w:tcPr>
          <w:p>
            <w:pPr>
              <w:spacing w:before="0" w:after="0" w:line="240" w:lineRule="auto"/>
              <w:jc w:val="left"/>
            </w:pPr>
            <w:r>
              <w:rPr>
                <w:sz w:val="20"/>
                <w:szCs w:val="20"/>
              </w:rPr>
              <w:t xml:space="preserve">0.760</w:t>
            </w:r>
          </w:p>
        </w:tc>
        <w:tc>
          <w:tcPr>
            <w:tcW w:w="1612" w:type="dxa"/>
          </w:tcPr>
          <w:p>
            <w:pPr>
              <w:spacing w:before="0" w:after="0" w:line="240" w:lineRule="auto"/>
              <w:jc w:val="left"/>
            </w:pPr>
            <w:r>
              <w:rPr>
                <w:sz w:val="20"/>
                <w:szCs w:val="20"/>
              </w:rPr>
              <w:t xml:space="preserve">0.667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P</w:t>
      </w:r>
      <w:r>
        <w:rPr>
          <w:vertAlign w:val="subscript"/>
          <w:sz w:val="20"/>
          <w:szCs w:val="20"/>
        </w:rPr>
        <w:t xml:space="preserve">cap</w:t>
      </w:r>
      <w:r>
        <w:rPr>
          <w:sz w:val="20"/>
          <w:szCs w:val="20"/>
        </w:rPr>
        <w:t xml:space="preserve">: overlap-purged mid-cap series. Holm, 19 tests: studentized p adjusted over the original 19 tests, which include three statistical proxies at M30 (Table S8); H</w:t>
      </w:r>
      <w:r>
        <w:rPr>
          <w:vertAlign w:val="subscript"/>
          <w:sz w:val="20"/>
          <w:szCs w:val="20"/>
        </w:rPr>
        <w:t xml:space="preserve">2</w:t>
      </w:r>
      <w:r>
        <w:rPr>
          <w:sz w:val="20"/>
          <w:szCs w:val="20"/>
        </w:rPr>
        <w:t xml:space="preserve"> </w:t>
      </w:r>
      <w:r>
        <w:rPr>
          <w:sz w:val="20"/>
          <w:szCs w:val="20"/>
        </w:rPr>
        <w:t xml:space="preserve">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M30 and H1. In the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family, four slopes survive the Holm adjustment, with estimates of 0.0019–0.0024, a rise of approximately 0.01 across the reliable range. None is significant at 1D or H4; with the significant positive slopes at both frequencies that the rule requires,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on the full data. Over the original 19 tests, Holm keeps one studentized slope and Benjamini–Hochberg four, and with percentile p-values, none survives (smallest Benjamini–Hochberg-adjusted p = 0.057). The VN30–VN100 slope is equivalent to zero at M30 and H1 (TOST p = 0.007, 0.012), and the test is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not significant at any frequency.</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(the sensitivity) is 0.106–0.112, at M30 and H1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intraday results. The opening bar, where intraday volatility peaks (Andersen and Bollerslev 1997), accounts for 10% of M30 bars but carries 37% of squared VN30 returns.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The three-pair gap does not change (0.107 [0.094, 0.127] at M30 without the opening bar), and the slope intervals are stable across block lengths (Table S15). Horizon dependence is thus a property of the bars containing the overnight return and the call auctions, not of continuous trading.</w:t>
      </w:r>
    </w:p>
    <w:p>
      <w:pPr>
        <w:pStyle w:val="heading20"/>
        <w:numPr>
          <w:ilvl w:val="0"/>
          <w:numId w:val="0"/>
        </w:numPr>
      </w:pPr>
      <w:r>
        <w:rPr>
          <w:rFonts w:ascii="Times New Roman" w:hAnsi="Times New Roman" w:cs="Times New Roman" w:eastAsia="Times New Roman"/>
          <w:b/>
          <w:sz w:val="24"/>
          <w:szCs w:val="24"/>
        </w:rPr>
        <w:t xml:space="preserve">5.5 Crisis dependence (H</w:t>
      </w:r>
      <w:r>
        <w:rPr>
          <w:rFonts w:ascii="Times New Roman" w:hAnsi="Times New Roman" w:cs="Times New Roman" w:eastAsia="Times New Roman"/>
          <w:b/>
          <w:vertAlign w:val="subscript"/>
          <w:sz w:val="24"/>
          <w:szCs w:val="24"/>
        </w:rPr>
        <w:t xml:space="preserve">3</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7 presents the results of the Forbes–Rigobon and factor-model tests.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1745"/>
        <w:gridCol w:w="750"/>
        <w:gridCol w:w="750"/>
        <w:gridCol w:w="1225"/>
        <w:gridCol w:w="761"/>
        <w:gridCol w:w="750"/>
        <w:gridCol w:w="854"/>
        <w:gridCol w:w="1203"/>
        <w:gridCol w:w="1322"/>
      </w:tblGrid>
      <w:tr>
        <w:trPr>
          <w:tblHeader w:val="true"/>
        </w:trPr>
        <w:tc>
          <w:tcPr>
            <w:tcW w:w="1745" w:type="dxa"/>
          </w:tcPr>
          <w:p>
            <w:pPr>
              <w:spacing w:before="0" w:after="0" w:line="240" w:lineRule="auto"/>
              <w:jc w:val="left"/>
            </w:pPr>
            <w:r>
              <w:rPr>
                <w:sz w:val="20"/>
                <w:szCs w:val="20"/>
              </w:rPr>
              <w:t xml:space="preserve">Regime definition</w:t>
            </w:r>
          </w:p>
        </w:tc>
        <w:tc>
          <w:tcPr>
            <w:tcW w:w="750" w:type="dxa"/>
          </w:tcPr>
          <w:p>
            <w:pPr>
              <w:spacing w:before="0" w:after="0" w:line="240" w:lineRule="auto"/>
              <w:jc w:val="left"/>
            </w:pPr>
            <w:r>
              <w:rPr>
                <w:sz w:val="20"/>
                <w:szCs w:val="20"/>
              </w:rPr>
              <w:t xml:space="preserve">ρ</w:t>
            </w:r>
            <w:r>
              <w:rPr>
                <w:vertAlign w:val="subscript"/>
                <w:sz w:val="20"/>
                <w:szCs w:val="20"/>
              </w:rPr>
              <w:t xml:space="preserve">low</w:t>
            </w:r>
          </w:p>
        </w:tc>
        <w:tc>
          <w:tcPr>
            <w:tcW w:w="750" w:type="dxa"/>
          </w:tcPr>
          <w:p>
            <w:pPr>
              <w:spacing w:before="0" w:after="0" w:line="240" w:lineRule="auto"/>
              <w:jc w:val="left"/>
            </w:pPr>
            <w:r>
              <w:rPr>
                <w:sz w:val="20"/>
                <w:szCs w:val="20"/>
              </w:rPr>
              <w:t xml:space="preserve">ρ</w:t>
            </w:r>
            <w:r>
              <w:rPr>
                <w:vertAlign w:val="subscript"/>
                <w:sz w:val="20"/>
                <w:szCs w:val="20"/>
              </w:rPr>
              <w:t xml:space="preserve">high</w:t>
            </w:r>
          </w:p>
        </w:tc>
        <w:tc>
          <w:tcPr>
            <w:tcW w:w="1225" w:type="dxa"/>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tcW w:w="761" w:type="dxa"/>
          </w:tcPr>
          <w:p>
            <w:pPr>
              <w:spacing w:before="0" w:after="0" w:line="240" w:lineRule="auto"/>
              <w:jc w:val="left"/>
            </w:pPr>
            <w:r>
              <w:rPr>
                <w:sz w:val="20"/>
                <w:szCs w:val="20"/>
              </w:rPr>
              <w:t xml:space="preserve">p (FR)</w:t>
            </w:r>
          </w:p>
        </w:tc>
        <w:tc>
          <w:tcPr>
            <w:tcW w:w="750" w:type="dxa"/>
          </w:tcPr>
          <w:p>
            <w:pPr>
              <w:spacing w:before="0" w:after="0" w:line="240" w:lineRule="auto"/>
              <w:jc w:val="left"/>
            </w:pPr>
            <w:r>
              <w:rPr>
                <w:sz w:val="20"/>
                <w:szCs w:val="20"/>
              </w:rPr>
              <w:t xml:space="preserve">β_low</w:t>
            </w:r>
          </w:p>
        </w:tc>
        <w:tc>
          <w:tcPr>
            <w:tcW w:w="854" w:type="dxa"/>
          </w:tcPr>
          <w:p>
            <w:pPr>
              <w:spacing w:before="0" w:after="0" w:line="240" w:lineRule="auto"/>
              <w:jc w:val="left"/>
            </w:pPr>
            <w:r>
              <w:rPr>
                <w:sz w:val="20"/>
                <w:szCs w:val="20"/>
              </w:rPr>
              <w:t xml:space="preserve">β_high</w:t>
            </w:r>
          </w:p>
        </w:tc>
        <w:tc>
          <w:tcPr>
            <w:tcW w:w="1203" w:type="dxa"/>
          </w:tcPr>
          <w:p>
            <w:pPr>
              <w:spacing w:before="0" w:after="0" w:line="240" w:lineRule="auto"/>
              <w:jc w:val="left"/>
            </w:pPr>
            <w:r>
              <w:rPr>
                <w:sz w:val="20"/>
                <w:szCs w:val="20"/>
              </w:rPr>
              <w:t xml:space="preserve">Δβ [95% CI]</w:t>
            </w:r>
          </w:p>
        </w:tc>
        <w:tc>
          <w:tcPr>
            <w:tcW w:w="1322" w:type="dxa"/>
          </w:tcPr>
          <w:p>
            <w:pPr>
              <w:spacing w:before="0" w:after="0" w:line="240" w:lineRule="auto"/>
              <w:jc w:val="left"/>
            </w:pPr>
            <w:r>
              <w:rPr>
                <w:sz w:val="20"/>
                <w:szCs w:val="20"/>
              </w:rPr>
              <w:t xml:space="preserve">Residual variance ratio [95% CI]</w:t>
            </w:r>
          </w:p>
        </w:tc>
      </w:tr>
      <w:tr>
        <w:tc>
          <w:tcPr>
            <w:tcW w:w="1745" w:type="dxa"/>
          </w:tcPr>
          <w:p>
            <w:pPr>
              <w:spacing w:before="0" w:after="0" w:line="240" w:lineRule="auto"/>
              <w:jc w:val="left"/>
            </w:pPr>
            <w:r>
              <w:rPr>
                <w:sz w:val="20"/>
                <w:szCs w:val="20"/>
              </w:rPr>
              <w:t xml:space="preserve">Chronological episodes</w:t>
            </w:r>
          </w:p>
        </w:tc>
        <w:tc>
          <w:tcPr>
            <w:tcW w:w="750" w:type="dxa"/>
          </w:tcPr>
          <w:p>
            <w:pPr>
              <w:spacing w:before="0" w:after="0" w:line="240" w:lineRule="auto"/>
              <w:jc w:val="left"/>
            </w:pPr>
            <w:r>
              <w:rPr>
                <w:sz w:val="20"/>
                <w:szCs w:val="20"/>
              </w:rPr>
              <w:t xml:space="preserve">0.847</w:t>
            </w:r>
          </w:p>
        </w:tc>
        <w:tc>
          <w:tcPr>
            <w:tcW w:w="750" w:type="dxa"/>
          </w:tcPr>
          <w:p>
            <w:pPr>
              <w:spacing w:before="0" w:after="0" w:line="240" w:lineRule="auto"/>
              <w:jc w:val="left"/>
            </w:pPr>
            <w:r>
              <w:rPr>
                <w:sz w:val="20"/>
                <w:szCs w:val="20"/>
              </w:rPr>
              <w:t xml:space="preserve">0.924</w:t>
            </w:r>
          </w:p>
        </w:tc>
        <w:tc>
          <w:tcPr>
            <w:tcW w:w="1225" w:type="dxa"/>
          </w:tcPr>
          <w:p>
            <w:pPr>
              <w:spacing w:before="0" w:after="0" w:line="240" w:lineRule="auto"/>
              <w:jc w:val="left"/>
            </w:pPr>
            <w:r>
              <w:rPr>
                <w:sz w:val="20"/>
                <w:szCs w:val="20"/>
              </w:rPr>
              <w:t xml:space="preserve">−0.044 [−0.082, 0.001]</w:t>
            </w:r>
          </w:p>
        </w:tc>
        <w:tc>
          <w:tcPr>
            <w:tcW w:w="761" w:type="dxa"/>
          </w:tcPr>
          <w:p>
            <w:pPr>
              <w:spacing w:before="0" w:after="0" w:line="240" w:lineRule="auto"/>
              <w:jc w:val="left"/>
            </w:pPr>
            <w:r>
              <w:rPr>
                <w:sz w:val="20"/>
                <w:szCs w:val="20"/>
              </w:rPr>
              <w:t xml:space="preserve">0.985</w:t>
            </w:r>
          </w:p>
        </w:tc>
        <w:tc>
          <w:tcPr>
            <w:tcW w:w="750" w:type="dxa"/>
          </w:tcPr>
          <w:p>
            <w:pPr>
              <w:spacing w:before="0" w:after="0" w:line="240" w:lineRule="auto"/>
              <w:jc w:val="left"/>
            </w:pPr>
            <w:r>
              <w:rPr>
                <w:sz w:val="20"/>
                <w:szCs w:val="20"/>
              </w:rPr>
              <w:t xml:space="preserve">0.919</w:t>
            </w:r>
          </w:p>
        </w:tc>
        <w:tc>
          <w:tcPr>
            <w:tcW w:w="854" w:type="dxa"/>
          </w:tcPr>
          <w:p>
            <w:pPr>
              <w:spacing w:before="0" w:after="0" w:line="240" w:lineRule="auto"/>
              <w:jc w:val="left"/>
            </w:pPr>
            <w:r>
              <w:rPr>
                <w:sz w:val="20"/>
                <w:szCs w:val="20"/>
              </w:rPr>
              <w:t xml:space="preserve">0.927</w:t>
            </w:r>
          </w:p>
        </w:tc>
        <w:tc>
          <w:tcPr>
            <w:tcW w:w="1203" w:type="dxa"/>
          </w:tcPr>
          <w:p>
            <w:pPr>
              <w:spacing w:before="0" w:after="0" w:line="240" w:lineRule="auto"/>
              <w:jc w:val="left"/>
            </w:pPr>
            <w:r>
              <w:rPr>
                <w:sz w:val="20"/>
                <w:szCs w:val="20"/>
              </w:rPr>
              <w:t xml:space="preserve">0.008 [−0.128, 0.140]</w:t>
            </w:r>
          </w:p>
        </w:tc>
        <w:tc>
          <w:tcPr>
            <w:tcW w:w="1322" w:type="dxa"/>
          </w:tcPr>
          <w:p>
            <w:pPr>
              <w:spacing w:before="0" w:after="0" w:line="240" w:lineRule="auto"/>
              <w:jc w:val="left"/>
            </w:pPr>
            <w:r>
              <w:rPr>
                <w:sz w:val="20"/>
                <w:szCs w:val="20"/>
              </w:rPr>
              <w:t xml:space="preserve">1.42 [0.91, 2.15]</w:t>
            </w:r>
          </w:p>
        </w:tc>
      </w:tr>
      <w:tr>
        <w:tc>
          <w:tcPr>
            <w:tcW w:w="1745" w:type="dxa"/>
          </w:tcPr>
          <w:p>
            <w:pPr>
              <w:spacing w:before="0" w:after="0" w:line="240" w:lineRule="auto"/>
              <w:jc w:val="left"/>
            </w:pPr>
            <w:r>
              <w:rPr>
                <w:sz w:val="20"/>
                <w:szCs w:val="20"/>
              </w:rPr>
              <w:t xml:space="preserve">VNINDEX volatility quartiles</w:t>
            </w:r>
          </w:p>
        </w:tc>
        <w:tc>
          <w:tcPr>
            <w:tcW w:w="750" w:type="dxa"/>
          </w:tcPr>
          <w:p>
            <w:pPr>
              <w:spacing w:before="0" w:after="0" w:line="240" w:lineRule="auto"/>
              <w:jc w:val="left"/>
            </w:pPr>
            <w:r>
              <w:rPr>
                <w:sz w:val="20"/>
                <w:szCs w:val="20"/>
              </w:rPr>
              <w:t xml:space="preserve">0.727</w:t>
            </w:r>
          </w:p>
        </w:tc>
        <w:tc>
          <w:tcPr>
            <w:tcW w:w="750" w:type="dxa"/>
          </w:tcPr>
          <w:p>
            <w:pPr>
              <w:spacing w:before="0" w:after="0" w:line="240" w:lineRule="auto"/>
              <w:jc w:val="left"/>
            </w:pPr>
            <w:r>
              <w:rPr>
                <w:sz w:val="20"/>
                <w:szCs w:val="20"/>
              </w:rPr>
              <w:t xml:space="preserve">0.928</w:t>
            </w:r>
          </w:p>
        </w:tc>
        <w:tc>
          <w:tcPr>
            <w:tcW w:w="1225" w:type="dxa"/>
          </w:tcPr>
          <w:p>
            <w:pPr>
              <w:spacing w:before="0" w:after="0" w:line="240" w:lineRule="auto"/>
              <w:jc w:val="left"/>
            </w:pPr>
            <w:r>
              <w:rPr>
                <w:sz w:val="20"/>
                <w:szCs w:val="20"/>
              </w:rPr>
              <w:t xml:space="preserve">−0.066 [−0.132, 0.008]</w:t>
            </w:r>
          </w:p>
        </w:tc>
        <w:tc>
          <w:tcPr>
            <w:tcW w:w="761" w:type="dxa"/>
          </w:tcPr>
          <w:p>
            <w:pPr>
              <w:spacing w:before="0" w:after="0" w:line="240" w:lineRule="auto"/>
              <w:jc w:val="left"/>
            </w:pPr>
            <w:r>
              <w:rPr>
                <w:sz w:val="20"/>
                <w:szCs w:val="20"/>
              </w:rPr>
              <w:t xml:space="preserve">0.974</w:t>
            </w:r>
          </w:p>
        </w:tc>
        <w:tc>
          <w:tcPr>
            <w:tcW w:w="750" w:type="dxa"/>
          </w:tcPr>
          <w:p>
            <w:pPr>
              <w:spacing w:before="0" w:after="0" w:line="240" w:lineRule="auto"/>
              <w:jc w:val="left"/>
            </w:pPr>
            <w:r>
              <w:rPr>
                <w:sz w:val="20"/>
                <w:szCs w:val="20"/>
              </w:rPr>
              <w:t xml:space="preserve">0.716</w:t>
            </w:r>
          </w:p>
        </w:tc>
        <w:tc>
          <w:tcPr>
            <w:tcW w:w="854" w:type="dxa"/>
          </w:tcPr>
          <w:p>
            <w:pPr>
              <w:spacing w:before="0" w:after="0" w:line="240" w:lineRule="auto"/>
              <w:jc w:val="left"/>
            </w:pPr>
            <w:r>
              <w:rPr>
                <w:sz w:val="20"/>
                <w:szCs w:val="20"/>
              </w:rPr>
              <w:t xml:space="preserve">0.956</w:t>
            </w:r>
          </w:p>
        </w:tc>
        <w:tc>
          <w:tcPr>
            <w:tcW w:w="1203" w:type="dxa"/>
          </w:tcPr>
          <w:p>
            <w:pPr>
              <w:spacing w:before="0" w:after="0" w:line="240" w:lineRule="auto"/>
              <w:jc w:val="left"/>
            </w:pPr>
            <w:r>
              <w:rPr>
                <w:sz w:val="20"/>
                <w:szCs w:val="20"/>
              </w:rPr>
              <w:t xml:space="preserve">0.240 [0.143, 0.332]</w:t>
            </w:r>
          </w:p>
        </w:tc>
        <w:tc>
          <w:tcPr>
            <w:tcW w:w="1322" w:type="dxa"/>
          </w:tcPr>
          <w:p>
            <w:pPr>
              <w:spacing w:before="0" w:after="0" w:line="240" w:lineRule="auto"/>
              <w:jc w:val="left"/>
            </w:pPr>
            <w:r>
              <w:rPr>
                <w:sz w:val="20"/>
                <w:szCs w:val="20"/>
              </w:rPr>
              <w:t xml:space="preserve">2.57 [1.75, 3.66]</w:t>
            </w:r>
          </w:p>
        </w:tc>
      </w:tr>
      <w:tr>
        <w:tc>
          <w:tcPr>
            <w:tcW w:w="1745" w:type="dxa"/>
          </w:tcPr>
          <w:p>
            <w:pPr>
              <w:spacing w:before="0" w:after="0" w:line="240" w:lineRule="auto"/>
              <w:jc w:val="left"/>
            </w:pPr>
            <w:r>
              <w:rPr>
                <w:sz w:val="20"/>
                <w:szCs w:val="20"/>
              </w:rPr>
              <w:t xml:space="preserve">VN30 volatility quartiles</w:t>
            </w:r>
          </w:p>
        </w:tc>
        <w:tc>
          <w:tcPr>
            <w:tcW w:w="750" w:type="dxa"/>
          </w:tcPr>
          <w:p>
            <w:pPr>
              <w:spacing w:before="0" w:after="0" w:line="240" w:lineRule="auto"/>
              <w:jc w:val="left"/>
            </w:pPr>
            <w:r>
              <w:rPr>
                <w:sz w:val="20"/>
                <w:szCs w:val="20"/>
              </w:rPr>
              <w:t xml:space="preserve">0.744</w:t>
            </w:r>
          </w:p>
        </w:tc>
        <w:tc>
          <w:tcPr>
            <w:tcW w:w="750" w:type="dxa"/>
          </w:tcPr>
          <w:p>
            <w:pPr>
              <w:spacing w:before="0" w:after="0" w:line="240" w:lineRule="auto"/>
              <w:jc w:val="left"/>
            </w:pPr>
            <w:r>
              <w:rPr>
                <w:sz w:val="20"/>
                <w:szCs w:val="20"/>
              </w:rPr>
              <w:t xml:space="preserve">0.932</w:t>
            </w:r>
          </w:p>
        </w:tc>
        <w:tc>
          <w:tcPr>
            <w:tcW w:w="1225" w:type="dxa"/>
          </w:tcPr>
          <w:p>
            <w:pPr>
              <w:spacing w:before="0" w:after="0" w:line="240" w:lineRule="auto"/>
              <w:jc w:val="left"/>
            </w:pPr>
            <w:r>
              <w:rPr>
                <w:sz w:val="20"/>
                <w:szCs w:val="20"/>
              </w:rPr>
              <w:t xml:space="preserve">−0.087 [−0.144, −0.018]</w:t>
            </w:r>
          </w:p>
        </w:tc>
        <w:tc>
          <w:tcPr>
            <w:tcW w:w="761" w:type="dxa"/>
          </w:tcPr>
          <w:p>
            <w:pPr>
              <w:spacing w:before="0" w:after="0" w:line="240" w:lineRule="auto"/>
              <w:jc w:val="left"/>
            </w:pPr>
            <w:r>
              <w:rPr>
                <w:sz w:val="20"/>
                <w:szCs w:val="20"/>
              </w:rPr>
              <w:t xml:space="preserve">0.998</w:t>
            </w:r>
          </w:p>
        </w:tc>
        <w:tc>
          <w:tcPr>
            <w:tcW w:w="750" w:type="dxa"/>
          </w:tcPr>
          <w:p>
            <w:pPr>
              <w:spacing w:before="0" w:after="0" w:line="240" w:lineRule="auto"/>
              <w:jc w:val="left"/>
            </w:pPr>
            <w:r>
              <w:rPr>
                <w:sz w:val="20"/>
                <w:szCs w:val="20"/>
              </w:rPr>
              <w:t xml:space="preserve">0.737</w:t>
            </w:r>
          </w:p>
        </w:tc>
        <w:tc>
          <w:tcPr>
            <w:tcW w:w="854" w:type="dxa"/>
          </w:tcPr>
          <w:p>
            <w:pPr>
              <w:spacing w:before="0" w:after="0" w:line="240" w:lineRule="auto"/>
              <w:jc w:val="left"/>
            </w:pPr>
            <w:r>
              <w:rPr>
                <w:sz w:val="20"/>
                <w:szCs w:val="20"/>
              </w:rPr>
              <w:t xml:space="preserve">0.948</w:t>
            </w:r>
          </w:p>
        </w:tc>
        <w:tc>
          <w:tcPr>
            <w:tcW w:w="1203" w:type="dxa"/>
          </w:tcPr>
          <w:p>
            <w:pPr>
              <w:spacing w:before="0" w:after="0" w:line="240" w:lineRule="auto"/>
              <w:jc w:val="left"/>
            </w:pPr>
            <w:r>
              <w:rPr>
                <w:sz w:val="20"/>
                <w:szCs w:val="20"/>
              </w:rPr>
              <w:t xml:space="preserve">0.210 [0.119, 0.306]</w:t>
            </w:r>
          </w:p>
        </w:tc>
        <w:tc>
          <w:tcPr>
            <w:tcW w:w="1322" w:type="dxa"/>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Forbes–Rigobon bootstrap p-value for H0: ρ* ≤ ρ</w:t>
      </w:r>
      <w:r>
        <w:rPr>
          <w:vertAlign w:val="subscript"/>
          <w:sz w:val="20"/>
          <w:szCs w:val="20"/>
        </w:rPr>
        <w:t xml:space="preserve">low</w:t>
      </w:r>
      <w:r>
        <w:rPr>
          <w:sz w:val="20"/>
          <w:szCs w:val="20"/>
        </w:rPr>
        <w:t xml:space="preserve">; β: ordinary least squares slope of P</w:t>
      </w:r>
      <w:r>
        <w:rPr>
          <w:vertAlign w:val="subscript"/>
          <w:sz w:val="20"/>
          <w:szCs w:val="20"/>
        </w:rPr>
        <w:t xml:space="preserve">cap</w:t>
      </w:r>
      <w:r>
        <w:rPr>
          <w:sz w:val="20"/>
          <w:szCs w:val="20"/>
        </w:rPr>
        <w:t xml:space="preserve"> </w:t>
      </w:r>
      <w:r>
        <w:rPr>
          <w:sz w:val="20"/>
          <w:szCs w:val="20"/>
        </w:rPr>
        <w:t xml:space="preserve">(overlap-purged mid-cap series) 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increases under every regime definition, from 0.847 to 0.924 chronologically and from 0.744 to 0.932 under VN30 quartiles. The adjusted crisis correlation never exceeds its calm level (one-sided p = 0.974–0.998, and above 0.93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this.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p &lt; 0.001) but not between chronological episodes (Δβ = 0.008, [−0.128, 0.140]). Neither result changes when 2021 is added as a crisis (789 days; Forbes–Rigobon p = 0.987; Δβ = −0.005, [−0.122, 0.124]). Under its decision rule, H</w:t>
      </w:r>
      <w:r>
        <w:rPr>
          <w:rFonts w:ascii="Times New Roman" w:hAnsi="Times New Roman" w:cs="Times New Roman" w:eastAsia="Times New Roman"/>
          <w:vertAlign w:val="subscript"/>
          <w:sz w:val="24"/>
          <w:szCs w:val="24"/>
        </w:rPr>
        <w:t xml:space="preserve">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on high-VN30-volatility days, mid caps respond more strongly to large caps and also carry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distinguish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w:t>
      </w:r>
      <w:r>
        <w:rPr>
          <w:rFonts w:ascii="Times New Roman" w:hAnsi="Times New Roman" w:cs="Times New Roman" w:eastAsia="Times New Roman"/>
          <w:b/>
          <w:vertAlign w:val="subscript"/>
          <w:sz w:val="24"/>
          <w:szCs w:val="24"/>
        </w:rPr>
        <w:t xml:space="preserve">4</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8 presents the in-sample misstatement and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992"/>
        <w:gridCol w:w="1319"/>
        <w:gridCol w:w="1542"/>
        <w:gridCol w:w="1674"/>
        <w:gridCol w:w="1514"/>
        <w:gridCol w:w="1319"/>
      </w:tblGrid>
      <w:tr>
        <w:trPr>
          <w:tblHeader w:val="true"/>
        </w:trPr>
        <w:tc>
          <w:tcPr>
            <w:tcW w:w="1992" w:type="dxa"/>
          </w:tcPr>
          <w:p>
            <w:pPr>
              <w:spacing w:before="0" w:after="0" w:line="240" w:lineRule="auto"/>
              <w:jc w:val="left"/>
            </w:pPr>
            <w:r>
              <w:rPr>
                <w:sz w:val="20"/>
                <w:szCs w:val="20"/>
              </w:rPr>
              <w:t xml:space="preserve">Regime or pair</w:t>
            </w:r>
          </w:p>
        </w:tc>
        <w:tc>
          <w:tcPr>
            <w:tcW w:w="1319" w:type="dxa"/>
          </w:tcPr>
          <w:p>
            <w:pPr>
              <w:spacing w:before="0" w:after="0" w:line="240" w:lineRule="auto"/>
              <w:jc w:val="left"/>
            </w:pPr>
            <w:r>
              <w:rPr>
                <w:sz w:val="20"/>
                <w:szCs w:val="20"/>
              </w:rPr>
              <w:t xml:space="preserve">Pair or static QLIKE</w:t>
            </w:r>
          </w:p>
        </w:tc>
        <w:tc>
          <w:tcPr>
            <w:tcW w:w="1542" w:type="dxa"/>
          </w:tcPr>
          <w:p>
            <w:pPr>
              <w:spacing w:before="0" w:after="0" w:line="240" w:lineRule="auto"/>
              <w:jc w:val="left"/>
            </w:pPr>
            <w:r>
              <w:rPr>
                <w:sz w:val="20"/>
                <w:szCs w:val="20"/>
              </w:rPr>
              <w:t xml:space="preserve">RE, % [95% CI] or EWMA QLIKE</w:t>
            </w:r>
          </w:p>
        </w:tc>
        <w:tc>
          <w:tcPr>
            <w:tcW w:w="1674" w:type="dxa"/>
          </w:tcPr>
          <w:p>
            <w:pPr>
              <w:spacing w:before="0" w:after="0" w:line="240" w:lineRule="auto"/>
              <w:jc w:val="left"/>
            </w:pPr>
            <w:r>
              <w:rPr>
                <w:sz w:val="20"/>
                <w:szCs w:val="20"/>
              </w:rPr>
              <w:t xml:space="preserve">Relative SE, % or regime QLIKE</w:t>
            </w:r>
          </w:p>
        </w:tc>
        <w:tc>
          <w:tcPr>
            <w:tcW w:w="1514" w:type="dxa"/>
          </w:tcPr>
          <w:p>
            <w:pPr>
              <w:spacing w:before="0" w:after="0" w:line="240" w:lineRule="auto"/>
              <w:jc w:val="left"/>
            </w:pPr>
            <w:r>
              <w:rPr>
                <w:sz w:val="20"/>
                <w:szCs w:val="20"/>
              </w:rPr>
              <w:t xml:space="preserve">RE/SE or DM, static vs EWMA</w:t>
            </w:r>
          </w:p>
        </w:tc>
        <w:tc>
          <w:tcPr>
            <w:tcW w:w="1319" w:type="dxa"/>
          </w:tcPr>
          <w:p>
            <w:pPr>
              <w:spacing w:before="0" w:after="0" w:line="240" w:lineRule="auto"/>
              <w:jc w:val="left"/>
            </w:pPr>
            <w:r>
              <w:rPr>
                <w:sz w:val="20"/>
                <w:szCs w:val="20"/>
              </w:rPr>
              <w:t xml:space="preserve">DM, static vs regime</w:t>
            </w:r>
          </w:p>
        </w:tc>
      </w:tr>
      <w:tr>
        <w:tc>
          <w:tcPr>
            <w:tcW w:w="9360" w:type="dxa"/>
            <w:gridSpan w:val="6"/>
          </w:tcPr>
          <w:p>
            <w:pPr>
              <w:spacing w:before="0" w:after="0" w:line="240" w:lineRule="auto"/>
              <w:jc w:val="left"/>
            </w:pPr>
            <w:r>
              <w:rPr>
                <w:iCs/>
                <w:i/>
                <w:sz w:val="20"/>
                <w:szCs w:val="20"/>
              </w:rPr>
              <w:t xml:space="preserve">Panel A: in-sample misstatement (E3)</w:t>
            </w: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2.23 [0.71, 3.98]</w:t>
            </w:r>
          </w:p>
        </w:tc>
        <w:tc>
          <w:tcPr>
            <w:tcW w:w="1674" w:type="dxa"/>
          </w:tcPr>
          <w:p>
            <w:pPr>
              <w:spacing w:before="0" w:after="0" w:line="240" w:lineRule="auto"/>
              <w:jc w:val="left"/>
            </w:pPr>
            <w:r>
              <w:rPr>
                <w:sz w:val="20"/>
                <w:szCs w:val="20"/>
              </w:rPr>
              <w:t xml:space="preserve">15.6</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0.28 [0.11, 0.45]</w:t>
            </w:r>
          </w:p>
        </w:tc>
        <w:tc>
          <w:tcPr>
            <w:tcW w:w="1674" w:type="dxa"/>
          </w:tcPr>
          <w:p>
            <w:pPr>
              <w:spacing w:before="0" w:after="0" w:line="240" w:lineRule="auto"/>
              <w:jc w:val="left"/>
            </w:pPr>
            <w:r>
              <w:rPr>
                <w:sz w:val="20"/>
                <w:szCs w:val="20"/>
              </w:rPr>
              <w:t xml:space="preserve">13.3</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−1.84 [−3.01, −0.82]</w:t>
            </w:r>
          </w:p>
        </w:tc>
        <w:tc>
          <w:tcPr>
            <w:tcW w:w="1674" w:type="dxa"/>
          </w:tcPr>
          <w:p>
            <w:pPr>
              <w:spacing w:before="0" w:after="0" w:line="240" w:lineRule="auto"/>
              <w:jc w:val="left"/>
            </w:pPr>
            <w:r>
              <w:rPr>
                <w:sz w:val="20"/>
                <w:szCs w:val="20"/>
              </w:rPr>
              <w:t xml:space="preserve">14.3</w:t>
            </w:r>
          </w:p>
        </w:tc>
        <w:tc>
          <w:tcPr>
            <w:tcW w:w="1514" w:type="dxa"/>
          </w:tcPr>
          <w:p>
            <w:pPr>
              <w:spacing w:before="0" w:after="0" w:line="240" w:lineRule="auto"/>
              <w:jc w:val="left"/>
            </w:pPr>
            <w:r>
              <w:rPr>
                <w:sz w:val="20"/>
                <w:szCs w:val="20"/>
              </w:rPr>
              <w:t xml:space="preserve">0.13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−0.19 [−0.33, −0.08]</w:t>
            </w:r>
          </w:p>
        </w:tc>
        <w:tc>
          <w:tcPr>
            <w:tcW w:w="1674" w:type="dxa"/>
          </w:tcPr>
          <w:p>
            <w:pPr>
              <w:spacing w:before="0" w:after="0" w:line="240" w:lineRule="auto"/>
              <w:jc w:val="left"/>
            </w:pPr>
            <w:r>
              <w:rPr>
                <w:sz w:val="20"/>
                <w:szCs w:val="20"/>
              </w:rPr>
              <w:t xml:space="preserve">14.8</w:t>
            </w:r>
          </w:p>
        </w:tc>
        <w:tc>
          <w:tcPr>
            <w:tcW w:w="1514" w:type="dxa"/>
          </w:tcPr>
          <w:p>
            <w:pPr>
              <w:spacing w:before="0" w:after="0" w:line="240" w:lineRule="auto"/>
              <w:jc w:val="left"/>
            </w:pPr>
            <w:r>
              <w:rPr>
                <w:sz w:val="20"/>
                <w:szCs w:val="20"/>
              </w:rPr>
              <w:t xml:space="preserve">0.01</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9.38 [6.28, 13.27]</w:t>
            </w:r>
          </w:p>
        </w:tc>
        <w:tc>
          <w:tcPr>
            <w:tcW w:w="1674" w:type="dxa"/>
          </w:tcPr>
          <w:p>
            <w:pPr>
              <w:spacing w:before="0" w:after="0" w:line="240" w:lineRule="auto"/>
              <w:jc w:val="left"/>
            </w:pPr>
            <w:r>
              <w:rPr>
                <w:sz w:val="20"/>
                <w:szCs w:val="20"/>
              </w:rPr>
              <w:t xml:space="preserve">6.3</w:t>
            </w:r>
          </w:p>
        </w:tc>
        <w:tc>
          <w:tcPr>
            <w:tcW w:w="1514" w:type="dxa"/>
          </w:tcPr>
          <w:p>
            <w:pPr>
              <w:spacing w:before="0" w:after="0" w:line="240" w:lineRule="auto"/>
              <w:jc w:val="left"/>
            </w:pPr>
            <w:r>
              <w:rPr>
                <w:sz w:val="20"/>
                <w:szCs w:val="20"/>
              </w:rPr>
              <w:t xml:space="preserve">1.50</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0.77 [0.49, 1.14]</w:t>
            </w:r>
          </w:p>
        </w:tc>
        <w:tc>
          <w:tcPr>
            <w:tcW w:w="1674" w:type="dxa"/>
          </w:tcPr>
          <w:p>
            <w:pPr>
              <w:spacing w:before="0" w:after="0" w:line="240" w:lineRule="auto"/>
              <w:jc w:val="left"/>
            </w:pPr>
            <w:r>
              <w:rPr>
                <w:sz w:val="20"/>
                <w:szCs w:val="20"/>
              </w:rPr>
              <w:t xml:space="preserve">5.3</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−2.07 [−2.88, −1.40]</w:t>
            </w:r>
          </w:p>
        </w:tc>
        <w:tc>
          <w:tcPr>
            <w:tcW w:w="1674" w:type="dxa"/>
          </w:tcPr>
          <w:p>
            <w:pPr>
              <w:spacing w:before="0" w:after="0" w:line="240" w:lineRule="auto"/>
              <w:jc w:val="left"/>
            </w:pPr>
            <w:r>
              <w:rPr>
                <w:sz w:val="20"/>
                <w:szCs w:val="20"/>
              </w:rPr>
              <w:t xml:space="preserve">8.8</w:t>
            </w:r>
          </w:p>
        </w:tc>
        <w:tc>
          <w:tcPr>
            <w:tcW w:w="1514" w:type="dxa"/>
          </w:tcPr>
          <w:p>
            <w:pPr>
              <w:spacing w:before="0" w:after="0" w:line="240" w:lineRule="auto"/>
              <w:jc w:val="left"/>
            </w:pPr>
            <w:r>
              <w:rPr>
                <w:sz w:val="20"/>
                <w:szCs w:val="20"/>
              </w:rPr>
              <w:t xml:space="preserve">0.23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−0.20 [−0.30, −0.13]</w:t>
            </w:r>
          </w:p>
        </w:tc>
        <w:tc>
          <w:tcPr>
            <w:tcW w:w="1674" w:type="dxa"/>
          </w:tcPr>
          <w:p>
            <w:pPr>
              <w:spacing w:before="0" w:after="0" w:line="240" w:lineRule="auto"/>
              <w:jc w:val="left"/>
            </w:pPr>
            <w:r>
              <w:rPr>
                <w:sz w:val="20"/>
                <w:szCs w:val="20"/>
              </w:rPr>
              <w:t xml:space="preserve">8.9</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9360" w:type="dxa"/>
            <w:gridSpan w:val="6"/>
          </w:tcPr>
          <w:p>
            <w:pPr>
              <w:spacing w:before="0" w:after="0" w:line="240" w:lineRule="auto"/>
              <w:jc w:val="left"/>
            </w:pPr>
            <w:r>
              <w:rPr>
                <w:iCs/>
                <w:i/>
                <w:sz w:val="20"/>
                <w:szCs w:val="20"/>
              </w:rPr>
              <w:t xml:space="preserve">Panel B: out-of-sample, 2023–2025 (H</w:t>
            </w:r>
            <w:r>
              <w:rPr>
                <w:vertAlign w:val="subscript"/>
                <w:iCs/>
                <w:i/>
                <w:sz w:val="20"/>
                <w:szCs w:val="20"/>
              </w:rPr>
              <w:t xml:space="preserve">4</w:t>
            </w:r>
            <w:r>
              <w:rPr>
                <w:iCs/>
                <w:i/>
                <w:sz w:val="20"/>
                <w:szCs w:val="20"/>
              </w:rPr>
              <w:t xml:space="preserve">)</w:t>
            </w:r>
          </w:p>
        </w:tc>
      </w:tr>
      <w:tr>
        <w:tc>
          <w:tcPr>
            <w:tcW w:w="1992"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319" w:type="dxa"/>
          </w:tcPr>
          <w:p>
            <w:pPr>
              <w:spacing w:before="0" w:after="0" w:line="240" w:lineRule="auto"/>
              <w:jc w:val="left"/>
            </w:pPr>
            <w:r>
              <w:rPr>
                <w:sz w:val="20"/>
                <w:szCs w:val="20"/>
              </w:rPr>
              <w:t xml:space="preserve">−7.7771</w:t>
            </w:r>
          </w:p>
        </w:tc>
        <w:tc>
          <w:tcPr>
            <w:tcW w:w="1542" w:type="dxa"/>
          </w:tcPr>
          <w:p>
            <w:pPr>
              <w:spacing w:before="0" w:after="0" w:line="240" w:lineRule="auto"/>
              <w:jc w:val="left"/>
            </w:pPr>
            <w:r>
              <w:rPr>
                <w:sz w:val="20"/>
                <w:szCs w:val="20"/>
              </w:rPr>
              <w:t xml:space="preserve">−7.7434</w:t>
            </w:r>
          </w:p>
        </w:tc>
        <w:tc>
          <w:tcPr>
            <w:tcW w:w="1674" w:type="dxa"/>
          </w:tcPr>
          <w:p>
            <w:pPr>
              <w:spacing w:before="0" w:after="0" w:line="240" w:lineRule="auto"/>
              <w:jc w:val="left"/>
            </w:pPr>
            <w:r>
              <w:rPr>
                <w:sz w:val="20"/>
                <w:szCs w:val="20"/>
              </w:rPr>
              <w:t xml:space="preserve">−7.7644</w:t>
            </w:r>
          </w:p>
        </w:tc>
        <w:tc>
          <w:tcPr>
            <w:tcW w:w="1514" w:type="dxa"/>
          </w:tcPr>
          <w:p>
            <w:pPr>
              <w:spacing w:before="0" w:after="0" w:line="240" w:lineRule="auto"/>
              <w:jc w:val="left"/>
            </w:pPr>
            <w:r>
              <w:rPr>
                <w:sz w:val="20"/>
                <w:szCs w:val="20"/>
              </w:rPr>
              <w:t xml:space="preserve">−1.69 (0.091)</w:t>
            </w:r>
          </w:p>
        </w:tc>
        <w:tc>
          <w:tcPr>
            <w:tcW w:w="1319" w:type="dxa"/>
          </w:tcPr>
          <w:p>
            <w:pPr>
              <w:spacing w:before="0" w:after="0" w:line="240" w:lineRule="auto"/>
              <w:jc w:val="left"/>
            </w:pPr>
            <w:r>
              <w:rPr>
                <w:sz w:val="20"/>
                <w:szCs w:val="20"/>
              </w:rPr>
              <w:t xml:space="preserve">−1.34 (0.179)</w:t>
            </w:r>
          </w:p>
        </w:tc>
      </w:tr>
      <w:tr>
        <w:tc>
          <w:tcPr>
            <w:tcW w:w="1992" w:type="dxa"/>
          </w:tcPr>
          <w:p>
            <w:pPr>
              <w:spacing w:before="0" w:after="0" w:line="240" w:lineRule="auto"/>
              <w:jc w:val="left"/>
            </w:pPr>
            <w:r>
              <w:rPr>
                <w:sz w:val="20"/>
                <w:szCs w:val="20"/>
              </w:rPr>
              <w:t xml:space="preserve">VN30–VN100</w:t>
            </w:r>
          </w:p>
        </w:tc>
        <w:tc>
          <w:tcPr>
            <w:tcW w:w="1319" w:type="dxa"/>
          </w:tcPr>
          <w:p>
            <w:pPr>
              <w:spacing w:before="0" w:after="0" w:line="240" w:lineRule="auto"/>
              <w:jc w:val="left"/>
            </w:pPr>
            <w:r>
              <w:rPr>
                <w:sz w:val="20"/>
                <w:szCs w:val="20"/>
              </w:rPr>
              <w:t xml:space="preserve">−7.8357</w:t>
            </w:r>
          </w:p>
        </w:tc>
        <w:tc>
          <w:tcPr>
            <w:tcW w:w="1542" w:type="dxa"/>
          </w:tcPr>
          <w:p>
            <w:pPr>
              <w:spacing w:before="0" w:after="0" w:line="240" w:lineRule="auto"/>
              <w:jc w:val="left"/>
            </w:pPr>
            <w:r>
              <w:rPr>
                <w:sz w:val="20"/>
                <w:szCs w:val="20"/>
              </w:rPr>
              <w:t xml:space="preserve">−7.8315</w:t>
            </w:r>
          </w:p>
        </w:tc>
        <w:tc>
          <w:tcPr>
            <w:tcW w:w="1674" w:type="dxa"/>
          </w:tcPr>
          <w:p>
            <w:pPr>
              <w:spacing w:before="0" w:after="0" w:line="240" w:lineRule="auto"/>
              <w:jc w:val="left"/>
            </w:pPr>
            <w:r>
              <w:rPr>
                <w:sz w:val="20"/>
                <w:szCs w:val="20"/>
              </w:rPr>
              <w:t xml:space="preserve">−7.8346</w:t>
            </w:r>
          </w:p>
        </w:tc>
        <w:tc>
          <w:tcPr>
            <w:tcW w:w="1514" w:type="dxa"/>
          </w:tcPr>
          <w:p>
            <w:pPr>
              <w:spacing w:before="0" w:after="0" w:line="240" w:lineRule="auto"/>
              <w:jc w:val="left"/>
            </w:pPr>
            <w:r>
              <w:rPr>
                <w:sz w:val="20"/>
                <w:szCs w:val="20"/>
              </w:rPr>
              <w:t xml:space="preserve">−1.74 (0.081)</w:t>
            </w:r>
          </w:p>
        </w:tc>
        <w:tc>
          <w:tcPr>
            <w:tcW w:w="1319" w:type="dxa"/>
          </w:tcPr>
          <w:p>
            <w:pPr>
              <w:spacing w:before="0" w:after="0" w:line="240" w:lineRule="auto"/>
              <w:jc w:val="left"/>
            </w:pPr>
            <w:r>
              <w:rPr>
                <w:sz w:val="20"/>
                <w:szCs w:val="20"/>
              </w:rPr>
              <w:t xml:space="preserve">−1.45 (0.146)</w:t>
            </w:r>
          </w:p>
        </w:tc>
      </w:tr>
      <w:tr>
        <w:tc>
          <w:tcPr>
            <w:tcW w:w="1992" w:type="dxa"/>
          </w:tcPr>
          <w:p>
            <w:pPr>
              <w:spacing w:before="0" w:after="0" w:line="240" w:lineRule="auto"/>
              <w:jc w:val="left"/>
            </w:pPr>
            <w:r>
              <w:rPr>
                <w:sz w:val="20"/>
                <w:szCs w:val="20"/>
              </w:rPr>
              <w:t xml:space="preserve">VN30–VNINDEX</w:t>
            </w:r>
          </w:p>
        </w:tc>
        <w:tc>
          <w:tcPr>
            <w:tcW w:w="1319" w:type="dxa"/>
          </w:tcPr>
          <w:p>
            <w:pPr>
              <w:spacing w:before="0" w:after="0" w:line="240" w:lineRule="auto"/>
              <w:jc w:val="left"/>
            </w:pPr>
            <w:r>
              <w:rPr>
                <w:sz w:val="20"/>
                <w:szCs w:val="20"/>
              </w:rPr>
              <w:t xml:space="preserve">−7.9298</w:t>
            </w:r>
          </w:p>
        </w:tc>
        <w:tc>
          <w:tcPr>
            <w:tcW w:w="1542" w:type="dxa"/>
          </w:tcPr>
          <w:p>
            <w:pPr>
              <w:spacing w:before="0" w:after="0" w:line="240" w:lineRule="auto"/>
              <w:jc w:val="left"/>
            </w:pPr>
            <w:r>
              <w:rPr>
                <w:sz w:val="20"/>
                <w:szCs w:val="20"/>
              </w:rPr>
              <w:t xml:space="preserve">−7.9258</w:t>
            </w:r>
          </w:p>
        </w:tc>
        <w:tc>
          <w:tcPr>
            <w:tcW w:w="1674" w:type="dxa"/>
          </w:tcPr>
          <w:p>
            <w:pPr>
              <w:spacing w:before="0" w:after="0" w:line="240" w:lineRule="auto"/>
              <w:jc w:val="left"/>
            </w:pPr>
            <w:r>
              <w:rPr>
                <w:sz w:val="20"/>
                <w:szCs w:val="20"/>
              </w:rPr>
              <w:t xml:space="preserve">−7.9252</w:t>
            </w:r>
          </w:p>
        </w:tc>
        <w:tc>
          <w:tcPr>
            <w:tcW w:w="1514" w:type="dxa"/>
          </w:tcPr>
          <w:p>
            <w:pPr>
              <w:spacing w:before="0" w:after="0" w:line="240" w:lineRule="auto"/>
              <w:jc w:val="left"/>
            </w:pPr>
            <w:r>
              <w:rPr>
                <w:sz w:val="20"/>
                <w:szCs w:val="20"/>
              </w:rPr>
              <w:t xml:space="preserve">−1.82 (0.069)</w:t>
            </w:r>
          </w:p>
        </w:tc>
        <w:tc>
          <w:tcPr>
            <w:tcW w:w="1319" w:type="dxa"/>
          </w:tcPr>
          <w:p>
            <w:pPr>
              <w:spacing w:before="0" w:after="0" w:line="240" w:lineRule="auto"/>
              <w:jc w:val="left"/>
            </w:pPr>
            <w:r>
              <w:rPr>
                <w:sz w:val="20"/>
                <w:szCs w:val="20"/>
              </w:rPr>
              <w:t xml:space="preserve">−1.44 (0.150)</w:t>
            </w:r>
          </w:p>
        </w:tc>
      </w:tr>
      <w:tr>
        <w:tc>
          <w:tcPr>
            <w:tcW w:w="1992" w:type="dxa"/>
          </w:tcPr>
          <w:p>
            <w:pPr>
              <w:spacing w:before="0" w:after="0" w:line="240" w:lineRule="auto"/>
              <w:jc w:val="left"/>
            </w:pPr>
            <w:r>
              <w:rPr>
                <w:sz w:val="20"/>
                <w:szCs w:val="20"/>
              </w:rPr>
              <w:t xml:space="preserve">VN100–VNINDEX</w:t>
            </w:r>
          </w:p>
        </w:tc>
        <w:tc>
          <w:tcPr>
            <w:tcW w:w="1319" w:type="dxa"/>
          </w:tcPr>
          <w:p>
            <w:pPr>
              <w:spacing w:before="0" w:after="0" w:line="240" w:lineRule="auto"/>
              <w:jc w:val="left"/>
            </w:pPr>
            <w:r>
              <w:rPr>
                <w:sz w:val="20"/>
                <w:szCs w:val="20"/>
              </w:rPr>
              <w:t xml:space="preserve">−7.8904</w:t>
            </w:r>
          </w:p>
        </w:tc>
        <w:tc>
          <w:tcPr>
            <w:tcW w:w="1542" w:type="dxa"/>
          </w:tcPr>
          <w:p>
            <w:pPr>
              <w:spacing w:before="0" w:after="0" w:line="240" w:lineRule="auto"/>
              <w:jc w:val="left"/>
            </w:pPr>
            <w:r>
              <w:rPr>
                <w:sz w:val="20"/>
                <w:szCs w:val="20"/>
              </w:rPr>
              <w:t xml:space="preserve">−7.8880</w:t>
            </w:r>
          </w:p>
        </w:tc>
        <w:tc>
          <w:tcPr>
            <w:tcW w:w="1674" w:type="dxa"/>
          </w:tcPr>
          <w:p>
            <w:pPr>
              <w:spacing w:before="0" w:after="0" w:line="240" w:lineRule="auto"/>
              <w:jc w:val="left"/>
            </w:pPr>
            <w:r>
              <w:rPr>
                <w:sz w:val="20"/>
                <w:szCs w:val="20"/>
              </w:rPr>
              <w:t xml:space="preserve">−7.8867</w:t>
            </w:r>
          </w:p>
        </w:tc>
        <w:tc>
          <w:tcPr>
            <w:tcW w:w="1514" w:type="dxa"/>
          </w:tcPr>
          <w:p>
            <w:pPr>
              <w:spacing w:before="0" w:after="0" w:line="240" w:lineRule="auto"/>
              <w:jc w:val="left"/>
            </w:pPr>
            <w:r>
              <w:rPr>
                <w:sz w:val="20"/>
                <w:szCs w:val="20"/>
              </w:rPr>
              <w:t xml:space="preserve">−1.64 (0.100)</w:t>
            </w:r>
          </w:p>
        </w:tc>
        <w:tc>
          <w:tcPr>
            <w:tcW w:w="1319" w:type="dxa"/>
          </w:tcPr>
          <w:p>
            <w:pPr>
              <w:spacing w:before="0" w:after="0" w:line="240" w:lineRule="auto"/>
              <w:jc w:val="left"/>
            </w:pPr>
            <w:r>
              <w:rPr>
                <w:sz w:val="20"/>
                <w:szCs w:val="20"/>
              </w:rPr>
              <w:t xml:space="preserve">−1.43 (0.153)</w:t>
            </w:r>
          </w:p>
        </w:tc>
      </w:tr>
    </w:tbl>
    <w:p>
      <w:pPr>
        <w:pStyle w:val="Compact"/>
      </w:pPr>
      <w:r>
        <w:rPr>
          <w:sz w:val="20"/>
          <w:szCs w:val="20"/>
        </w:rPr>
        <w:t xml:space="preserve">Notes: Panel A: RE: relative error of Eq. (16) for an equally weighted position; P</w:t>
      </w:r>
      <w:r>
        <w:rPr>
          <w:vertAlign w:val="subscript"/>
          <w:sz w:val="20"/>
          <w:szCs w:val="20"/>
        </w:rPr>
        <w:t xml:space="preserve">cap</w:t>
      </w:r>
      <w:r>
        <w:rPr>
          <w:sz w:val="20"/>
          <w:szCs w:val="20"/>
        </w:rPr>
        <w:t xml:space="preserve">: overlap-purged mid-cap series; relative SE: bootstrap standard error of the regime portfolio variance. Panel B: QLIKE: quasi-likelihood loss; EWMA: exponentially weighted moving average; mean QLIKE over 735 evaluation days; DM: Diebold–Mariano t-statistic (p) on the QLIKE difference, negative when the static correlation has a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crisis regimes. For nested pairs, the misstatement is at most 2.35% (Table S14). Relative to the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w:t>
      </w:r>
      <w:r>
        <w:rPr>
          <w:rFonts w:ascii="Times New Roman" w:hAnsi="Times New Roman" w:cs="Times New Roman" w:eastAsia="Times New Roman"/>
          <w:vertAlign w:val="subscript"/>
          <w:sz w:val="24"/>
          <w:szCs w:val="24"/>
        </w:rPr>
        <w:t xml:space="preserve">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changed the conclusions. DMCA (Kristoufek 2014) satisfies the same identity, so it checks only the detrending, giving a purged coefficient of 0.882–0.891 and a three-pair gap of 0.086–0.096 (Table S4). The daily three-pair gap interval stays within 0.070–0.119 for blocks of 5–60 days (Table S6), and the daily VN30–VNINDEX average is 0.9665, 0.9663, and 0.9667 for detrending orders 1–3. Proxies that replace the free-float weight, such as the VN30–VN100 correlation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the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705"/>
        <w:gridCol w:w="1793"/>
        <w:gridCol w:w="2508"/>
        <w:gridCol w:w="1322"/>
        <w:gridCol w:w="2032"/>
      </w:tblGrid>
      <w:tr>
        <w:trPr>
          <w:tblHeader w:val="true"/>
        </w:trPr>
        <w:tc>
          <w:tcPr>
            <w:tcW w:w="1705" w:type="dxa"/>
          </w:tcPr>
          <w:p>
            <w:pPr>
              <w:spacing w:before="0" w:after="0" w:line="240" w:lineRule="auto"/>
              <w:jc w:val="left"/>
            </w:pPr>
            <w:r>
              <w:rPr>
                <w:sz w:val="20"/>
                <w:szCs w:val="20"/>
              </w:rPr>
              <w:t xml:space="preserve">Item</w:t>
            </w:r>
          </w:p>
        </w:tc>
        <w:tc>
          <w:tcPr>
            <w:tcW w:w="1793" w:type="dxa"/>
          </w:tcPr>
          <w:p>
            <w:pPr>
              <w:spacing w:before="0" w:after="0" w:line="240" w:lineRule="auto"/>
              <w:jc w:val="left"/>
            </w:pPr>
            <w:r>
              <w:rPr>
                <w:sz w:val="20"/>
                <w:szCs w:val="20"/>
              </w:rPr>
              <w:t xml:space="preserve">Statistic</w:t>
            </w:r>
          </w:p>
        </w:tc>
        <w:tc>
          <w:tcPr>
            <w:tcW w:w="2508" w:type="dxa"/>
          </w:tcPr>
          <w:p>
            <w:pPr>
              <w:spacing w:before="0" w:after="0" w:line="240" w:lineRule="auto"/>
              <w:jc w:val="left"/>
            </w:pPr>
            <w:r>
              <w:rPr>
                <w:sz w:val="20"/>
                <w:szCs w:val="20"/>
              </w:rPr>
              <w:t xml:space="preserve">Evidence</w:t>
            </w:r>
          </w:p>
        </w:tc>
        <w:tc>
          <w:tcPr>
            <w:tcW w:w="1322" w:type="dxa"/>
          </w:tcPr>
          <w:p>
            <w:pPr>
              <w:spacing w:before="0" w:after="0" w:line="240" w:lineRule="auto"/>
              <w:jc w:val="left"/>
            </w:pPr>
            <w:r>
              <w:rPr>
                <w:sz w:val="20"/>
                <w:szCs w:val="20"/>
              </w:rPr>
              <w:t xml:space="preserve">Outcome</w:t>
            </w:r>
          </w:p>
        </w:tc>
        <w:tc>
          <w:tcPr>
            <w:tcW w:w="2032" w:type="dxa"/>
          </w:tcPr>
          <w:p>
            <w:pPr>
              <w:spacing w:before="0" w:after="0" w:line="240" w:lineRule="auto"/>
              <w:jc w:val="left"/>
            </w:pPr>
            <w:r>
              <w:rPr>
                <w:sz w:val="20"/>
                <w:szCs w:val="20"/>
              </w:rPr>
              <w:t xml:space="preserve">Comment</w:t>
            </w:r>
          </w:p>
        </w:tc>
      </w:tr>
      <w:tr>
        <w:tc>
          <w:tcPr>
            <w:tcW w:w="1705" w:type="dxa"/>
          </w:tcPr>
          <w:p>
            <w:pPr>
              <w:spacing w:before="0" w:after="0" w:line="240" w:lineRule="auto"/>
              <w:jc w:val="left"/>
            </w:pPr>
            <w:r>
              <w:rPr>
                <w:sz w:val="20"/>
                <w:szCs w:val="20"/>
              </w:rPr>
              <w:t xml:space="preserve">E1 Benchmark and attribution</w:t>
            </w:r>
          </w:p>
        </w:tc>
        <w:tc>
          <w:tcPr>
            <w:tcW w:w="1793" w:type="dxa"/>
          </w:tcPr>
          <w:p>
            <w:pPr>
              <w:spacing w:before="0" w:after="0" w:line="240" w:lineRule="auto"/>
              <w:jc w:val="left"/>
            </w:pPr>
            <w:r>
              <w:rPr>
                <w:sz w:val="20"/>
                <w:szCs w:val="20"/>
              </w:rPr>
              <w:t xml:space="preserve">ρ̲; Shapley overlap share</w:t>
            </w:r>
          </w:p>
        </w:tc>
        <w:tc>
          <w:tcPr>
            <w:tcW w:w="2508" w:type="dxa"/>
          </w:tcPr>
          <w:p>
            <w:pPr>
              <w:spacing w:before="0" w:after="0" w:line="240" w:lineRule="auto"/>
              <w:jc w:val="left"/>
            </w:pPr>
            <w:r>
              <w:rPr>
                <w:sz w:val="20"/>
                <w:szCs w:val="20"/>
              </w:rPr>
              <w:t xml:space="preserve">ρ̲ 0.893–0.900; Shapley 0.505–0.508</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Attribution depends mainly on the weight</w:t>
            </w:r>
          </w:p>
        </w:tc>
      </w:tr>
      <w:tr>
        <w:tc>
          <w:tcPr>
            <w:tcW w:w="1705" w:type="dxa"/>
          </w:tcPr>
          <w:p>
            <w:pPr>
              <w:spacing w:before="0" w:after="0" w:line="240" w:lineRule="auto"/>
              <w:jc w:val="left"/>
            </w:pPr>
            <w:r>
              <w:rPr>
                <w:sz w:val="20"/>
                <w:szCs w:val="20"/>
              </w:rPr>
              <w:t xml:space="preserve">E2 Sensitivity</w:t>
            </w:r>
          </w:p>
        </w:tc>
        <w:tc>
          <w:tcPr>
            <w:tcW w:w="1793" w:type="dxa"/>
          </w:tcPr>
          <w:p>
            <w:pPr>
              <w:spacing w:before="0" w:after="0" w:line="240" w:lineRule="auto"/>
              <w:jc w:val="left"/>
            </w:pPr>
            <w:r>
              <w:rPr>
                <w:sz w:val="20"/>
                <w:szCs w:val="20"/>
              </w:rPr>
              <w:t xml:space="preserve">Eq. (10)</w:t>
            </w:r>
          </w:p>
        </w:tc>
        <w:tc>
          <w:tcPr>
            <w:tcW w:w="2508" w:type="dxa"/>
          </w:tcPr>
          <w:p>
            <w:pPr>
              <w:spacing w:before="0" w:after="0" w:line="240" w:lineRule="auto"/>
              <w:jc w:val="left"/>
            </w:pPr>
            <w:r>
              <w:rPr>
                <w:sz w:val="20"/>
                <w:szCs w:val="20"/>
              </w:rPr>
              <w:t xml:space="preserve">0.106–0.112; with weight uncertainty 0.07–0.17</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Purged changes damped about tenfold</w:t>
            </w:r>
          </w:p>
        </w:tc>
      </w:tr>
      <w:tr>
        <w:tc>
          <w:tcPr>
            <w:tcW w:w="1705" w:type="dxa"/>
          </w:tcPr>
          <w:p>
            <w:pPr>
              <w:spacing w:before="0" w:after="0" w:line="240" w:lineRule="auto"/>
              <w:jc w:val="left"/>
            </w:pPr>
            <w:r>
              <w:rPr>
                <w:sz w:val="20"/>
                <w:szCs w:val="20"/>
              </w:rPr>
              <w:t xml:space="preserve">E3 In-sample misstatement</w:t>
            </w:r>
          </w:p>
        </w:tc>
        <w:tc>
          <w:tcPr>
            <w:tcW w:w="1793" w:type="dxa"/>
          </w:tcPr>
          <w:p>
            <w:pPr>
              <w:spacing w:before="0" w:after="0" w:line="240" w:lineRule="auto"/>
              <w:jc w:val="left"/>
            </w:pPr>
            <w:r>
              <w:rPr>
                <w:sz w:val="20"/>
                <w:szCs w:val="20"/>
              </w:rPr>
              <w:t xml:space="preserve">RE, Eq. (16)</w:t>
            </w:r>
          </w:p>
        </w:tc>
        <w:tc>
          <w:tcPr>
            <w:tcW w:w="250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Sign pattern expected from pooling</w:t>
            </w:r>
          </w:p>
        </w:tc>
      </w:tr>
      <w:tr>
        <w:tc>
          <w:tcPr>
            <w:tcW w:w="1705" w:type="dxa"/>
          </w:tcPr>
          <w:p>
            <w:pPr>
              <w:spacing w:before="0" w:after="0" w:line="240" w:lineRule="auto"/>
              <w:jc w:val="left"/>
            </w:pPr>
            <w:r>
              <w:rPr>
                <w:sz w:val="20"/>
                <w:szCs w:val="20"/>
              </w:rPr>
              <w:t xml:space="preserve">H</w:t>
            </w:r>
            <w:r>
              <w:rPr>
                <w:vertAlign w:val="subscript"/>
                <w:sz w:val="20"/>
                <w:szCs w:val="20"/>
              </w:rPr>
              <w:t xml:space="preserve">1</w:t>
            </w:r>
            <w:r>
              <w:rPr>
                <w:sz w:val="20"/>
                <w:szCs w:val="20"/>
              </w:rPr>
              <w:t xml:space="preserve"> </w:t>
            </w:r>
            <w:r>
              <w:rPr>
                <w:sz w:val="20"/>
                <w:szCs w:val="20"/>
              </w:rPr>
              <w:t xml:space="preserve">Material overlap gap</w:t>
            </w:r>
          </w:p>
        </w:tc>
        <w:tc>
          <w:tcPr>
            <w:tcW w:w="1793" w:type="dxa"/>
          </w:tcPr>
          <w:p>
            <w:pPr>
              <w:spacing w:before="0" w:after="0" w:line="240" w:lineRule="auto"/>
              <w:jc w:val="left"/>
            </w:pPr>
            <w:r>
              <w:rPr>
                <w:sz w:val="20"/>
                <w:szCs w:val="20"/>
              </w:rPr>
              <w:t xml:space="preserve">Like-for-like gap; lower CI &gt; 0.05</w:t>
            </w:r>
          </w:p>
        </w:tc>
        <w:tc>
          <w:tcPr>
            <w:tcW w:w="2508" w:type="dxa"/>
          </w:tcPr>
          <w:p>
            <w:pPr>
              <w:spacing w:before="0" w:after="0" w:line="240" w:lineRule="auto"/>
              <w:jc w:val="left"/>
            </w:pPr>
            <w:r>
              <w:rPr>
                <w:sz w:val="20"/>
                <w:szCs w:val="20"/>
              </w:rPr>
              <w:t xml:space="preserve">Gap 0.099–0.104; lower CI ≥ 0.084</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Holds under weight uncertainty</w:t>
            </w:r>
          </w:p>
        </w:tc>
      </w:tr>
      <w:tr>
        <w:tc>
          <w:tcPr>
            <w:tcW w:w="1705" w:type="dxa"/>
          </w:tcPr>
          <w:p>
            <w:pPr>
              <w:spacing w:before="0" w:after="0" w:line="240" w:lineRule="auto"/>
              <w:jc w:val="left"/>
            </w:pPr>
            <w:r>
              <w:rPr>
                <w:sz w:val="20"/>
                <w:szCs w:val="20"/>
              </w:rPr>
              <w:t xml:space="preserve">H</w:t>
            </w:r>
            <w:r>
              <w:rPr>
                <w:vertAlign w:val="subscript"/>
                <w:sz w:val="20"/>
                <w:szCs w:val="20"/>
              </w:rPr>
              <w:t xml:space="preserve">2</w:t>
            </w:r>
            <w:r>
              <w:rPr>
                <w:sz w:val="20"/>
                <w:szCs w:val="20"/>
              </w:rPr>
              <w:t xml:space="preserve"> </w:t>
            </w:r>
            <w:r>
              <w:rPr>
                <w:sz w:val="20"/>
                <w:szCs w:val="20"/>
              </w:rPr>
              <w:t xml:space="preserve">Horizon dependence</w:t>
            </w:r>
          </w:p>
        </w:tc>
        <w:tc>
          <w:tcPr>
            <w:tcW w:w="1793" w:type="dxa"/>
          </w:tcPr>
          <w:p>
            <w:pPr>
              <w:spacing w:before="0" w:after="0" w:line="240" w:lineRule="auto"/>
              <w:jc w:val="left"/>
            </w:pPr>
            <w:r>
              <w:rPr>
                <w:sz w:val="20"/>
                <w:szCs w:val="20"/>
              </w:rPr>
              <w:t xml:space="preserve">Studentized slopes; Holm (H</w:t>
            </w:r>
            <w:r>
              <w:rPr>
                <w:vertAlign w:val="subscript"/>
                <w:sz w:val="20"/>
                <w:szCs w:val="20"/>
              </w:rPr>
              <w:t xml:space="preserve">2</w:t>
            </w:r>
            <w:r>
              <w:rPr>
                <w:sz w:val="20"/>
                <w:szCs w:val="20"/>
              </w:rPr>
              <w:t xml:space="preserve"> </w:t>
            </w:r>
            <w:r>
              <w:rPr>
                <w:sz w:val="20"/>
                <w:szCs w:val="20"/>
              </w:rPr>
              <w:t xml:space="preserve">family); TOST</w:t>
            </w:r>
          </w:p>
        </w:tc>
        <w:tc>
          <w:tcPr>
            <w:tcW w:w="2508" w:type="dxa"/>
          </w:tcPr>
          <w:p>
            <w:pPr>
              <w:spacing w:before="0" w:after="0" w:line="240" w:lineRule="auto"/>
              <w:jc w:val="left"/>
            </w:pPr>
            <w:r>
              <w:rPr>
                <w:sz w:val="20"/>
                <w:szCs w:val="20"/>
              </w:rPr>
              <w:t xml:space="preserve">4 of 8 broad-market slopes significant, all at M30 or H1; VN30–VN100 equivalent to zero at M30, H1</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Not robust: vanishes without the auction bars</w:t>
            </w:r>
          </w:p>
        </w:tc>
      </w:tr>
      <w:tr>
        <w:tc>
          <w:tcPr>
            <w:tcW w:w="1705" w:type="dxa"/>
          </w:tcPr>
          <w:p>
            <w:pPr>
              <w:spacing w:before="0" w:after="0" w:line="240" w:lineRule="auto"/>
              <w:jc w:val="left"/>
            </w:pPr>
            <w:r>
              <w:rPr>
                <w:sz w:val="20"/>
                <w:szCs w:val="20"/>
              </w:rPr>
              <w:t xml:space="preserve">H</w:t>
            </w:r>
            <w:r>
              <w:rPr>
                <w:vertAlign w:val="subscript"/>
                <w:sz w:val="20"/>
                <w:szCs w:val="20"/>
              </w:rPr>
              <w:t xml:space="preserve">3</w:t>
            </w:r>
            <w:r>
              <w:rPr>
                <w:sz w:val="20"/>
                <w:szCs w:val="20"/>
              </w:rPr>
              <w:t xml:space="preserve"> </w:t>
            </w:r>
            <w:r>
              <w:rPr>
                <w:sz w:val="20"/>
                <w:szCs w:val="20"/>
              </w:rPr>
              <w:t xml:space="preserve">Contagion</w:t>
            </w:r>
          </w:p>
        </w:tc>
        <w:tc>
          <w:tcPr>
            <w:tcW w:w="1793" w:type="dxa"/>
          </w:tcPr>
          <w:p>
            <w:pPr>
              <w:spacing w:before="0" w:after="0" w:line="240" w:lineRule="auto"/>
              <w:jc w:val="left"/>
            </w:pPr>
            <w:r>
              <w:rPr>
                <w:sz w:val="20"/>
                <w:szCs w:val="20"/>
              </w:rPr>
              <w:t xml:space="preserve">Forbes–Rigobon adjustment and Δβ, VN30 regimes</w:t>
            </w:r>
          </w:p>
        </w:tc>
        <w:tc>
          <w:tcPr>
            <w:tcW w:w="2508" w:type="dxa"/>
          </w:tcPr>
          <w:p>
            <w:pPr>
              <w:spacing w:before="0" w:after="0" w:line="240" w:lineRule="auto"/>
              <w:jc w:val="left"/>
            </w:pPr>
            <w:r>
              <w:rPr>
                <w:sz w:val="20"/>
                <w:szCs w:val="20"/>
              </w:rPr>
              <w:t xml:space="preserve">Forbes–Rigobon p = 0.998; Δβ = 0.210, p &lt; 0.001</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Loading rises on high-volatility days; residual variance rises too</w:t>
            </w:r>
          </w:p>
        </w:tc>
      </w:tr>
      <w:tr>
        <w:tc>
          <w:tcPr>
            <w:tcW w:w="1705" w:type="dxa"/>
          </w:tcPr>
          <w:p>
            <w:pPr>
              <w:spacing w:before="0" w:after="0" w:line="240" w:lineRule="auto"/>
              <w:jc w:val="left"/>
            </w:pPr>
            <w:r>
              <w:rPr>
                <w:sz w:val="20"/>
                <w:szCs w:val="20"/>
              </w:rPr>
              <w:t xml:space="preserve">H</w:t>
            </w:r>
            <w:r>
              <w:rPr>
                <w:vertAlign w:val="subscript"/>
                <w:sz w:val="20"/>
                <w:szCs w:val="20"/>
              </w:rPr>
              <w:t xml:space="preserve">4</w:t>
            </w:r>
            <w:r>
              <w:rPr>
                <w:sz w:val="20"/>
                <w:szCs w:val="20"/>
              </w:rPr>
              <w:t xml:space="preserve"> </w:t>
            </w:r>
            <w:r>
              <w:rPr>
                <w:sz w:val="20"/>
                <w:szCs w:val="20"/>
              </w:rPr>
              <w:t xml:space="preserve">Value of regime conditioning</w:t>
            </w:r>
          </w:p>
        </w:tc>
        <w:tc>
          <w:tcPr>
            <w:tcW w:w="1793" w:type="dxa"/>
          </w:tcPr>
          <w:p>
            <w:pPr>
              <w:spacing w:before="0" w:after="0" w:line="240" w:lineRule="auto"/>
              <w:jc w:val="left"/>
            </w:pPr>
            <w:r>
              <w:rPr>
                <w:sz w:val="20"/>
                <w:szCs w:val="20"/>
              </w:rPr>
              <w:t xml:space="preserve">QLIKE; Diebold–Mariano</w:t>
            </w:r>
          </w:p>
        </w:tc>
        <w:tc>
          <w:tcPr>
            <w:tcW w:w="2508" w:type="dxa"/>
          </w:tcPr>
          <w:p>
            <w:pPr>
              <w:spacing w:before="0" w:after="0" w:line="240" w:lineRule="auto"/>
              <w:jc w:val="left"/>
            </w:pPr>
            <w:r>
              <w:rPr>
                <w:sz w:val="20"/>
                <w:szCs w:val="20"/>
              </w:rPr>
              <w:t xml:space="preserve">Static lowest for all pairs; p 0.07–0.18</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w:t>
      </w:r>
      <w:r>
        <w:rPr>
          <w:vertAlign w:val="subscript"/>
          <w:sz w:val="20"/>
          <w:szCs w:val="20"/>
        </w:rPr>
        <w:t xml:space="preserve">1</w:t>
      </w:r>
      <w:r>
        <w:rPr>
          <w:sz w:val="20"/>
          <w:szCs w:val="20"/>
        </w:rPr>
        <w:t xml:space="preserve">–H</w:t>
      </w:r>
      <w:r>
        <w:rPr>
          <w:vertAlign w:val="subscript"/>
          <w:sz w:val="20"/>
          <w:szCs w:val="20"/>
        </w:rPr>
        <w:t xml:space="preserve">4</w:t>
      </w:r>
      <w:r>
        <w:rPr>
          <w:sz w:val="20"/>
          <w:szCs w:val="20"/>
        </w:rPr>
        <w:t xml:space="preserve"> </w:t>
      </w:r>
      <w:r>
        <w:rPr>
          <w:sz w:val="20"/>
          <w:szCs w:val="20"/>
        </w:rPr>
        <w:t xml:space="preserve">in Section 2.7; all tests at the 5% level; RE: relative error of portfolio variance; SE: standard error; TOST: two one-sided tests; QLIKE: quasi-likelihood loss; CI: confidence interval.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Because a child’s variation enters every covariance and both standard deviations of a nested pair, Lemma 1 pins the coefficient near a benchmark set by the weight and relative amplitude. With VN30 at 68% of VN100, the benchmark is near 0.90 and the bound near 0.87, so the observed 0.99 says little about how mid caps move with large caps.</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that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at intraday frequencies, the lead is symmetric (Table S9). The auction-bar horizon dependence of broad-market pairs fits the Epps (1979) effect for small, less liquid stocks (Chen et al. 2021; Tran and Tran 2025). The higher loading on high-volatility days has several candidate sources that our data cannot rank: herding (Nguyen et al. 2023) and sector connectedness (Bui et al. 2022), limit hits under the ±7% band, margin calls, and foreign flows into large caps.</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Box 1 decomposes nested correlations from published series and the index weight. Its key outputs are the purged coefficient and the sensitivity, whose inverse of about 10 shows how ill-conditioned the index-level number is. For hedging, a minimum-variance VN30 hedge removes a share ρ² of mid-cap variance (Ederington 1979), 0.79 [0.75, 0.82] over the full sample but 0.53 [0.45, 0.61] in the low-volatility quartile and 0.86 in the high-volatility quartile (Table S11). Hedging the VNMIDCAP exchange-traded fund with VN30 futures leaves about a fifth of the variance on average and about half in calm markets. The case for regime-conditioned tier correlations is not supported: their in-sample gain is mostly within sampling error and vanishes out of sample.</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remaining constituents are no more volatile, so large components fixed by construction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capitalization and VN100 free-float capitalization, so VN100 is not a fixed-weight component of VNINDEX. The mismatch term of Eq. (12) cannot be bounded without constituent data, and the three-pair gap is therefore descriptive for these pairs.</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therefore, the magnitudes should not be generalized beyond the HOSE.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therefore,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Extending the part–whole identity to scale-wise detrended coefficients yields a benchmark, a lower bound, a sensitivity and an order-free attribution from index-level inputs. On the HOSE, the VN30–VN100 coefficient moves by only about 0.11 per unit change in the purged coefficient, and removing the overlap lowers the correlation with large caps by about 0.10. The purged series shows a large-to-small lead and a higher mid-cap loading together with more mid-cap-specific risk on volatile days; horizon effects in broad-market pairs are confined to the auction bars; and regime-conditioned correlations bring no out-of-sample gain. Users of index-level data should decompose nested correlations before reading them as evidence about diversification between tiers.</w:t>
      </w:r>
    </w:p>
    <w:p>
      <w:pPr>
        <w:pStyle w:val="p1a"/>
        <w:spacing w:before="0" w:after="120" w:line="300" w:lineRule="auto"/>
        <w:jc w:val="both"/>
      </w:pPr>
      <w:r>
        <w:rPr>
          <w:rFonts w:ascii="Times New Roman" w:hAnsi="Times New Roman" w:cs="Times New Roman" w:eastAsia="Times New Roman"/>
          <w:bCs/>
          <w:b/>
          <w:sz w:val="24"/>
          <w:szCs w:val="24"/>
        </w:rPr>
        <w:t xml:space="preserve">Ethical standards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This study uses only publicly available historical index price data from the Ho Chi Minh City Stock Exchange; it involves no human participants or personal data; therefore, it required no ethical approval and complies with the current laws of Vietnam.</w:t>
      </w:r>
    </w:p>
    <w:p>
      <w:pPr>
        <w:pStyle w:val="p1a"/>
        <w:spacing w:before="0" w:after="120" w:line="300" w:lineRule="auto"/>
        <w:jc w:val="both"/>
      </w:pPr>
      <w:r>
        <w:rPr>
          <w:rFonts w:ascii="Times New Roman" w:hAnsi="Times New Roman" w:cs="Times New Roman" w:eastAsia="Times New Roman"/>
          <w:bCs/>
          <w:b/>
          <w:sz w:val="24"/>
          <w:szCs w:val="24"/>
        </w:rPr>
        <w:t xml:space="preserve">Data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index price data were obtained from TradingView (exchange: HOSE) and are subject to the vendor’s terms of use; the merged dataset is available from the corresponding author upon reasonable request.</w:t>
      </w:r>
    </w:p>
    <w:p>
      <w:pPr>
        <w:pStyle w:val="p1a"/>
        <w:spacing w:before="0" w:after="120" w:line="300" w:lineRule="auto"/>
        <w:jc w:val="both"/>
      </w:pPr>
      <w:r>
        <w:rPr>
          <w:rFonts w:ascii="Times New Roman" w:hAnsi="Times New Roman" w:cs="Times New Roman" w:eastAsia="Times New Roman"/>
          <w:bCs/>
          <w:b/>
          <w:sz w:val="24"/>
          <w:szCs w:val="24"/>
        </w:rPr>
        <w:t xml:space="preserve">Code availability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 code that reproduces every table and figure, with a map from each reported number to its output file, is provided as Online Resource 1 and will be deposited in a public repository upon acceptance. Supplementary tables and figures are provided as Online Resource 2.</w:t>
      </w:r>
    </w:p>
    <w:p>
      <w:pPr>
        <w:pStyle w:val="p1a"/>
        <w:spacing w:before="0" w:after="120" w:line="300" w:lineRule="auto"/>
        <w:jc w:val="both"/>
      </w:pPr>
      <w:r>
        <w:rPr>
          <w:rFonts w:ascii="Times New Roman" w:hAnsi="Times New Roman" w:cs="Times New Roman" w:eastAsia="Times New Roman"/>
          <w:bCs/>
          <w:b/>
          <w:sz w:val="24"/>
          <w:szCs w:val="24"/>
        </w:rPr>
        <w:t xml:space="preserve">Funding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Funding information is provided on the separate title page in accordance with the journal’s double-blind review policy.</w:t>
      </w:r>
    </w:p>
    <w:p>
      <w:pPr>
        <w:pStyle w:val="p1a"/>
        <w:spacing w:before="0" w:after="120" w:line="300" w:lineRule="auto"/>
        <w:jc w:val="both"/>
      </w:pPr>
      <w:r>
        <w:rPr>
          <w:rFonts w:ascii="Times New Roman" w:hAnsi="Times New Roman" w:cs="Times New Roman" w:eastAsia="Times New Roman"/>
          <w:bCs/>
          <w:b/>
          <w:sz w:val="24"/>
          <w:szCs w:val="24"/>
        </w:rPr>
        <w:t xml:space="preserve">Conflict of interest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authors declare that they have no conflict of interest.</w:t>
      </w:r>
    </w:p>
    <w:p>
      <w:pPr>
        <w:pStyle w:val="p1a"/>
        <w:spacing w:before="0" w:after="120" w:line="300" w:lineRule="auto"/>
        <w:jc w:val="both"/>
      </w:pPr>
      <w:r>
        <w:rPr>
          <w:rFonts w:ascii="Times New Roman" w:hAnsi="Times New Roman" w:cs="Times New Roman" w:eastAsia="Times New Roman"/>
          <w:bCs/>
          <w:b/>
          <w:sz w:val="24"/>
          <w:szCs w:val="24"/>
        </w:rPr>
        <w:t xml:space="preserve">Declaration of generative AI 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During the preparation of this work the authors used Claude (Anthropic) for language editing, reference searching and verification, translation of the analysis code into R and drafting of revisions, and Gemini (Google) to improve the language and readability of the manuscript. After using these tools, the authors reviewed and edited the content as needed and take full responsibility for the content of the publication.</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 https://www.lseg.com/en/media-centre/press-releases/ftse-russell/2025/ftse-russell-country-classification-september-2025</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Listing and official trading of DCVFMVNMIDCAP ETF fund certificates [Press release].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promulgating the Regulation on clearing and settlement of securities transactions.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2026-10-13T07:04:15Z</dcterms:created>
  <dcterms:modified xsi:type="dcterms:W3CDTF">2026-10-13T07:04:15Z</dcterms:modified>
</cp:coreProperties>
</file>

<file path=docProps/custom.xml><?xml version="1.0" encoding="utf-8"?>
<Properties xmlns="http://schemas.openxmlformats.org/officeDocument/2006/custom-properties" xmlns:vt="http://schemas.openxmlformats.org/officeDocument/2006/docPropsVTypes"/>
</file>