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p1a"/>
        <w:spacing w:before="0" w:after="120" w:line="300" w:lineRule="auto"/>
        <w:jc w:val="both"/>
      </w:pPr>
      <w:r>
        <w:rPr>
          <w:rFonts w:ascii="Times New Roman" w:hAnsi="Times New Roman" w:cs="Times New Roman" w:eastAsia="Times New Roman"/>
          <w:sz w:val="24"/>
          <w:szCs w:val="24"/>
        </w:rPr>
        <w:t xml:space="preserve">Nguyen Thanh Binh</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Nguyen Van Trung</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Ha Hong Hanh</w:t>
      </w:r>
      <w:r>
        <w:rPr>
          <w:rFonts w:ascii="Times New Roman" w:hAnsi="Times New Roman" w:cs="Times New Roman" w:eastAsia="Times New Roman"/>
          <w:vertAlign w:val="superscript"/>
          <w:sz w:val="24"/>
          <w:szCs w:val="24"/>
        </w:rPr>
        <w:t xml:space="preserve">b</w:t>
      </w:r>
      <w:r>
        <w:rPr>
          <w:rFonts w:ascii="Times New Roman" w:hAnsi="Times New Roman" w:cs="Times New Roman" w:eastAsia="Times New Roman"/>
          <w:sz w:val="24"/>
          <w:szCs w:val="24"/>
        </w:rPr>
        <w:t xml:space="preserve">, Nguyen Bach Diep</w:t>
      </w:r>
      <w:r>
        <w:rPr>
          <w:rFonts w:ascii="Times New Roman" w:hAnsi="Times New Roman" w:cs="Times New Roman" w:eastAsia="Times New Roman"/>
          <w:vertAlign w:val="superscript"/>
          <w:sz w:val="24"/>
          <w:szCs w:val="24"/>
        </w:rPr>
        <w:t xml:space="preserve">a</w:t>
      </w:r>
    </w:p>
    <w:p>
      <w:pPr>
        <w:pStyle w:val="Compact"/>
      </w:pPr>
      <w:r>
        <w:rPr>
          <w:vertAlign w:val="superscript"/>
          <w:sz w:val="20"/>
          <w:szCs w:val="20"/>
        </w:rPr>
        <w:t xml:space="preserve">a</w:t>
      </w:r>
      <w:r>
        <w:rPr>
          <w:sz w:val="20"/>
          <w:szCs w:val="20"/>
        </w:rPr>
        <w:t xml:space="preserve"> </w:t>
      </w:r>
      <w:r>
        <w:rPr>
          <w:sz w:val="20"/>
          <w:szCs w:val="20"/>
        </w:rPr>
        <w:t xml:space="preserve">Academy of Policy and Development, Nam An Khanh Urban Area, Hoai Duc District, Hanoi, Vietnam</w:t>
      </w:r>
    </w:p>
    <w:p>
      <w:pPr>
        <w:pStyle w:val="Compact"/>
      </w:pPr>
      <w:r>
        <w:rPr>
          <w:vertAlign w:val="superscript"/>
          <w:sz w:val="20"/>
          <w:szCs w:val="20"/>
        </w:rPr>
        <w:t xml:space="preserve">b</w:t>
      </w:r>
      <w:r>
        <w:rPr>
          <w:sz w:val="20"/>
          <w:szCs w:val="20"/>
        </w:rPr>
        <w:t xml:space="preserve"> </w:t>
      </w:r>
      <w:r>
        <w:rPr>
          <w:sz w:val="20"/>
          <w:szCs w:val="20"/>
        </w:rPr>
        <w:t xml:space="preserve">School of Accounting and Auditing, National Economics University, Hanoi, Vietnam</w:t>
      </w:r>
    </w:p>
    <w:p>
      <w:pPr>
        <w:pStyle w:val="Compact"/>
      </w:pPr>
      <w:r>
        <w:rPr>
          <w:sz w:val="20"/>
          <w:szCs w:val="20"/>
        </w:rPr>
        <w:t xml:space="preserve">* Corresponding author: Nguyen Van Trung, Academy of Policy and Development, Hanoi, Vietnam. Email: 15233582@st.neu.edu.vn. Tel: +84 355 347 831.</w:t>
      </w:r>
    </w:p>
    <w:p>
      <w:pPr>
        <w:pStyle w:val="heading1"/>
        <w:numPr>
          <w:ilvl w:val="0"/>
          <w:numId w:val="0"/>
        </w:numPr>
      </w:pPr>
      <w:r>
        <w:rPr>
          <w:rFonts w:ascii="Times New Roman" w:hAnsi="Times New Roman" w:cs="Times New Roman" w:eastAsia="Times New Roman"/>
          <w:b/>
          <w:sz w:val="24"/>
          <w:szCs w:val="24"/>
        </w:rPr>
        <w:t xml:space="preserve">Acknowledgments</w:t>
      </w:r>
    </w:p>
    <w:p>
      <w:pPr>
        <w:pStyle w:val="p1a"/>
        <w:spacing w:before="0" w:after="120" w:line="300" w:lineRule="auto"/>
        <w:jc w:val="both"/>
      </w:pPr>
      <w:r>
        <w:rPr>
          <w:rFonts w:ascii="Times New Roman" w:hAnsi="Times New Roman" w:cs="Times New Roman" w:eastAsia="Times New Roman"/>
          <w:sz w:val="24"/>
          <w:szCs w:val="24"/>
        </w:rPr>
        <w:t xml:space="preserve">Writing assistance and use of generative AI: 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Author Contributions</w:t>
      </w:r>
    </w:p>
    <w:p>
      <w:pPr>
        <w:pStyle w:val="p1a"/>
        <w:spacing w:before="0" w:after="120" w:line="300" w:lineRule="auto"/>
        <w:jc w:val="both"/>
      </w:pPr>
      <w:r>
        <w:rPr>
          <w:rFonts w:ascii="Times New Roman" w:hAnsi="Times New Roman" w:cs="Times New Roman" w:eastAsia="Times New Roman"/>
          <w:sz w:val="24"/>
          <w:szCs w:val="24"/>
        </w:rPr>
        <w:t xml:space="preserve">Nguyen Thanh Binh: Conceptualization, Supervision, Validation, Writing – review &amp; editing. Nguyen Van Trung: Conceptualization, Data curation, Formal analysis, Investigation, Methodology, Software, Visualization, Writing – original draft, Writing – review &amp; editing. Ha Hong Hanh: Validation, Writing – review &amp; editing. Nguyen Bach Diep: Methodology, Formal analysis, Writing – original draft.</w:t>
      </w:r>
    </w:p>
    <w:p>
      <w:pPr>
        <w:pStyle w:val="heading1"/>
        <w:numPr>
          <w:ilvl w:val="0"/>
          <w:numId w:val="0"/>
        </w:numPr>
      </w:pPr>
      <w:r>
        <w:rPr>
          <w:rFonts w:ascii="Times New Roman" w:hAnsi="Times New Roman" w:cs="Times New Roman" w:eastAsia="Times New Roman"/>
          <w:b/>
          <w:sz w:val="24"/>
          <w:szCs w:val="24"/>
        </w:rPr>
        <w:t xml:space="preserve">Statements and Declarations</w:t>
      </w:r>
    </w:p>
    <w:p>
      <w:pPr>
        <w:pStyle w:val="heading20"/>
        <w:numPr>
          <w:ilvl w:val="0"/>
          <w:numId w:val="0"/>
        </w:numPr>
      </w:pPr>
      <w:r>
        <w:rPr>
          <w:rFonts w:ascii="Times New Roman" w:hAnsi="Times New Roman" w:cs="Times New Roman" w:eastAsia="Times New Roman"/>
          <w:b/>
          <w:sz w:val="24"/>
          <w:szCs w:val="24"/>
        </w:rPr>
        <w:t xml:space="preserve">Ethical considerations</w:t>
      </w:r>
    </w:p>
    <w:p>
      <w:pPr>
        <w:pStyle w:val="p1a"/>
        <w:spacing w:before="0" w:after="120" w:line="300" w:lineRule="auto"/>
        <w:jc w:val="both"/>
      </w:pPr>
      <w:r>
        <w:rPr>
          <w:rFonts w:ascii="Times New Roman" w:hAnsi="Times New Roman" w:cs="Times New Roman" w:eastAsia="Times New Roman"/>
          <w:sz w:val="24"/>
          <w:szCs w:val="24"/>
        </w:rPr>
        <w:t xml:space="preserve">Not applicable. The study uses only publicly available historical index prices and involves no human or animal participants.</w:t>
      </w:r>
    </w:p>
    <w:p>
      <w:pPr>
        <w:pStyle w:val="heading20"/>
        <w:numPr>
          <w:ilvl w:val="0"/>
          <w:numId w:val="0"/>
        </w:numPr>
      </w:pPr>
      <w:r>
        <w:rPr>
          <w:rFonts w:ascii="Times New Roman" w:hAnsi="Times New Roman" w:cs="Times New Roman" w:eastAsia="Times New Roman"/>
          <w:b/>
          <w:sz w:val="24"/>
          <w:szCs w:val="24"/>
        </w:rPr>
        <w:t xml:space="preserve">Consent to participate</w:t>
      </w:r>
    </w:p>
    <w:p>
      <w:pPr>
        <w:pStyle w:val="p1a"/>
        <w:spacing w:before="0" w:after="120" w:line="300" w:lineRule="auto"/>
        <w:jc w:val="both"/>
      </w:pPr>
      <w:r>
        <w:rPr>
          <w:rFonts w:ascii="Times New Roman" w:hAnsi="Times New Roman" w:cs="Times New Roman" w:eastAsia="Times New Roman"/>
          <w:sz w:val="24"/>
          <w:szCs w:val="24"/>
        </w:rPr>
        <w:t xml:space="preserve">Not applicable.</w:t>
      </w:r>
    </w:p>
    <w:p>
      <w:pPr>
        <w:pStyle w:val="heading20"/>
        <w:numPr>
          <w:ilvl w:val="0"/>
          <w:numId w:val="0"/>
        </w:numPr>
      </w:pPr>
      <w:r>
        <w:rPr>
          <w:rFonts w:ascii="Times New Roman" w:hAnsi="Times New Roman" w:cs="Times New Roman" w:eastAsia="Times New Roman"/>
          <w:b/>
          <w:sz w:val="24"/>
          <w:szCs w:val="24"/>
        </w:rPr>
        <w:t xml:space="preserve">Consent for publication</w:t>
      </w:r>
    </w:p>
    <w:p>
      <w:pPr>
        <w:pStyle w:val="p1a"/>
        <w:spacing w:before="0" w:after="120" w:line="300" w:lineRule="auto"/>
        <w:jc w:val="both"/>
      </w:pPr>
      <w:r>
        <w:rPr>
          <w:rFonts w:ascii="Times New Roman" w:hAnsi="Times New Roman" w:cs="Times New Roman" w:eastAsia="Times New Roman"/>
          <w:sz w:val="24"/>
          <w:szCs w:val="24"/>
        </w:rPr>
        <w:t xml:space="preserve">Not applicable.</w:t>
      </w:r>
    </w:p>
    <w:p>
      <w:pPr>
        <w:pStyle w:val="heading20"/>
        <w:numPr>
          <w:ilvl w:val="0"/>
          <w:numId w:val="0"/>
        </w:numPr>
      </w:pPr>
      <w:r>
        <w:rPr>
          <w:rFonts w:ascii="Times New Roman" w:hAnsi="Times New Roman" w:cs="Times New Roman" w:eastAsia="Times New Roman"/>
          <w:b/>
          <w:sz w:val="24"/>
          <w:szCs w:val="24"/>
        </w:rPr>
        <w:t xml:space="preserve">Declaration of conflicting interest</w:t>
      </w:r>
    </w:p>
    <w:p>
      <w:pPr>
        <w:pStyle w:val="p1a"/>
        <w:spacing w:before="0" w:after="120" w:line="300" w:lineRule="auto"/>
        <w:jc w:val="both"/>
      </w:pPr>
      <w:r>
        <w:rPr>
          <w:rFonts w:ascii="Times New Roman" w:hAnsi="Times New Roman" w:cs="Times New Roman" w:eastAsia="Times New Roman"/>
          <w:sz w:val="24"/>
          <w:szCs w:val="24"/>
        </w:rPr>
        <w:t xml:space="preserve">The author(s) declared no potential conflicts of interest with respect to the research, authorship, and/or publication of this article.</w:t>
      </w:r>
    </w:p>
    <w:p>
      <w:pPr>
        <w:pStyle w:val="heading20"/>
        <w:numPr>
          <w:ilvl w:val="0"/>
          <w:numId w:val="0"/>
        </w:numPr>
      </w:pPr>
      <w:r>
        <w:rPr>
          <w:rFonts w:ascii="Times New Roman" w:hAnsi="Times New Roman" w:cs="Times New Roman" w:eastAsia="Times New Roman"/>
          <w:b/>
          <w:sz w:val="24"/>
          <w:szCs w:val="24"/>
        </w:rPr>
        <w:t xml:space="preserve">Funding statement</w:t>
      </w:r>
    </w:p>
    <w:p>
      <w:pPr>
        <w:pStyle w:val="p1a"/>
        <w:spacing w:before="0" w:after="120" w:line="300" w:lineRule="auto"/>
        <w:jc w:val="both"/>
      </w:pPr>
      <w:r>
        <w:rPr>
          <w:rFonts w:ascii="Times New Roman" w:hAnsi="Times New Roman" w:cs="Times New Roman" w:eastAsia="Times New Roman"/>
          <w:sz w:val="24"/>
          <w:szCs w:val="24"/>
        </w:rPr>
        <w:t xml:space="preserve">The author(s) received no financial support for the research, authorship, and/or publication of this article.</w:t>
      </w:r>
    </w:p>
    <w:p>
      <w:pPr>
        <w:pStyle w:val="heading20"/>
        <w:numPr>
          <w:ilvl w:val="0"/>
          <w:numId w:val="0"/>
        </w:numPr>
      </w:pPr>
      <w:r>
        <w:rPr>
          <w:rFonts w:ascii="Times New Roman" w:hAnsi="Times New Roman" w:cs="Times New Roman" w:eastAsia="Times New Roman"/>
          <w:b/>
          <w:sz w:val="24"/>
          <w:szCs w:val="24"/>
        </w:rPr>
        <w:t xml:space="preserve">Data availability</w:t>
      </w:r>
    </w:p>
    <w:p>
      <w:pPr>
        <w:pStyle w:val="p1a"/>
        <w:spacing w:before="0" w:after="120" w:line="300" w:lineRule="auto"/>
        <w:jc w:val="both"/>
      </w:pP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 The R code that reproduces every table and figure, with a map from each reported number to its output file, is provided with the submission and will be deposited in a public repository upon acceptance.</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2026-10-13T07:04:18Z</dcterms:created>
  <dcterms:modified xsi:type="dcterms:W3CDTF">2026-10-13T07:04:18Z</dcterms:modified>
</cp:coreProperties>
</file>

<file path=docProps/custom.xml><?xml version="1.0" encoding="utf-8"?>
<Properties xmlns="http://schemas.openxmlformats.org/officeDocument/2006/custom-properties" xmlns:vt="http://schemas.openxmlformats.org/officeDocument/2006/docPropsVTypes"/>
</file>