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therefore,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therefore,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this problem; however,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this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the nested and purged coefficients is 0.099–0.104. Because κ hardly varies with the timescale (0.47–0.52), the Pearson version provides the same answer. Horizon dependence is confined to the auction bars of intraday broad-market pairs. Crisis evidence depends on whether contagion is measured by an adjusted correlation or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This evidence is contested: much of the post-inclusion rise also appears in matched stocks that were not added (Chen et al. 2016), and the S&amp;P 500 index effect has almost disappeared (Greenwood and Sammon 2025). Membership-based co-movement is therefore a weak guide, even where the indices do not overlap. Our concern is the arithmetic overlap, which raises correlations even if investors do not trade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the slow diffusion of industry information. Non-synchronous trading depresses short-horizon correlations (Epps 1979), an effect whose size depends on the sampling scheme (Chang et al. 2021), and gradual diffusion (Hong and Stein 1999) allows co-movement to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thus,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the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heteroscedasticity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index data. Multiscale studies of crises rarely use volatility-robust tests, and volatility-conditioned studies use one horizon and disjoint markets. To the best of our knowledge, no study has covered the Vietnamese index system at intraday and daily frequencies. We searched Google Scholar and publisher databases for 2021–2026, in addition to the classical sources cited in these works.</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is the sensitivity of the nested to the purged coefficient; and E3 is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1</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2</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3</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w:t>
      </w:r>
      <w:r>
        <w:rPr>
          <w:rFonts w:ascii="Times New Roman" w:hAnsi="Times New Roman" w:cs="Times New Roman" w:eastAsia="Times New Roman"/>
          <w:vertAlign w:val="subscript"/>
          <w:iCs/>
          <w:i/>
          <w:sz w:val="24"/>
          <w:szCs w:val="24"/>
        </w:rPr>
        <w:t xml:space="preserve">4</w:t>
      </w:r>
      <w:r>
        <w:rPr>
          <w:rFonts w:ascii="Times New Roman" w:hAnsi="Times New Roman" w:cs="Times New Roman" w:eastAsia="Times New Roman"/>
          <w:iCs/>
          <w:i/>
          <w:sz w:val="24"/>
          <w:szCs w:val="24"/>
        </w:rPr>
        <w:t xml:space="preserve"> </w:t>
      </w:r>
      <w:r>
        <w:rPr>
          <w:rFonts w:ascii="Times New Roman" w:hAnsi="Times New Roman" w:cs="Times New Roman" w:eastAsia="Times New Roman"/>
          <w:iCs/>
          <w:i/>
          <w:sz w:val="24"/>
          <w:szCs w:val="24"/>
        </w:rPr>
        <w:t xml:space="preserve">(value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therefore,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three chronological crisis episodes; dashed and dotted horizontal lines: 25th and 75th percentiles of rolling volatility. The 2021 and 2025 spikes are not shaded because their drawdowns are below 25% (Section 3.2). Source: Authors’ calculations based on the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the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therefore,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the VN30 and VN100 returns, respectively,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therefore,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therefore,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therefore, the overlap can only increase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requires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 drifts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the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heteroscedasticity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the coefficients at different scales come from the same series, all inference uses the stationary block bootstrap (Politis and Romano 1994) with mean blocks of approximately 20 trading days, recomputing every curve and statistic in each replicate. We use 499 replicates for the DCCA statistics in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95% percentile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increases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The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jointly resampling the full sample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for 2014–2022 and evaluate forecasts for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presents descriptive statistics and Table 3 presents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the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heteroscedasticity).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w:t>
      </w:r>
      <w:r>
        <w:rPr>
          <w:rFonts w:ascii="Times New Roman" w:hAnsi="Times New Roman" w:cs="Times New Roman" w:eastAsia="Times New Roman"/>
          <w:b/>
          <w:vertAlign w:val="subscript"/>
          <w:sz w:val="24"/>
          <w:szCs w:val="24"/>
        </w:rPr>
        <w:t xml:space="preserve">1</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4 compares the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w:t>
      </w:r>
      <w:r>
        <w:rPr>
          <w:rFonts w:ascii="Times New Roman" w:hAnsi="Times New Roman" w:cs="Times New Roman" w:eastAsia="Times New Roman"/>
          <w:vertAlign w:val="subscript"/>
          <w:sz w:val="24"/>
          <w:szCs w:val="24"/>
        </w:rPr>
        <w:t xml:space="preserve">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gray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the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and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approximately 0.09. Under weight uncertainty, the sensitivity interval is 0.07–0.17. With κ of 0.48–0.50, the remaining 32% of VN100 contributes approximately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is 0.895–0.900, because either factor alone produces a coefficient near 0.9. The Shapley split attributes 0.505–0.508 to overlap (intervals within 0.497–0.521). Weight uncertainty widens the Shapley intervals to 0.45–0.56 and the benchmark-first intervals to 0.83–0.95, against a sampling-only width of approximately 0.02; thus,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w:t>
      </w:r>
      <w:r>
        <w:rPr>
          <w:rFonts w:ascii="Times New Roman" w:hAnsi="Times New Roman" w:cs="Times New Roman" w:eastAsia="Times New Roman"/>
          <w:b/>
          <w:vertAlign w:val="subscript"/>
          <w:sz w:val="24"/>
          <w:szCs w:val="24"/>
        </w:rPr>
        <w:t xml:space="preserve">2</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6 lists the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w:t>
            </w:r>
            <w:r>
              <w:rPr>
                <w:vertAlign w:val="subscript"/>
                <w:sz w:val="20"/>
                <w:szCs w:val="20"/>
              </w:rPr>
              <w:t xml:space="preserve">2</w:t>
            </w:r>
            <w:r>
              <w:rPr>
                <w:sz w:val="20"/>
                <w:szCs w:val="20"/>
              </w:rPr>
              <w:t xml:space="preserve"> </w:t>
            </w:r>
            <w:r>
              <w:rPr>
                <w:sz w:val="20"/>
                <w:szCs w:val="20"/>
              </w:rPr>
              <w:t xml:space="preserve">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w:t>
      </w:r>
      <w:r>
        <w:rPr>
          <w:vertAlign w:val="subscript"/>
          <w:sz w:val="20"/>
          <w:szCs w:val="20"/>
        </w:rPr>
        <w:t xml:space="preserve">2</w:t>
      </w:r>
      <w:r>
        <w:rPr>
          <w:sz w:val="20"/>
          <w:szCs w:val="20"/>
        </w:rPr>
        <w:t xml:space="preserve"> </w:t>
      </w:r>
      <w:r>
        <w:rPr>
          <w:sz w:val="20"/>
          <w:szCs w:val="20"/>
        </w:rPr>
        <w:t xml:space="preserve">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family, four slopes survive the Holm adjustment, with estimates of 0.0019–0.0024, a rise of approximately 0.01 across the reliable range. None is significant at 1D or H4; with the significant positive slopes at both frequencies that the rule requires, H</w:t>
      </w:r>
      <w:r>
        <w:rPr>
          <w:rFonts w:ascii="Times New Roman" w:hAnsi="Times New Roman" w:cs="Times New Roman" w:eastAsia="Times New Roman"/>
          <w:vertAlign w:val="subscript"/>
          <w:sz w:val="24"/>
          <w:szCs w:val="24"/>
        </w:rPr>
        <w:t xml:space="preserve">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intraday results.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w:t>
      </w:r>
      <w:r>
        <w:rPr>
          <w:rFonts w:ascii="Times New Roman" w:hAnsi="Times New Roman" w:cs="Times New Roman" w:eastAsia="Times New Roman"/>
          <w:b/>
          <w:vertAlign w:val="subscript"/>
          <w:sz w:val="24"/>
          <w:szCs w:val="24"/>
        </w:rPr>
        <w:t xml:space="preserve">3</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7 presents the results of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increases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this.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w:t>
      </w:r>
      <w:r>
        <w:rPr>
          <w:rFonts w:ascii="Times New Roman" w:hAnsi="Times New Roman" w:cs="Times New Roman" w:eastAsia="Times New Roman"/>
          <w:vertAlign w:val="subscript"/>
          <w:sz w:val="24"/>
          <w:szCs w:val="24"/>
        </w:rPr>
        <w:t xml:space="preserve">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distinguish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w:t>
      </w:r>
      <w:r>
        <w:rPr>
          <w:rFonts w:ascii="Times New Roman" w:hAnsi="Times New Roman" w:cs="Times New Roman" w:eastAsia="Times New Roman"/>
          <w:b/>
          <w:vertAlign w:val="subscript"/>
          <w:sz w:val="24"/>
          <w:szCs w:val="24"/>
        </w:rPr>
        <w:t xml:space="preserve">4</w:t>
      </w:r>
      <w:r>
        <w:rPr>
          <w:rFonts w:ascii="Times New Roman" w:hAnsi="Times New Roman" w:cs="Times New Roman" w:eastAsia="Times New Roman"/>
          <w:b/>
          <w:sz w:val="24"/>
          <w:szCs w:val="24"/>
        </w:rPr>
        <w:t xml:space="preserve">)</w:t>
      </w:r>
    </w:p>
    <w:p>
      <w:pPr>
        <w:pStyle w:val="p1a"/>
        <w:spacing w:before="0" w:after="120" w:line="300" w:lineRule="auto"/>
        <w:jc w:val="both"/>
      </w:pPr>
      <w:r>
        <w:rPr>
          <w:rFonts w:ascii="Times New Roman" w:hAnsi="Times New Roman" w:cs="Times New Roman" w:eastAsia="Times New Roman"/>
          <w:sz w:val="24"/>
          <w:szCs w:val="24"/>
        </w:rPr>
        <w:t xml:space="preserve">Table 8 presents the in-sample misstatement and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w:t>
            </w:r>
            <w:r>
              <w:rPr>
                <w:vertAlign w:val="subscript"/>
                <w:iCs/>
                <w:i/>
                <w:sz w:val="20"/>
                <w:szCs w:val="20"/>
              </w:rPr>
              <w:t xml:space="preserve">4</w:t>
            </w:r>
            <w:r>
              <w:rPr>
                <w:iCs/>
                <w:i/>
                <w:sz w:val="20"/>
                <w:szCs w:val="20"/>
              </w:rPr>
              <w:t xml:space="preserve">)</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a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the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w:t>
      </w:r>
      <w:r>
        <w:rPr>
          <w:rFonts w:ascii="Times New Roman" w:hAnsi="Times New Roman" w:cs="Times New Roman" w:eastAsia="Times New Roman"/>
          <w:vertAlign w:val="subscript"/>
          <w:sz w:val="24"/>
          <w:szCs w:val="24"/>
        </w:rPr>
        <w:t xml:space="preserve">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changed the conclusions. DMCA (Kristoufek 2014) satisfies the same identity, so it checks only the detrending, giving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the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w:t>
            </w:r>
            <w:r>
              <w:rPr>
                <w:vertAlign w:val="subscript"/>
                <w:sz w:val="20"/>
                <w:szCs w:val="20"/>
              </w:rPr>
              <w:t xml:space="preserve">1</w:t>
            </w:r>
            <w:r>
              <w:rPr>
                <w:sz w:val="20"/>
                <w:szCs w:val="20"/>
              </w:rPr>
              <w:t xml:space="preserve"> </w:t>
            </w:r>
            <w:r>
              <w:rPr>
                <w:sz w:val="20"/>
                <w:szCs w:val="20"/>
              </w:rPr>
              <w:t xml:space="preserve">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w:t>
            </w:r>
            <w:r>
              <w:rPr>
                <w:vertAlign w:val="subscript"/>
                <w:sz w:val="20"/>
                <w:szCs w:val="20"/>
              </w:rPr>
              <w:t xml:space="preserve">2</w:t>
            </w:r>
            <w:r>
              <w:rPr>
                <w:sz w:val="20"/>
                <w:szCs w:val="20"/>
              </w:rPr>
              <w:t xml:space="preserve"> </w:t>
            </w:r>
            <w:r>
              <w:rPr>
                <w:sz w:val="20"/>
                <w:szCs w:val="20"/>
              </w:rPr>
              <w:t xml:space="preserve">Horizon dependence</w:t>
            </w:r>
          </w:p>
        </w:tc>
        <w:tc>
          <w:tcPr>
            <w:tcW w:w="1793" w:type="dxa"/>
          </w:tcPr>
          <w:p>
            <w:pPr>
              <w:spacing w:before="0" w:after="0" w:line="240" w:lineRule="auto"/>
              <w:jc w:val="left"/>
            </w:pPr>
            <w:r>
              <w:rPr>
                <w:sz w:val="20"/>
                <w:szCs w:val="20"/>
              </w:rPr>
              <w:t xml:space="preserve">Studentized slopes; Holm (H</w:t>
            </w:r>
            <w:r>
              <w:rPr>
                <w:vertAlign w:val="subscript"/>
                <w:sz w:val="20"/>
                <w:szCs w:val="20"/>
              </w:rPr>
              <w:t xml:space="preserve">2</w:t>
            </w:r>
            <w:r>
              <w:rPr>
                <w:sz w:val="20"/>
                <w:szCs w:val="20"/>
              </w:rPr>
              <w:t xml:space="preserve"> </w:t>
            </w:r>
            <w:r>
              <w:rPr>
                <w:sz w:val="20"/>
                <w:szCs w:val="20"/>
              </w:rPr>
              <w:t xml:space="preserve">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w:t>
            </w:r>
            <w:r>
              <w:rPr>
                <w:vertAlign w:val="subscript"/>
                <w:sz w:val="20"/>
                <w:szCs w:val="20"/>
              </w:rPr>
              <w:t xml:space="preserve">3</w:t>
            </w:r>
            <w:r>
              <w:rPr>
                <w:sz w:val="20"/>
                <w:szCs w:val="20"/>
              </w:rPr>
              <w:t xml:space="preserve"> </w:t>
            </w:r>
            <w:r>
              <w:rPr>
                <w:sz w:val="20"/>
                <w:szCs w:val="20"/>
              </w:rPr>
              <w:t xml:space="preserve">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w:t>
            </w:r>
            <w:r>
              <w:rPr>
                <w:vertAlign w:val="subscript"/>
                <w:sz w:val="20"/>
                <w:szCs w:val="20"/>
              </w:rPr>
              <w:t xml:space="preserve">4</w:t>
            </w:r>
            <w:r>
              <w:rPr>
                <w:sz w:val="20"/>
                <w:szCs w:val="20"/>
              </w:rPr>
              <w:t xml:space="preserve"> </w:t>
            </w:r>
            <w:r>
              <w:rPr>
                <w:sz w:val="20"/>
                <w:szCs w:val="20"/>
              </w:rPr>
              <w:t xml:space="preserve">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w:t>
      </w:r>
      <w:r>
        <w:rPr>
          <w:vertAlign w:val="subscript"/>
          <w:sz w:val="20"/>
          <w:szCs w:val="20"/>
        </w:rPr>
        <w:t xml:space="preserve">1</w:t>
      </w:r>
      <w:r>
        <w:rPr>
          <w:sz w:val="20"/>
          <w:szCs w:val="20"/>
        </w:rPr>
        <w:t xml:space="preserve">–H</w:t>
      </w:r>
      <w:r>
        <w:rPr>
          <w:vertAlign w:val="subscript"/>
          <w:sz w:val="20"/>
          <w:szCs w:val="20"/>
        </w:rPr>
        <w:t xml:space="preserve">4</w:t>
      </w:r>
      <w:r>
        <w:rPr>
          <w:sz w:val="20"/>
          <w:szCs w:val="20"/>
        </w:rPr>
        <w:t xml:space="preserve"> </w:t>
      </w:r>
      <w:r>
        <w:rPr>
          <w:sz w:val="20"/>
          <w:szCs w:val="20"/>
        </w:rPr>
        <w:t xml:space="preserve">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Because a child’s variation enters every covariance and both standard deviations of a nested pair, Lemma 1 pins the coefficient near a benchmark set by the weight and relative amplitude. With VN30 at 68% of VN100, the benchmark is near 0.90 and the bound near 0.87, so the observed 0.99 says little about how mid caps move with large caps.</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that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at intraday frequencies, the lead is symmetric (Table S9). The auction-bar horizon dependence of broad-market pairs fits the Epps (1979) effect for small, less liquid stocks (Chen et al. 2021; Tran and Tran 2025). The higher loading on high-volatility days has several candidate sources that our data cannot rank: herding (Nguyen et al. 2023) and sector connectedness (Bui et al. 2022), limit hits under the ±7% band, margin calls, and foreign flows into large caps.</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Box 1 decomposes nested correlations from published series and the index weight. Its key outputs are the purged coefficient and the sensitivity, whose inverse of about 10 shows how ill-conditioned the index-level number is.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The case for regime-conditioned tier correlations is not supported: their in-sample gain is mostly within sampling error and vanishes out of sample.</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therefore,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therefore,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2026-10-13T07:04:19Z</dcterms:created>
  <dcterms:modified xsi:type="dcterms:W3CDTF">2026-10-13T07:04:19Z</dcterms:modified>
</cp:coreProperties>
</file>

<file path=docProps/custom.xml><?xml version="1.0" encoding="utf-8"?>
<Properties xmlns="http://schemas.openxmlformats.org/officeDocument/2006/custom-properties" xmlns:vt="http://schemas.openxmlformats.org/officeDocument/2006/docPropsVTypes"/>
</file>