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Horizon dependence is confined to broad-market pairs at intraday frequencies,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summary of dependence. They are available at every frequency, require no holdings data and are easy to compare across markets, so they are a natural input when the question is how much one segment of a market diversifies another (Markowitz 1952). In nested index systems the number has a problem that has nothing to do with estimation error: the parent index contains the child index, so part of their correlation is fixed by construction. On the Ho Chi Minh City Stock Exchange (HOSE), the large-cap VN30 index is contained in VN100,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hold about two-thirds of the free-float capitalization of VN100, the correlation between VN30 and VN100 returns is close to one (0.988 at the daily frequency). If such a number is read as a measure of how mid caps move with large caps, it mixes two things: the economic linkage between the tiers and the fact that VN30 stocks are counted on both sides. Holdings-based risk models avoid the problem because they work with constituents. Users who observe only index levels, or who compare benchmarks across frequencies, cannot, and the co-movement literature shows that index-level co-movement is easy to misread even without overlap (Chen et al. 2016).</w:t>
      </w:r>
    </w:p>
    <w:p>
      <w:pPr>
        <w:pStyle w:val="BodyText"/>
        <w:spacing w:before="0" w:after="120" w:line="300" w:lineRule="auto"/>
        <w:jc w:val="both"/>
      </w:pPr>
      <w:r>
        <w:rPr>
          <w:rFonts w:ascii="Times New Roman" w:hAnsi="Times New Roman" w:cs="Times New Roman" w:eastAsia="Times New Roman"/>
          <w:sz w:val="24"/>
          <w:szCs w:val="24"/>
        </w:rPr>
        <w:t xml:space="preserve">The arithmetic behind the problem is old. Pearson (1897) described the spurious correlation between quantities that share a component, and the psychometric item–total correlation (Cureton 1966) is the same identity applied to a score and one of its items. What has been missing is a version that works for the scale-dependent, detrended coefficients now common in financial econophysics, that attaches sampling and weight uncertainty to each component, and that index users can apply. Studies of multiscale co-movement, which rely mostly on detrended cross-correlation analysis (DCCA), analyze pairs of assets that share no constituents (Section 2), so they do not address the question.</w:t>
      </w:r>
    </w:p>
    <w:p>
      <w:pPr>
        <w:pStyle w:val="BodyText"/>
        <w:spacing w:before="0" w:after="120" w:line="300" w:lineRule="auto"/>
        <w:jc w:val="both"/>
      </w:pPr>
      <w:r>
        <w:rPr>
          <w:rFonts w:ascii="Times New Roman" w:hAnsi="Times New Roman" w:cs="Times New Roman" w:eastAsia="Times New Roman"/>
          <w:sz w:val="24"/>
          <w:szCs w:val="24"/>
        </w:rPr>
        <w:t xml:space="preserve">This paper builds that version. Writing the parent index return as a weighted sum of the child return and the return on the remaining constituents, we show (Lemma 1) that the DCCA coefficient of a nested pair is, at every timescale, a known function of the child’s weight, the relative amplitude κ(s) of the remaining constituents and the overlap-purged coefficient between the child and those constituents. The function delivers four quantities: a zero-correlation benchmark, the value the nested coefficient takes when the purged coefficient is zero; an exact lower bound over all purged coefficients; the sensitivity of the nested coefficient to the purged one; and an attribution that does not depend on the order in which overlap and economic dependence are switched on. The Pearson identity is the one-box special case.</w:t>
      </w:r>
    </w:p>
    <w:p>
      <w:pPr>
        <w:pStyle w:val="BodyText"/>
        <w:spacing w:before="0" w:after="120" w:line="300" w:lineRule="auto"/>
        <w:jc w:val="both"/>
      </w:pPr>
      <w:r>
        <w:rPr>
          <w:rFonts w:ascii="Times New Roman" w:hAnsi="Times New Roman" w:cs="Times New Roman" w:eastAsia="Times New Roman"/>
          <w:sz w:val="24"/>
          <w:szCs w:val="24"/>
        </w:rPr>
        <w:t xml:space="preserve">We apply the decomposition to VN30, VN100 and VNINDEX at 30-minute, 1-hour, 4-hour and daily frequencies from 2014 to 2025, with inference from a stationary block bootstrap that also draws the index weight. The purged series then serves to test three economic hypotheses, on horizon dependence between tiers, crisis contagion and the out-of-sample value of regime-conditioned correlations, each with a decision rule stated in Section 2.7.</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carries the part–whole identity to scale-wise detrended coefficients and derives the benchmark, the lower bound, the sensitivity, a Shapley attribution and the analytic condition under which the benchmark exceeds half of the nested coefficient. A six-step recipe (Box 1) and a contour chart (Fig. 4) make these quantities available for any nested pair from published index data. Second, it measures the overlap component on the HOSE with inference: the nested VN30–VN100 coefficient responds to the purged coefficient with a slope of 0.106–0.112, so a change of 0.1 in the purged coefficient moves the nested one by about 0.01, and the like-for-like gap between nested and purged coefficients is 0.099–0.104. The decomposition hardly varies with the timescale (κ between 0.47 and 0.52 across all reliable scales and frequencies), so in these data the multiscale layer confirms rather than changes the Pearson answer. Third, it tests economic hypotheses on the purged series: horizon dependence appears only for broad-market pairs at intraday frequencies, crisis evidence depends on whether contagion is measured by an adjusted correlation or by a factor loading, and regime-conditioned correlations do not beat a static correlation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develops the estimands and hypotheses. Section 3 describes the institutional setting and the data, Section 4 the methodology, and Section 5 the results. Section 6 discusses mechanisms, implications, transferability and limitations, and Section 7 concludes. The Supplementary Material (Online Resource 2) contains further robustness checks.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our question: the statistics of correlations between a whole and its parts, multiscale dependence measured by detrended cross-correlation, the effect of index membership on co-movement, lead–lag effects between size tiers, and the separation of contagion from volatility-driven interdependence. We review each for what it establishes, where studies disagree and what it leaves open, and then state the gap, the estimands and the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The problem of correlating a whole with one of its parts is old. Pearson (1897) showed that two ratios sharing a common denominator are correlated even when their numerators are independent, and called the result a spurious correlation. In psychometrics the same arithmetic appears as the item–total correlation: an item is part of the total score, so its correlation with the total overstates its correlation with the other items, and Cureton (1966) gave the correction that removes the item from the total. Both results are static and use Pearson moments. They imply that the correlation of a parent index with a child index it contains has a component fixed by construction, but neither literature measures that component at different timescales or attaches sampling uncertainty to it.</w:t>
      </w:r>
    </w:p>
    <w:p>
      <w:pPr>
        <w:pStyle w:val="BodyText"/>
        <w:spacing w:before="0" w:after="120" w:line="300" w:lineRule="auto"/>
        <w:jc w:val="both"/>
      </w:pPr>
      <w:r>
        <w:rPr>
          <w:rFonts w:ascii="Times New Roman" w:hAnsi="Times New Roman" w:cs="Times New Roman" w:eastAsia="Times New Roman"/>
          <w:sz w:val="24"/>
          <w:szCs w:val="24"/>
        </w:rPr>
        <w:t xml:space="preserve">Finance deals with overlap mainly through holdings. Active Share measures the fraction of a fund’s portfolio that differs from its benchmark holdings (Cremers and Petajisto 2009), and holdings-based factor risk models estimate exposures from constituents, so neither depends on index-level return correlations. Studies of index membership control for overlap by constructing comparison portfolios from stocks outside the index (Barberis et al. 2005). What is missing is the return-based counterpart for users who observe only index levels: a way to tell, from the published series and the index weights, how much of a nested correlation reflects shared constituents.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variants disagree on one technical point: MF-DCCA must handle negative local covariances, and Oświęcimka et al. (2014) show that taking their absolute values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can vary with the horizon. Stock–bond correlations differ across horizons (Al Rababa’a et al. 2021), and cross-market correlations between China and the United States vary with scale and fluctuation size (Ge and Lin 2021; Chen et al. 2024). Two strands use the coefficient for decisions. One measures crisis transmission: Okorie and Lin (2021) find fractal contagion among 32 stock markets during COVID-19 that fades in the medium and long run, and Tilfani et al. (2021) track contagion with the coefficient in sliding windows. The other builds portfolios: a mean-MF-X-DMA rule outperforms the mean-variance model (Wang et al. 2021), and mean-DCCA portfolios perform better when the investor’s preferred scale adapts to market conditions (Kakinaka et al. 2025). Combining MF-DCCA with transfer entropy adds the direction of information flow (Zhou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read the DCCA coefficient as a measure of economic dependence. That reading is reasonable for disjoint assets such as stocks and bonds or two national markets. It is not reasonable when one series contains the other, because the detrended covariance then inherits the part–whole arithmetic of Section 2.1 at every scale. None of the studies above analyzes nested pairs.</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asks whether index membership changes how stocks co-move. Barberis et al. (2005) find that stocks added to the S&amp;P 500 co-move more with the index afterwards and attribute the change to trading frictions and investor habitats. Greenwood (2008) uses the price weighting of the Nikkei 225 to show that stocks with larger index weights co-move more with other index stocks, which points to index-linked demand. Later designs sharpen the evidence: DeCoste (2025) uses a regression discontinuity around the S&amp;P 500 membership threshold and finds higher co-movement with no change in fundamentals, and Liao et al. (2022) attribute part of it to index trackers and beta arbitrageurs.</w:t>
      </w:r>
    </w:p>
    <w:p>
      <w:pPr>
        <w:pStyle w:val="BodyText"/>
        <w:spacing w:before="0" w:after="120" w:line="300" w:lineRule="auto"/>
        <w:jc w:val="both"/>
      </w:pPr>
      <w:r>
        <w:rPr>
          <w:rFonts w:ascii="Times New Roman" w:hAnsi="Times New Roman" w:cs="Times New Roman" w:eastAsia="Times New Roman"/>
          <w:sz w:val="24"/>
          <w:szCs w:val="24"/>
        </w:rPr>
        <w:t xml:space="preserve">The evidence is contested. Chen et al. (2016) show that much of the post-inclusion rise in co-movement also appears in matched stocks that were not added, so it need not reflect membership, and Greenwood and Sammon (2025) document that the price effect of S&amp;P 500 additions has almost disappeared. The lesson for our purpose is that co-movement measured at the index level is easy to misread. This literature concerns behavior; our concern is the arithmetic overlap between indices, which raises their correlation even if no investor trades differently because of membership.</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Returns on large stocks lead returns on small stocks: Lo and MacKinlay (1990) show that the cross-autocorrelation from large to small firms is much stronger than the reverse, and Hou (2007) traces the effect to slow diffusion of industry information to small firms. Non-synchronous trading also depresses correlations at short horizons (Epps 1979), and the size of this Epps effect depends on how prices are sampled (Chang et al. 2021). Gradual information diffusion (Hong and Stein 1999) can make co-movement build up with the horizon. Together these mechanisms predict that correlations between pairs whose constituents adjust at different speeds rise with the horizon, and that the large-cap tier leads.</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these frictions are present on the Ho Chi Minh City Stock Exchange (HOSE). Liquidity fell after the introduction of a market surveillance system, especially for small firms (Chen et al. 2021), and price adjustment is delayed under retail-heavy trading (Tran and Tran 2025). The same market shows herding during stress (Nguyen et al. 2023), sector connectedness above 60% that rose to about 90% during COVID-19 (Bui et al. 2022) and nonlinear dependence on regional markets (Le et al. 2025). High connectedness and herding raise all correlations at once, which makes index-level numbers harder to interpret as evidence about the tiers.</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Forbes and Rigobon (2002) show that unadjusted correlations rise mechanically with the variance of the conditioning market, so a crisis increase may reflect interdependence rather than contagion. Their correction has known limits. Corsetti et al. (2005) show that it is biased toward finding no contagion when crises bring common shocks, because the correction assumes that idiosyncratic variance does not change, and they propose testing for a change in the factor loading instead. Rigobon (2003) uses the change in variance across regimes to identify the transmission coefficient, which requires the structural parameters to stay constant.</w:t>
      </w:r>
    </w:p>
    <w:p>
      <w:pPr>
        <w:pStyle w:val="BodyText"/>
        <w:spacing w:before="0" w:after="120" w:line="300" w:lineRule="auto"/>
        <w:jc w:val="both"/>
      </w:pPr>
      <w:r>
        <w:rPr>
          <w:rFonts w:ascii="Times New Roman" w:hAnsi="Times New Roman" w:cs="Times New Roman" w:eastAsia="Times New Roman"/>
          <w:sz w:val="24"/>
          <w:szCs w:val="24"/>
        </w:rPr>
        <w:t xml:space="preserve">The COVID-19 literature shows how much the conclusion depends on these choices. Studies without the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finds no contagion between two crude-oil benchmarks that were already highly interdependent, but contagion between crude oil and precious metals (Santana et al. 2023). In ASEAN markets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common-shock bias</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the part–whole identity is known for static Pearson correlations, but it has not been carried to detrended, scale-by-scale coefficients, given inference that accounts for uncertainty in the index weight, or turned into a diagnostic that index users can compute from published series. Second, multiscale studies of crisis transmission rarely apply volatility-robust tests, while volatility-conditioned studies use one horizon and disjoint markets. Third, to our knowledge no study covers the Vietnamese index system at intraday and daily frequencies. Our search covered Google Scholar and publisher databases for 2021–2026, plus the classical sources these works cite, with the strings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combined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several quantities once the index weight and the relative amplitude are known. We therefore separate estimands, which we report with intervals but do not test, from hypotheses, whose outcome the identity does not determine.</w:t>
      </w:r>
    </w:p>
    <w:p>
      <w:pPr>
        <w:pStyle w:val="BodyText"/>
        <w:spacing w:before="0" w:after="120" w:line="300" w:lineRule="auto"/>
        <w:jc w:val="both"/>
      </w:pPr>
      <w:r>
        <w:rPr>
          <w:rFonts w:ascii="Times New Roman" w:hAnsi="Times New Roman" w:cs="Times New Roman" w:eastAsia="Times New Roman"/>
          <w:iCs/>
          <w:i/>
          <w:sz w:val="24"/>
          <w:szCs w:val="24"/>
        </w:rPr>
        <w:t xml:space="preserve">Estimands.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E1 is the zero-correlation benchmark ρ̲ of the VN30–VN100 coefficient and its share of the observed coefficient under three attribution conventions. E2 is the sensitivity of the nested coefficient to the purged coefficient. E3 is the in-sample misstatement of portfolio variance when a static correlation replaces a regime correlation, reported against the sampling error of the regime variance. A share above one half is not a finding: it holds whenever κ &lt; √3 and the purged coefficient is non-negative (Section 4.2).</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size of the overlap gap depends on the purged coefficient, which the identity does not fix: a purged coefficient close to one would leave almost no gap. We predict that the like-for-like gap, the VN30–VN100 coefficient minus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coefficient, exceeds 0.05, the worst-case estimation error tolerated in Section 4.4. Decision rule: the lower bound of the 95% bootstrap interval exceeds 0.05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Large-cap returns lead small-cap returns (Lo and MacKinlay 1990; Hou 2007), non-synchronous trading depresses short-horizon correlations (Epps 1979), and information diffuses gradually (Hong and Stein 1999). These mechanisms predict DCCA coefficients that rise with the timescale for broad-market pairs, whose parent contains small and less liquid stocks. For VN30–VN100 the identity predicts a slope damped by the sensitivity of Eq. (10). Decision rule: in the family of eight broad-market slope tests (two pairs, four frequencies), at least one pair at each intraday frequency has a positive slope with a Holm-adjusted studentized p-value below 0.05; the VN30–VN100 prediction is assessed by an equivalence test.</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rise in the raw crisis correlation between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can come from higher volatility alone (Forbes and Rigobon 2002), and the volatility correction is itself biased toward no contagion when crises raise idiosyncratic variance (Corsetti et al. 2005). We predict contagion in the strict sense. Decision rule: under regimes sorted on VN30 volatility, both the Forbes–Rigobon adjusted correlation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If correlations between tiers vary with the volatility regime, conditioning on the regime should improve variance forecasts for a mixed large-cap and mid-cap position. Decision rule: an EWMA or a real-time regime correlation has a lower QLIKE loss than the static correlation over 2023–2025, with a Diebold–Mariano p-value below 0.05.</w:t>
      </w:r>
    </w:p>
    <w:p>
      <w:pPr>
        <w:pStyle w:val="BodyText"/>
        <w:spacing w:before="0" w:after="120" w:line="300" w:lineRule="auto"/>
        <w:jc w:val="both"/>
      </w:pPr>
      <w:r>
        <w:rPr>
          <w:rFonts w:ascii="Times New Roman" w:hAnsi="Times New Roman" w:cs="Times New Roman" w:eastAsia="Times New Roman"/>
          <w:sz w:val="24"/>
          <w:szCs w:val="24"/>
        </w:rPr>
        <w:t xml:space="preserve">The first-round version of this paper reported five hypotheses with unadjusted tests. The decision rules above, the eight-test family for H2 and the factor-loading test for H3 were fixed at revision, after the first-round results were known. We label them accordingly and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supervised by the State Securities Commission of Vietnam. Five features of its microstructure matter for cross-tier dependence. First, prices move within a daily band of ±7% around the reference price; in sharp corrections heavily sold stocks reach the lower limit, where trading dries up, which truncates return tails and can synchronize limit hits across constituents. Second, settlement moved from T+3 to T+2 on 1 January 2016, so shares bought cannot be resold for about two business days, which limits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trading day has a morning session with an opening call auction (09:00–09:15) and continuous matching to 11:30, a midday break from 11:30 to 13:00, and an afternoon session of continuous matching followed by a closing call auction (14:30–14:45). The vendor’s intraday bars follow this calendar: M30 bars open at 09:00, 09:30, 10:00, 10:30, 11:00, 11:30, 13:00, 13:30, 14:00, 14:30; H1 bars at 09:00, 10:00, 11:00, 13:00, 14:00; and the two H4 bars cover the morning and the afternoon session. The first bar of each day therefore contains the overnight return and the opening auction.</w:t>
      </w:r>
    </w:p>
    <w:p>
      <w:pPr>
        <w:pStyle w:val="BodyText"/>
        <w:spacing w:before="0" w:after="120" w:line="300" w:lineRule="auto"/>
        <w:jc w:val="both"/>
      </w:pPr>
      <w:r>
        <w:rPr>
          <w:rFonts w:ascii="Times New Roman" w:hAnsi="Times New Roman" w:cs="Times New Roman" w:eastAsia="Times New Roman"/>
          <w:sz w:val="24"/>
          <w:szCs w:val="24"/>
        </w:rPr>
        <w:t xml:space="preserve">Fourth, short selling is restricted. Circular 120/2020/TT-BTC (Ministry of Finance of Vietnam 2020) provides a legal framework for covered short sales of borrowed securities, but to our knowledge the mechanism had not been put into operation during the sample, and naked short selling is not permitted. Decree 155/2020/ND-CP (Government of Vietnam 2020), the main implementing decree of the Law on Securities, was amended by Decree 245/2025/ND-CP of 11 September 2025 (Government of Vietnam 2025). VN30 index futures trade on the Hanoi Stock Exchange; there is no mid-cap future. A mid-cap exchange-traded fund tracking VNMIDCAP (FUEDCMID) has been listed on the HOSE since 29 September 2022, so the mid-cap tier can be held long but not shorted or hedged with a dedicated derivative.</w:t>
      </w:r>
    </w:p>
    <w:p>
      <w:pPr>
        <w:pStyle w:val="BodyText"/>
        <w:spacing w:before="0" w:after="120" w:line="300" w:lineRule="auto"/>
        <w:jc w:val="both"/>
      </w:pPr>
      <w:r>
        <w:rPr>
          <w:rFonts w:ascii="Times New Roman" w:hAnsi="Times New Roman" w:cs="Times New Roman" w:eastAsia="Times New Roman"/>
          <w:sz w:val="24"/>
          <w:szCs w:val="24"/>
        </w:rPr>
        <w:t xml:space="preserve">Fifth, foreign ownership limits cap the share of many listed firms that foreign investors may hold, for example 30% for commercial banks, so foreign flows concentrate in the large caps that have room under their limits. FTSE Russell announced in October 2025 that Vietnam will be reclassified from Frontier to Secondary Emerging status from 21 September 2026 (FTSE Russell 2025). The reclassification falls after our sample but may change the weight and relative volatility of the tiers, and therefore the decomposition.</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index levels of VN30, VN100 and VNINDEX exported from TradingView (exchange code HOSE). VN30 contains the 30 largest and most liquid stocks screened by free-float capitalization; VN100 adds the next 70 stocks, which form the VNMIDCAP index; and VNINDEX covers all common stocks listed on the HOSE, weighted by full market capitalization. Daily and 30-minute series run to 12 December 2025; the 1-hour and 4-hour series available from the vendor end on 9 December 2024. The vendor does not provide a VNMIDCAP history for the full sample at all frequencies, so the mid-cap segment is recovered from VN30 and VN100 (Section 4.2). The HOSE publishes daily closing levels of all three indices on its website; we did not compare them with the vendor series date by date, and the replication package records a checksum of the input file.</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 The series are official index levels computed in real time, not indices back-calculated from current membership lists, so constituent reviews, delistings and free-float adjustments are embedded in the return paths and the sample is free of survivorship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Volatility regimes use the 20-day rolling standard deviation of returns (Fig. 1). The chronological definition selects crisis episodes with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539 trading days in all; the calm benchmark comprises 2016–2017 and 2023–2024 (1,000 days). The volatility spikes of 2021 (drawdown 14.3%, 32% of days in the top quartile) and of March–June 2025 (18.1%, 30%) fail the first two conditions and are not shaded. The quartile definitions sort all days by the rolling volatility of VNINDEX (25th and 75th percentiles at 10.6% and 20.0% annualized) or of VN30, and compare the bottom and top quartiles; they include the unshaded episodes.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the inner product of the stacked residual vectors divided by the product of their norms, so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at every s whenever both fluctuation functions are positive. Two properties are used below: the profile is linear in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(VN30 and VN100 free-float capitalizations of VND 1,316,288 billion and VND 1,928,303 billion). By construction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Because the relation is applied to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would require a long position of about 315% in VN100 and a short position of about 215% in VN30, which the short-sale rules rule out. We call the coefficient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between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overlap-purged coefficient. Calling it economic would require a validation against the published VNMIDCAP series, which our data source does not provide (Section 6.4).</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correlation between a total and one of its parts (Pearson 1897; Cureton 1966). The lemma is therefore an adaptation, not a new identity; what it adds is that the identity holds scale by scale for detrended coefficients, for the detrending moving-average coefficient (Kristoufek 2014) and for any dependence measure built from a bilinear covariance of linearly filtered series. Five corollaries follow, all for a fixed scale s, which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(zero-correlation benchmark and lower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is increasing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for κ &lt; 1, the minimum of Eq. (7) 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lower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derivative of Eq. (7) with respect to the purged coefficient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the purged coefficient must move to change the nested one 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 with equality only at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(when the benchmark dominates).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the nested coefficient whenever κ &lt; √3, that is, whenever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A share above one half is thus guaranteed for most nested systems and carries no information.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overlap and dependence be switched on separately. With neither, the coefficient is 0; with overlap only, it is ρ̲; with dependence only, it is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with both, it is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answer counterfactual questions and depend on the order. The Shapley (1953) value averages the two orders and gives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report the sensitivity first, because it does not depend on any attribution convention, and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the order-free attribution. Eq. (7) is an identity, not an estimated relation; we verify that it reproduces the directly estimated VN30–VN100 coefficient at every scale and frequency to within 4.4 × 10⁻¹⁶. Each quantity is computed on each scale of the reliable range (Section 4.4) and averaged over that range.</w:t>
      </w:r>
    </w:p>
    <w:p>
      <w:pPr>
        <w:pStyle w:val="BodyText"/>
        <w:spacing w:before="0" w:after="120" w:line="300" w:lineRule="auto"/>
        <w:jc w:val="both"/>
      </w:pPr>
      <w:r>
        <w:rPr>
          <w:rFonts w:ascii="Times New Roman" w:hAnsi="Times New Roman" w:cs="Times New Roman" w:eastAsia="Times New Roman"/>
          <w:sz w:val="24"/>
          <w:szCs w:val="24"/>
        </w:rPr>
        <w:t xml:space="preserve">Box 1 shows that the decomposition needs only index-level inputs. Because M is a linear combination of A and B, its volatility and its correlation with A follow from w, the two index volatilities and their correlation, so a user can compute the benchmark, the bound, the purged coefficient and the sensitivity without constituent data. The worked example uses full-sample Pearson moments of daily returns.</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when the weight is exact. We could obtain only one factsheet snapshot of free-float weights, so we cannot reconstruct the weight path. Instead we treat w as uncertain: in each bootstrap replicate we draw w from a uniform distribution on [0.60, 0.75], an interval that contains the factsheet weight with room for drift in either direction, recompute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recompute every quantity. We report these intervals next to the fixed-weight intervals, and Table S2 evaluates each quantity on a grid of weights. The benchmark and the sensitivity depend on the data only through κ, so they are less exposed to weight error than the level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the grid and the tolerance were fixed before the empirical analysis. Because returns are heavy-tailed and volatility-clustered, we repeat the calibration with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as independent observations would overstate precision. All inference therefore resamples the data with the stationary block bootstrap (Politis and Romano 1994), with a mean block length of about 20 trading days (20 days times the number of bars per day at intraday frequencies). Each replicate redraws the joint return series and recomputes every DCCA curve and derived statistic. We use 499 replications for DCCA statistics, 999 for the factor-model, lead–lag and materiality statistics and 1,999 for Pearson regime statistics. Intervals are percentile 95% intervals, capped at ±1 where the statistic is a correlation. Bootstrap p-values invert the percentile interval, p = 2 min{k₋ + 1, k₊ + 1}/(B + 1), where k₋ and k₊ count replicates at or below and at or above zero; with B = 499 the smallest attainable value is 0.004, which we report as p &lt; 0.005.</w:t>
      </w:r>
    </w:p>
    <w:p>
      <w:pPr>
        <w:pStyle w:val="BodyText"/>
        <w:spacing w:before="0" w:after="120" w:line="300" w:lineRule="auto"/>
        <w:jc w:val="both"/>
      </w:pPr>
      <w:r>
        <w:rPr>
          <w:rFonts w:ascii="Times New Roman" w:hAnsi="Times New Roman" w:cs="Times New Roman" w:eastAsia="Times New Roman"/>
          <w:sz w:val="24"/>
          <w:szCs w:val="24"/>
        </w:rPr>
        <w:t xml:space="preserve">That resolution limits multiplicity adjustment: with 19 tests, the smallest Holm-adjusted p-value attainable from 499 replications is 0.076. For the slope tests we therefore also report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where 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bootstrap standard error, and adjust them with the Holm (1979) and Benjamini and Hochberg (1995) procedures in two families: the original 19 reliable-range slope tests, and the eight broad-market tests that H2 concerns. The VN30–VN100 prediction is tested by two one-sided tests (TOST; Schuirmann 1987) with an equivalence margin of 0.001 per unit of ln s; over the reliable range, about 4.5 units of ln s at M30, such a slope moves the coefficient by less than one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To measure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in the Supplementary Material, over 30 log-spaced scales between 5 bars and one quarter of the sample. A positive β indicates that co-movement builds up with the horizon. For the nested pair Eq. (7) splits the slope into a channel through the purged coefficient and a channel through κ,</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any horizon dependence in the purged coefficient reaches the nested coefficient damped by the sensitivity of Eq. (10). We evaluate Eq. (14) with the reliable-range slopes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κ and compare it with the observed slope.</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correction assumes that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 not change across regimes. If crises raise idiosyncratic variance, ρ* understates the crisis correlation and the test leans toward no contagion (Corsetti et al. 2005). We therefore estimate the single-factor model in each regime and test whether the loading β and the residual variance change, which is the contagion concept in Corsetti et al. (2005) and the structural parameter of Rigobon (2003). We use three regime definitions: chronological episodes, VNINDEX volatility quartiles and VN30 volatility quartiles. The last one sorts on the conditioning variable and avoids sorting on a series that contains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Regime statistics are Pearson correlations of daily returns, and the bootstrap is applied within each regime. The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only the correlation differs. Intervals resample the full sample jointly, so that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re-estimated in each replicate. As a materiality benchmark we compare |RE| with the bootstrap relative standard error of the regime portfolio variance itself. In-sample regimes are ex post, so we also run an out-of-sample comparison. Correlations are estimated from 2014 to 2022 and evaluated on 2023–2025. All forecasts share one-step-ahead RiskMetrics variances with λ = 0.94 (J.P. Morgan/Reuters 1996) and differ only in the correlation: static, EWMA with the same λ, or a regime correlation chosen in real time from the lagged rolling volatility with thresholds fixed in the estimation window. Losses are QLIKE, which is robust to the noise in squared returns as a variance proxy (Patton 2011), and squared error. Differences are tested with the Diebold and Mariano (1995) statistic using a Newey and West (1987) variance with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sandwich 3.1.0 and ggplot2 3.4.4 on an Intel Xeon processor (2.10 GHz, four cores). OLS fits use the QR decomposition, so no iterative optimization, tolerance or convergence criterion is involved. Random seeds are fixed in each script (20260924 to 20261013). A single script, run_all.R, reproduces every table and figure; rerunning it yields byte-identical CSV output files. The code, outputs and a mapping from every reported number to its output file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purged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All series are negatively skewed and leptokurtic, with kurtosis above 33 at M30, and the Jarque–Bera test rejects normality everywhere. Neither DCCA nor the block bootstrap requires Gaussian returns. Table 3 reports the reliability thresholds.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and heavy-tailed series reduce them by roughly a factor of three. All averages below use the Gaussian thresholds. Over the shorter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coefficients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once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but not its size. The gap is 0.099–0.104 with interval lower bounds of at least 0.084, above the 0.05 margin at every frequency, so H1 is supported. The three-pair gap, which also uses the broad-market pairs for which no weight-based purge is available, is 0.086–0.096, and Cohen’s q (Cohen 1988) of 0.78–0.89 indicates a large effect on the Fisher scale. The purged coefficient remains high: overlap inflates co-movement that is already strong rather than creating it.</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the grid from 0.60 to 0.75, the like-for-like daily gap ranges from 0.063 to 0.164 and the three-pair gap from 0.052 to 0.153 (Table S2), so the gap stays above the margin at every weight in the grid, but its size is known only to within about a factor of two. A larger weight removes more of the VN30 component and lowers the purged coefficient.</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the VN30–VN100 pair,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of the nested coefficient to the purged coefficient is 0.106–0.112: to move the index-level number by 0.01, the purged coefficient would have to move by about 0.09. With weight uncertainty the interval widens to 0.07–0.17, so the qualitative conclusion does not depend on the weight. The relative amplitude κ is 0.48–0.50, so the remaining 32% of VN100 contributes about half as much detrended variation as the VN30 component, and the benchmark is 0.893–0.900. At these values Eq. (9) gives a lower bound of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asked. The benchmark-first share is 0.905–0.911 and the dependence-first share is 0.895–0.900; both are large because each factor alone already produces a coefficient near 0.9. The Shapley split, which averages the two orders, attributes 0.505–0.508 of the coefficient to overlap (intervals within 0.497–0.521). Weight uncertainty widens the Shapley intervals to 0.45–0.56 and the benchmark-first intervals to 0.83–0.95, against a sampling-only width of about 0.02. Weight error, not sampling error, is the main source of uncertainty about the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hardly varies with the horizon. Across all reliable scales and frequencies κ lies between 0.47 and 0.52, the benchmark varies by 0.007–0.016 within each frequency, and its slope on ln s is not significant (bootstrap p = 0.052–0.456; Holm-adjusted 0.208–0.828). Applied to full-sample Pearson correlations, the identity gives a benchmark of 0.898–0.903 and a benchmark-first share of 0.911–0.914 across frequencies, within 0.01 of the DCCA values. In these data the multiscale layer therefore adds a check of scale invariance rather than a different answer, and Box 1 is sufficient for practice. The DCCA version remains necessary where the tiers have different scaling, which Eq. (7) would reveal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in the space of possible nested systems. The contours show the Pearson benchmark as a function of the child weight and the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A child weight of 0.5 with equal volatilities would still give a benchmark of about 0.7, so a large mechanical component is the rule rather than a HOSE peculiarity.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scaling slopes for the four main pairs at all frequencies,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the broad-market pairs at intraday frequencies. In the eight-test H2 family, four slopes survive Holm adjustment of the studentized p-values (VN100–VNINDEX at H1; VN30–VNINDEX at H1; VN100–VNINDEX at M30; VN30–VNINDEX at M30), with estimates of 0.0019–0.0024 per unit of ln s, or a rise of about 0.01 across the reliable range. No slope is significant at 1D or H4. H2 is therefore partially supported: horizon dependence exists, but it is confined to intraday horizons and it is small.</w:t>
      </w:r>
    </w:p>
    <w:p>
      <w:pPr>
        <w:pStyle w:val="BodyText"/>
        <w:spacing w:before="0" w:after="120" w:line="300" w:lineRule="auto"/>
        <w:jc w:val="both"/>
      </w:pPr>
      <w:r>
        <w:rPr>
          <w:rFonts w:ascii="Times New Roman" w:hAnsi="Times New Roman" w:cs="Times New Roman" w:eastAsia="Times New Roman"/>
          <w:sz w:val="24"/>
          <w:szCs w:val="24"/>
        </w:rPr>
        <w:t xml:space="preserve">The conclusion depends on the test family, which is why we report both. Over the original 19 tests, Holm keeps one studentized slope and Benjamini–Hochberg keeps four; with percentile p-values from 499 replications no test survives either adjustment (smallest BH-adjusted p = 0.057). For VN30–VN100, the slope is equivalent to zero at M30 and H1 (TOST p = 0.007, 0.012) and inconclusive elsewhere.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why the nested slope is flat. The damping factor, the sensitivity of Eq. (10), is 0.106–0.112, and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The linearized slope implied by Eq. (14) differs from the observed VN30–VN100 slope by at most 0.8 × 10⁻⁵ at any frequency (Table S13). A flat nested coefficient is therefore not evidence that the tiers have no horizon structure: a purged slope of 0.01 per unit of ln s, about five times the broad-market slopes above, would move the nested slope by only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Two robustness checks address the intraday design. The first bar of each day contains the overnight return and the opening auction, the bar in which intraday volatility is highest (Andersen and Bollerslev 1997); it is 10% of M30 bars but carries 37% of the squared VN30 returns. Removing it leaves the gap at 0.107 [0.094, 0.127] at M30 and 0.096 [0.082, 0.112] at H1, and the M30 VN30–VNINDEX slope at 0.0020, close to the full-data value; at H1 the broad-market slopes fall to near zero, so part of the hourly horizon dependence comes from the opening bar (Table S7). The H4 bars cannot be trimmed in the same way because each covers a whole session. Second, at M30 the gap interval is [0.084, 0.112] with a mean block of 5 days and [0.076, 0.119] with 40 days (Table S6).</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adjusted correlations and the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crisis definition, from 0.847 to 0.924 chronologically and from 0.744 to 0.932 under VN30 quartiles. After the Forbes–Rigobon correction the crisis correlation never exceeds its calm level (one-sided p between 0.974 and 0.998), and across the weight grid no one-sided p falls below 0.935 (Table S10). Under VN30 quartiles the adjusted correlation is even significantly lower than in calm periods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shows why this result should not be read as no contagion.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and 2.57 under VNINDEX quartiles, which violates the constant-variance assumption behind Eq. (15) and pushes ρ* down (Corsetti et al. 2005).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from 0.737 to 0.948 under VN30 quartiles (Δβ = 0.210, [0.119, 0.306]), but it does not change between the chronological episodes (Δβ = 0.008, [−0.128, 0.140]). Under the stated rule H3 is mixed: the adjusted correlation shows no contagion, while the loading rises on high-volatility days but not across the dated crises. Days of high VN30 volatility thus bring both a stronger response of mid caps to large caps and more mid-cap-specific risk. A rise in the loading is also what nonlinear dependence produces: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is 0.75 at the 5% quantile against 0.62 under a Gaussian copula with the same correlation (Table S5), so we cannot tell a structural shift from a stable but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using a static correlation and the out-of-sample comparison of correlation forecasts.</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by 9.38% in the low-volatility quartile, and understates it by 1.84% and 2.07% in turbulent regimes. The sign pattern is expected for any pooled correlation, which lies between the regime values. For nested pairs the misstatement is at most 2.35%. The magnitudes are small against sampling error: |RE| is 0.13–1.50 times the standard error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times for the nested pairs. Only the calm-quartile overstatement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one standard error.</w:t>
      </w:r>
    </w:p>
    <w:p>
      <w:pPr>
        <w:pStyle w:val="BodyText"/>
        <w:spacing w:before="0" w:after="120" w:line="300" w:lineRule="auto"/>
        <w:jc w:val="both"/>
      </w:pPr>
      <w:r>
        <w:rPr>
          <w:rFonts w:ascii="Times New Roman" w:hAnsi="Times New Roman" w:cs="Times New Roman" w:eastAsia="Times New Roman"/>
          <w:sz w:val="24"/>
          <w:szCs w:val="24"/>
        </w:rPr>
        <w:t xml:space="preserve">Out of sample, conditioning does not help. The static correlation has the lowest mean QLIKE for every pair, and the Diebold–Mariano statistics are all negative (p between 0.069 and 0.179), so neither EWMA nor real-time regime correlations improve on it. H4 is not supported. In these data, regime variation in correlations is real in sample but too small or too poorly timed to be exploited with volatility signals.</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The Supplementary Material reports further checks; none changes the conclusions. The detrending moving-average coefficient (DMCA; Kristoufek 2014) gives a purged coefficient of 0.882–0.891 and a three-pair gap of 0.086–0.096 (Table S4). Because DMCA satisfies the same identity, this is a check on the detrending method, not an independent test. The daily gap interval stays within 0.070–0.119 for mean block lengths from 5 to 60 days (Table S6). The daily VN30–VNINDEX average is 0.9665, 0.9663 and 0.9667 for detrending orders 1, 2 and 3. Statistical proxies that replace the capitalization weight, such as the volatility-scaled proxy with weight 0.9865–0.9885, are numerically unstable and behave as amplified residuals (Table S8). Multifractal DCCA with shuffled surrogates attributes most of the multifractal range to fat tails (Fig. S1). The lead–lag, hedge-effectiveness and episode statistics used in Section 6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Mixed</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on nested pairs have one source. When a parent index contains a child, the child’s variation appears in both terms of every covariance and in both standard deviations, and Lemma 1 shows that this pins the nested coefficient near a benchmark fixed by the weight and the relative amplitude. With VN30 holding 68% of VN100, the benchmark is near 0.90 and the lower bound near 0.87, so the observed 0.99 carries little information about how mid caps move with large caps. The same arithmetic explains why the VN30–VN100 coefficient is flat across horizons and regimes: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the reverse is negligible (0.007), and the asymmetry of 0.076 [0.048, 0.102] matches the large-to-small lead of Lo and MacKinlay (1990) and Hou (2007). Intraday the lead is symmetric (Table S9), and the intraday horizon dependence of broad-market pairs, partly concentrated in the opening bar, is consistent with the Epps (1979) effect: VNINDEX contains small stocks whose liquidity is fragile (Chen et al. 2021) and whose prices adjust with a delay (Tran and Tran 2025). Index-level data cannot separate this from gradual information diffusion (Hong and Stein 1999).</w:t>
      </w:r>
    </w:p>
    <w:p>
      <w:pPr>
        <w:pStyle w:val="BodyText"/>
        <w:spacing w:before="0" w:after="120" w:line="300" w:lineRule="auto"/>
        <w:jc w:val="both"/>
      </w:pPr>
      <w:r>
        <w:rPr>
          <w:rFonts w:ascii="Times New Roman" w:hAnsi="Times New Roman" w:cs="Times New Roman" w:eastAsia="Times New Roman"/>
          <w:sz w:val="24"/>
          <w:szCs w:val="24"/>
        </w:rPr>
        <w:t xml:space="preserve">Several mechanisms can raise the loading of mid caps on large caps on high-volatility days, and our data cannot rank them. Herding during stress (Nguyen et al. 2023) and high sector connectedness (Bui et al. 2022) make stocks move together; limit hits under the ±7% band synchronize the tails; margin calls force simultaneous selling across tiers; and foreign flows, which concentrate in large caps with room under their ownership limits, can transmit large-cap shocks to the rest of the market through domestic portfolio rebalancing.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If index-level correlations between nested benchmarks are used to judge diversification between size tiers, they should first be decomposed. Box 1 does this from the published series and the index weight, without constituent data. The useful output is the purged coefficient together with the sensitivity, because the inverse sensitivity of about 10 states how ill-conditioned the index-level number is as a measure of tier co-movement: an error of 0.001 in the nested coefficient maps into an error of about 0.01 in the purged one. Holdings-based risk models are not affected.</w:t>
      </w:r>
    </w:p>
    <w:p>
      <w:pPr>
        <w:pStyle w:val="BodyText"/>
        <w:spacing w:before="0" w:after="120" w:line="300" w:lineRule="auto"/>
        <w:jc w:val="both"/>
      </w:pPr>
      <w:r>
        <w:rPr>
          <w:rFonts w:ascii="Times New Roman" w:hAnsi="Times New Roman" w:cs="Times New Roman" w:eastAsia="Times New Roman"/>
          <w:sz w:val="24"/>
          <w:szCs w:val="24"/>
        </w:rPr>
        <w:t xml:space="preserve">For hedging, the purged series gives the relevant numbers directly. A minimum-variance hedge of a mid-cap exposure with VN30 removes a share ρ² of its variance (Ederington 1979), 0.79 [0.75, 0.82] over the full sample, but only 0.53 [0.45, 0.61] in the low-volatility quartile and 0.86 in the high-volatility quartile (Table S11). A holder of the VNMIDCAP exchange-traded fund who hedges with VN30 futures therefore keeps about a fifth of the variance on average and about half in calm markets. This basis risk is the quantity a mid-cap derivative would remove; whether such a product would be viable depends on demand and liquidity, which we do not study.</w:t>
      </w:r>
    </w:p>
    <w:p>
      <w:pPr>
        <w:pStyle w:val="BodyText"/>
        <w:spacing w:before="0" w:after="120" w:line="300" w:lineRule="auto"/>
        <w:jc w:val="both"/>
      </w:pPr>
      <w:r>
        <w:rPr>
          <w:rFonts w:ascii="Times New Roman" w:hAnsi="Times New Roman" w:cs="Times New Roman" w:eastAsia="Times New Roman"/>
          <w:sz w:val="24"/>
          <w:szCs w:val="24"/>
        </w:rPr>
        <w:t xml:space="preserve">For portfolio risk, our results do not support regime-conditioned correlations between tiers: the in-sample misstatement is mostly within sampling error, and real-time conditioning does not improve forecasts. The relevant error is the one the decomposition removes, which comes from reading a nested correlation as a measure of diversification, not the one from ignoring regimes.</w:t>
      </w:r>
    </w:p>
    <w:p>
      <w:pPr>
        <w:pStyle w:val="heading20"/>
        <w:numPr>
          <w:ilvl w:val="0"/>
          <w:numId w:val="0"/>
        </w:numPr>
      </w:pPr>
      <w:r>
        <w:rPr>
          <w:rFonts w:ascii="Times New Roman" w:hAnsi="Times New Roman" w:cs="Times New Roman" w:eastAsia="Times New Roman"/>
          <w:b/>
          <w:sz w:val="24"/>
          <w:szCs w:val="24"/>
        </w:rPr>
        <w:t xml:space="preserve">6.3 Transferability</w:t>
      </w:r>
    </w:p>
    <w:p>
      <w:pPr>
        <w:pStyle w:val="p1a"/>
        <w:spacing w:before="0" w:after="120" w:line="300" w:lineRule="auto"/>
        <w:jc w:val="both"/>
      </w:pPr>
      <w:r>
        <w:rPr>
          <w:rFonts w:ascii="Times New Roman" w:hAnsi="Times New Roman" w:cs="Times New Roman" w:eastAsia="Times New Roman"/>
          <w:sz w:val="24"/>
          <w:szCs w:val="24"/>
        </w:rPr>
        <w:t xml:space="preserve">Lemma 1 holds for any nested pair whose child is contained in the parent with a known weight under one weighting scheme. Fig. 4 shows that the benchmark exceeds 0.7 whenever the child holds half of the parent and the remainder is not much more volatile, so large mechanical components should be common in nested families such as SET50 within SET100 or IDX30 within LQ45. Their size must be computed from each family’s weights and volatilities; we did not do this because we could not verify the weights. When indices overlap only partly, Eq. (7) does not apply directly; the shared constituents then form a third component and the benchmark depends on the overlap weight in each index.</w:t>
      </w:r>
    </w:p>
    <w:p>
      <w:pPr>
        <w:pStyle w:val="BodyText"/>
        <w:spacing w:before="0" w:after="120" w:line="300" w:lineRule="auto"/>
        <w:jc w:val="both"/>
      </w:pPr>
      <w:r>
        <w:rPr>
          <w:rFonts w:ascii="Times New Roman" w:hAnsi="Times New Roman" w:cs="Times New Roman" w:eastAsia="Times New Roman"/>
          <w:sz w:val="24"/>
          <w:szCs w:val="24"/>
        </w:rPr>
        <w:t xml:space="preserve">We did not extend the decomposition to the broad-market pairs. VNINDEX is weighted by full market capitalization and VN100 and VN30 by free-float capitalization, so VN100 is not a fixed-weight component of VNINDEX and Eq. (6) does not hold exactly. Applying it would leak a mismatch term of the form of Eq. (12) into the purged series, with a size we cannot bound without constituent-level data. The three-pair gap in Table 4 is therefore descriptive for these pairs.</w:t>
      </w:r>
    </w:p>
    <w:p>
      <w:pPr>
        <w:pStyle w:val="heading20"/>
        <w:numPr>
          <w:ilvl w:val="0"/>
          <w:numId w:val="0"/>
        </w:numPr>
      </w:pPr>
      <w:r>
        <w:rPr>
          <w:rFonts w:ascii="Times New Roman" w:hAnsi="Times New Roman" w:cs="Times New Roman" w:eastAsia="Times New Roman"/>
          <w:b/>
          <w:sz w:val="24"/>
          <w:szCs w:val="24"/>
        </w:rPr>
        <w:t xml:space="preserve">6.4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relies on one factsheet weight; we propagate a plausible range of weights, but a weight path built from semi-annual reviews would narrow the attribution intervals considerably, since weight error dominates sampling error.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because neither was available from our data source at all frequencies; for that reason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frictions from information diffusion, the crisis evidence depends on how regimes are defined, and the out-of-sample period covers three years. The FTSE Russell reclassification from September 2026 offers a natural experiment: if foreign inflows raise the weight or lower the relative volatility of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We carry the part–whole identity to scale-wise detrended coefficients, derive a benchmark, a lower bound, a sensitivity and an order-free attribution, and show that all of them can be computed from index-level inputs. On the HOSE, the VN30–VN100 coefficient moves by only about 0.11 per unit change in the overlap-purged coefficient, so the index-level number says little about how mid caps move with large caps; removing the overlap lowers the correlation with large caps by about 0.10. The purged series shows a large-to-small lead, small intraday horizon effects, a higher loading of mid caps on large caps on high-volatility days alongside more mid-cap-specific risk, and no out-of-sample gain from regime-conditioned correlations. Users who rely on index levels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FTSE Equity Country Classification: September 2025 interim announcement. London Stock Exchange Group.</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securities, registered securities, fund certificates, corporate bonds and covered warrants.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2026-10-10T02:21:00Z</dcterms:created>
  <dcterms:modified xsi:type="dcterms:W3CDTF">2026-10-10T02:21:00Z</dcterms:modified>
</cp:coreProperties>
</file>

<file path=docProps/custom.xml><?xml version="1.0" encoding="utf-8"?>
<Properties xmlns="http://schemas.openxmlformats.org/officeDocument/2006/custom-properties" xmlns:vt="http://schemas.openxmlformats.org/officeDocument/2006/docPropsVTypes"/>
</file>