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How Much of a Nested Index Correlation Is Construction? A Scale-Wise Part–Whole Decomposition with Evidence from Vietnam</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When one equity index contains another, part of their correlation is fixed by construction. We extend the classical part–whole correlation identity to detrended cross-correlation analysis (DCCA). At every timescale, the coefficient between a parent and a child index is then a closed-form function of the child’s weight, the relative amplitude of the remaining constituents and the overlap-purged coefficient between the child and those constituents. The identity yields a zero-correlation benchmark, an exact lower bound, the sensitivity of the nested coefficient to the purged coefficient and an order-free attribution, and it requires only index-level inputs. On the Ho Chi Minh City Stock Exchange (VN30 within VN100 within VNINDEX, 30-minute to daily data, 2014–2025), the VN30–VN100 coefficient moves by only about 0.11 per unit change in the purged coefficient. Purging the overlap lowers the correlation with large caps by about 0.10 at every frequency. The decomposition barely varies across scales and frequencies, so its Pearson version suffices in these data. The small intraday horizon dependence of broad-market pairs comes from the opening and closing auction bars. Evidence of crisis contagion depends on the test used, and regime-conditioned correlations do not improve out-of-sample portfolio variance forecasts. Correlations between nested indices therefore say little about diversification between size tiers unless the overlap is removed first.</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part–whole correlation; contagion; portfolio risk;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Correlations between published equity indices are a convenient measure of how much one market segment diversifies another (Markowitz 1952). In nested index systems, these correlations have a problem unrelated to estimation error: the parent contains the child, so part of their correlation is fixed by construction. On the Ho Chi Minh City Stock Exchange (HOSE),</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30 largest firms hold about two-thirds of the free-float capitalization of VN100, and the daily VN30–VN100 correlation is 0.988. Read as a measure of how mid caps move with large caps, this number mixes economic linkage with the fact that VN30 stocks are counted on both sides. Holdings-based risk models avoid the problem; users of index-level data cannot. Index-level co-movement is easy to misread even without overlap (Chen et al. 2016). The arithmetic is old (Pearson 1897; Cureton 1966), but no version exists for the detrended, scale-dependent coefficients of the detrended cross-correlation analysis (DCCA) literature. That literature studies only pairs without shared constituents (Section 2).</w:t>
      </w:r>
    </w:p>
    <w:p>
      <w:pPr>
        <w:pStyle w:val="BodyText"/>
        <w:spacing w:before="0" w:after="120" w:line="300" w:lineRule="auto"/>
        <w:jc w:val="both"/>
      </w:pPr>
      <w:r>
        <w:rPr>
          <w:rFonts w:ascii="Times New Roman" w:hAnsi="Times New Roman" w:cs="Times New Roman" w:eastAsia="Times New Roman"/>
          <w:sz w:val="24"/>
          <w:szCs w:val="24"/>
        </w:rPr>
        <w:t xml:space="preserve">Our contribution is to build that version. Lemma 1 shows that, at every timescale, the DCCA coefficient of a nested pair is a known function of the child’s weight, the relative amplitude κ(s) of the remaining constituents and the overlap-purged coefficient between the child and those constituents. It yields a zero-correlation benchmark, an exact lower bound, the sensitivity of the nested coefficient to the purged one and an order-free attribution, all computable from index-level data (Section 4.2). We apply it to VN30, VN100 and VNINDEX at 30-minute to daily frequencies (2014–2025), with a block bootstrap that also draws the index weight. We then use the purged series to test hypotheses on horizon dependence, contagion and the value of regime-conditioned correlations.</w:t>
      </w:r>
    </w:p>
    <w:p>
      <w:pPr>
        <w:pStyle w:val="BodyText"/>
        <w:spacing w:before="0" w:after="120" w:line="300" w:lineRule="auto"/>
        <w:jc w:val="both"/>
      </w:pPr>
      <w:r>
        <w:rPr>
          <w:rFonts w:ascii="Times New Roman" w:hAnsi="Times New Roman" w:cs="Times New Roman" w:eastAsia="Times New Roman"/>
          <w:sz w:val="24"/>
          <w:szCs w:val="24"/>
        </w:rPr>
        <w:t xml:space="preserve">We report three main findings. The VN30–VN100 coefficient responds to the purged coefficient with a sensitivity of 0.106–0.112, and the like-for-like gap between nested and purged coefficients is 0.099–0.104; because κ hardly varies with the timescale (0.47–0.52), the Pearson version gives the same answer. On the purged series, horizon dependence is confined to intraday broad-market pairs and comes from the auction bars. Crisis evidence depends on whether contagion is measured by an adjusted correlation or a factor loading, and regime-conditioned correlations do not outperform a static one out of sample.</w:t>
      </w:r>
    </w:p>
    <w:p>
      <w:pPr>
        <w:pStyle w:val="BodyText"/>
        <w:spacing w:before="0" w:after="120" w:line="300" w:lineRule="auto"/>
        <w:jc w:val="both"/>
      </w:pPr>
      <w:r>
        <w:rPr>
          <w:rFonts w:ascii="Times New Roman" w:hAnsi="Times New Roman" w:cs="Times New Roman" w:eastAsia="Times New Roman"/>
          <w:sz w:val="24"/>
          <w:szCs w:val="24"/>
        </w:rPr>
        <w:t xml:space="preserve">Section 2 reviews the literature and states the hypotheses. Sections 3–5 present the data, methods and results, Section 6 discusses them and Section 7 concludes. Further checks are in Online Resource 2.</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Five literatures bear on nested index correlations: part–whole correlation, detrended cross-correlation, index membership, size-based lead–lag effects and contagion. We review what each establishes and leaves open, then state the gap, estimands and hypotheses.</w:t>
      </w:r>
    </w:p>
    <w:p>
      <w:pPr>
        <w:pStyle w:val="heading20"/>
        <w:numPr>
          <w:ilvl w:val="0"/>
          <w:numId w:val="0"/>
        </w:numPr>
      </w:pPr>
      <w:r>
        <w:rPr>
          <w:rFonts w:ascii="Times New Roman" w:hAnsi="Times New Roman" w:cs="Times New Roman" w:eastAsia="Times New Roman"/>
          <w:b/>
          <w:sz w:val="24"/>
          <w:szCs w:val="24"/>
        </w:rPr>
        <w:t xml:space="preserve">2.1 Part–whole correlation and holdings overlap</w:t>
      </w:r>
    </w:p>
    <w:p>
      <w:pPr>
        <w:pStyle w:val="p1a"/>
        <w:spacing w:before="0" w:after="120" w:line="300" w:lineRule="auto"/>
        <w:jc w:val="both"/>
      </w:pPr>
      <w:r>
        <w:rPr>
          <w:rFonts w:ascii="Times New Roman" w:hAnsi="Times New Roman" w:cs="Times New Roman" w:eastAsia="Times New Roman"/>
          <w:sz w:val="24"/>
          <w:szCs w:val="24"/>
        </w:rPr>
        <w:t xml:space="preserve">Pearson (1897) showed that ratios sharing a denominator correlate even when their numerators are independent. In psychometrics the same arithmetic inflates the correlation of an item with the total score that contains it, and Cureton (1966) gave a standard correction. Both results are static Pearson identities; neither measures the component at different timescales or attaches sampling uncertainty to it. Finance handles overlap through holdings: Active Share measures how far a fund departs from its benchmark holdings (Cremers and Petajisto 2009), holdings-based risk models estimate exposures from constituents, and membership studies build comparison portfolios from stocks outside the index (Barberis et al. 2005). Users who observe only index levels lack a return-based counterpart.</w:t>
      </w:r>
    </w:p>
    <w:p>
      <w:pPr>
        <w:pStyle w:val="heading20"/>
        <w:numPr>
          <w:ilvl w:val="0"/>
          <w:numId w:val="0"/>
        </w:numPr>
      </w:pPr>
      <w:r>
        <w:rPr>
          <w:rFonts w:ascii="Times New Roman" w:hAnsi="Times New Roman" w:cs="Times New Roman" w:eastAsia="Times New Roman"/>
          <w:b/>
          <w:sz w:val="24"/>
          <w:szCs w:val="24"/>
        </w:rPr>
        <w:t xml:space="preserve">2.2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DCCA extends detrended fluctuation analysis (Peng et al. 1994; Kantelhardt et al. 2002) to pairs of nonstationary series (Podobnik and Stanley 2008). Zebende (2011) normalized it into a bounded coefficient, Podobnik et al. (2011) proposed tests and Zhou (2008) generalized it to multifractal moments (MF-DCCA). Variants use moving-average detrending (Jiang and Zhou 2011; Kristoufek 2014), sliding windows (Guedes et al. 2021) or partial correlations (Ge and Lin 2021), and Oświęcimka et al. (2014) show that absolute local covariances can create spurious multifractality. Applied work finds horizon-dependent stock–bond and cross-market dependence (Al Rababa’a et al. 2021; Ge and Lin 2021; Chen et al. 2024). Other studies use the coefficient to track contagion (Okorie and Lin 2021; Tilfani et al. 2021) or information flow (Zhou et al. 2025) and build scale-aware portfolios (Wang et al. 2021; Kakinaka et al. 2025). These studies treat the coefficient as a measure of economic dependence between disjoint assets. None of them analyzes nested pairs, where the detrended covariance inherits the part–whole arithmetic at every scale.</w:t>
      </w:r>
    </w:p>
    <w:p>
      <w:pPr>
        <w:pStyle w:val="heading20"/>
        <w:numPr>
          <w:ilvl w:val="0"/>
          <w:numId w:val="0"/>
        </w:numPr>
      </w:pPr>
      <w:r>
        <w:rPr>
          <w:rFonts w:ascii="Times New Roman" w:hAnsi="Times New Roman" w:cs="Times New Roman" w:eastAsia="Times New Roman"/>
          <w:b/>
          <w:sz w:val="24"/>
          <w:szCs w:val="24"/>
        </w:rPr>
        <w:t xml:space="preserve">2.3 Index membership and co-movement</w:t>
      </w:r>
    </w:p>
    <w:p>
      <w:pPr>
        <w:pStyle w:val="p1a"/>
        <w:spacing w:before="0" w:after="120" w:line="300" w:lineRule="auto"/>
        <w:jc w:val="both"/>
      </w:pPr>
      <w:r>
        <w:rPr>
          <w:rFonts w:ascii="Times New Roman" w:hAnsi="Times New Roman" w:cs="Times New Roman" w:eastAsia="Times New Roman"/>
          <w:sz w:val="24"/>
          <w:szCs w:val="24"/>
        </w:rPr>
        <w:t xml:space="preserve">Stocks added to the S&amp;P 500 co-move more with the index (Barberis et al. 2005), Nikkei 225 stocks with larger weights co-move more with other index stocks (Greenwood 2008), and regression-discontinuity and tracking-demand designs support the effect (Liao et al. 2022; DeCoste 2025). The evidence is contested: much of the post-inclusion rise also appears in matched stocks that were not added (Chen et al. 2016), and the S&amp;P 500 index effect has almost disappeared (Greenwood and Sammon 2025). Index-level co-movement is thus easy to misread even where indices do not overlap. Our concern is the arithmetic overlap, which raises correlations even if no investor trades differently.</w:t>
      </w:r>
    </w:p>
    <w:p>
      <w:pPr>
        <w:pStyle w:val="heading20"/>
        <w:numPr>
          <w:ilvl w:val="0"/>
          <w:numId w:val="0"/>
        </w:numPr>
      </w:pPr>
      <w:r>
        <w:rPr>
          <w:rFonts w:ascii="Times New Roman" w:hAnsi="Times New Roman" w:cs="Times New Roman" w:eastAsia="Times New Roman"/>
          <w:b/>
          <w:sz w:val="24"/>
          <w:szCs w:val="24"/>
        </w:rPr>
        <w:t xml:space="preserve">2.4 Size, lead–lag and horizon effects</w:t>
      </w:r>
    </w:p>
    <w:p>
      <w:pPr>
        <w:pStyle w:val="p1a"/>
        <w:spacing w:before="0" w:after="120" w:line="300" w:lineRule="auto"/>
        <w:jc w:val="both"/>
      </w:pPr>
      <w:r>
        <w:rPr>
          <w:rFonts w:ascii="Times New Roman" w:hAnsi="Times New Roman" w:cs="Times New Roman" w:eastAsia="Times New Roman"/>
          <w:sz w:val="24"/>
          <w:szCs w:val="24"/>
        </w:rPr>
        <w:t xml:space="preserve">Large-firm returns lead small-firm returns (Lo and MacKinlay 1990), a pattern Hou (2007) traces to slow diffusion of industry information. Non-synchronous trading depresses short-horizon correlations (Epps 1979), with a size that depends on sampling (Chang et al. 2021), and gradual diffusion (Hong and Stein 1999) lets co-movement build with the horizon. On the HOSE, small-firm liquidity fell after a market surveillance system was introduced (Chen et al. 2021), and price adjustment is delayed under retail-heavy trading (Tran and Tran 2025). Herding in stress (Nguyen et al. 2023), sector connectedness above 60%, rising to near 90% during COVID-19 (Bui et al. 2022) and nonlinear regional dependence (Le et al. 2025) raise all correlations at once.</w:t>
      </w:r>
    </w:p>
    <w:p>
      <w:pPr>
        <w:pStyle w:val="heading20"/>
        <w:numPr>
          <w:ilvl w:val="0"/>
          <w:numId w:val="0"/>
        </w:numPr>
      </w:pPr>
      <w:r>
        <w:rPr>
          <w:rFonts w:ascii="Times New Roman" w:hAnsi="Times New Roman" w:cs="Times New Roman" w:eastAsia="Times New Roman"/>
          <w:b/>
          <w:sz w:val="24"/>
          <w:szCs w:val="24"/>
        </w:rPr>
        <w:t xml:space="preserve">2.5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but they also rise mechanically with the variance of the conditioning market, so a crisis increase may reflect interdependence rather than contagion (Forbes and Rigobon 2002). The correction can itself be biased toward no contagion because it restricts the variance of idiosyncratic shocks. Corsetti et al. (2005) propose testing for a change in the factor loading instead, and Rigobon (2003) identifies transmission from regime changes in variance. Studies without the correction report COVID-19 contagion (Akhtaruzzaman et al. 2021; Guo et al. 2021; Benkraiem et al. 2022). A DCCA test finds it for some commodity pairs but not others (Santana et al. 2023), and ASEAN integration varies with trade links and volatility (Abdul Karim and Xin Ning 2013; Lean and Teng 2013). No study applies volatility-robust tests to tiers of one market whose indices overlap.</w:t>
      </w:r>
    </w:p>
    <w:p>
      <w:pPr>
        <w:pStyle w:val="heading20"/>
        <w:numPr>
          <w:ilvl w:val="0"/>
          <w:numId w:val="0"/>
        </w:numPr>
      </w:pPr>
      <w:r>
        <w:rPr>
          <w:rFonts w:ascii="Times New Roman" w:hAnsi="Times New Roman" w:cs="Times New Roman" w:eastAsia="Times New Roman"/>
          <w:b/>
          <w:sz w:val="24"/>
          <w:szCs w:val="24"/>
        </w:rPr>
        <w:t xml:space="preserve">2.6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representative studies on the dimensions that matter here.</w:t>
      </w:r>
    </w:p>
    <w:p>
      <w:pPr>
        <w:pStyle w:val="tablecaption0"/>
      </w:pPr>
      <w:r>
        <w:rPr>
          <w:bCs/>
          <w:b/>
        </w:rPr>
        <w:t xml:space="preserve">Table 1</w:t>
      </w:r>
      <w:r>
        <w:t xml:space="preserve"> </w:t>
      </w:r>
      <w:r>
        <w:t xml:space="preserve">Prior studies of overlap, multiscale and crisis co-movement and the gap addressed here</w:t>
      </w:r>
    </w:p>
    <w:tbl>
      <w:tblPr>
        <w:tblStyle w:val="TableGrid"/>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spacing w:before="0" w:after="0" w:line="240" w:lineRule="auto"/>
              <w:jc w:val="left"/>
            </w:pPr>
            <w:r>
              <w:rPr>
                <w:sz w:val="20"/>
                <w:szCs w:val="20"/>
              </w:rPr>
              <w:t xml:space="preserve">Study</w:t>
            </w:r>
          </w:p>
        </w:tc>
        <w:tc>
          <w:tcPr/>
          <w:p>
            <w:pPr>
              <w:spacing w:before="0" w:after="0" w:line="240" w:lineRule="auto"/>
              <w:jc w:val="left"/>
            </w:pPr>
            <w:r>
              <w:rPr>
                <w:sz w:val="20"/>
                <w:szCs w:val="20"/>
              </w:rPr>
              <w:t xml:space="preserve">Market and data</w:t>
            </w:r>
          </w:p>
        </w:tc>
        <w:tc>
          <w:tcPr/>
          <w:p>
            <w:pPr>
              <w:spacing w:before="0" w:after="0" w:line="240" w:lineRule="auto"/>
              <w:jc w:val="left"/>
            </w:pPr>
            <w:r>
              <w:rPr>
                <w:sz w:val="20"/>
                <w:szCs w:val="20"/>
              </w:rPr>
              <w:t xml:space="preserve">Method</w:t>
            </w:r>
          </w:p>
        </w:tc>
        <w:tc>
          <w:tcPr/>
          <w:p>
            <w:pPr>
              <w:spacing w:before="0" w:after="0" w:line="240" w:lineRule="auto"/>
              <w:jc w:val="left"/>
            </w:pPr>
            <w:r>
              <w:rPr>
                <w:sz w:val="20"/>
                <w:szCs w:val="20"/>
              </w:rPr>
              <w:t xml:space="preserve">Overlap treated?</w:t>
            </w:r>
          </w:p>
        </w:tc>
        <w:tc>
          <w:tcPr/>
          <w:p>
            <w:pPr>
              <w:spacing w:before="0" w:after="0" w:line="240" w:lineRule="auto"/>
              <w:jc w:val="left"/>
            </w:pPr>
            <w:r>
              <w:rPr>
                <w:sz w:val="20"/>
                <w:szCs w:val="20"/>
              </w:rPr>
              <w:t xml:space="preserve">Scale-wise?</w:t>
            </w:r>
          </w:p>
        </w:tc>
        <w:tc>
          <w:tcPr/>
          <w:p>
            <w:pPr>
              <w:spacing w:before="0" w:after="0" w:line="240" w:lineRule="auto"/>
              <w:jc w:val="left"/>
            </w:pPr>
            <w:r>
              <w:rPr>
                <w:sz w:val="20"/>
                <w:szCs w:val="20"/>
              </w:rPr>
              <w:t xml:space="preserve">Volatility-robust test?</w:t>
            </w:r>
          </w:p>
        </w:tc>
        <w:tc>
          <w:tcPr/>
          <w:p>
            <w:pPr>
              <w:spacing w:before="0" w:after="0" w:line="240" w:lineRule="auto"/>
              <w:jc w:val="left"/>
            </w:pPr>
            <w:r>
              <w:rPr>
                <w:sz w:val="20"/>
                <w:szCs w:val="20"/>
              </w:rPr>
              <w:t xml:space="preserve">Main finding</w:t>
            </w:r>
          </w:p>
        </w:tc>
      </w:tr>
      <w:tr>
        <w:tc>
          <w:tcPr/>
          <w:p>
            <w:pPr>
              <w:spacing w:before="0" w:after="0" w:line="240" w:lineRule="auto"/>
              <w:jc w:val="left"/>
            </w:pPr>
            <w:r>
              <w:rPr>
                <w:sz w:val="20"/>
                <w:szCs w:val="20"/>
              </w:rPr>
              <w:t xml:space="preserve">Pearson (1897); Cureton (1966)</w:t>
            </w:r>
          </w:p>
        </w:tc>
        <w:tc>
          <w:tcPr/>
          <w:p>
            <w:pPr>
              <w:spacing w:before="0" w:after="0" w:line="240" w:lineRule="auto"/>
              <w:jc w:val="left"/>
            </w:pPr>
            <w:r>
              <w:rPr>
                <w:sz w:val="20"/>
                <w:szCs w:val="20"/>
              </w:rPr>
              <w:t xml:space="preserve">Ratios with a common component; test items</w:t>
            </w:r>
          </w:p>
        </w:tc>
        <w:tc>
          <w:tcPr/>
          <w:p>
            <w:pPr>
              <w:spacing w:before="0" w:after="0" w:line="240" w:lineRule="auto"/>
              <w:jc w:val="left"/>
            </w:pPr>
            <w:r>
              <w:rPr>
                <w:sz w:val="20"/>
                <w:szCs w:val="20"/>
              </w:rPr>
              <w:t xml:space="preserve">Pearson correlation</w:t>
            </w:r>
          </w:p>
        </w:tc>
        <w:tc>
          <w:tcPr/>
          <w:p>
            <w:pPr>
              <w:spacing w:before="0" w:after="0" w:line="240" w:lineRule="auto"/>
              <w:jc w:val="left"/>
            </w:pPr>
            <w:r>
              <w:rPr>
                <w:sz w:val="20"/>
                <w:szCs w:val="20"/>
              </w:rPr>
              <w:t xml:space="preserve">Yes (static)</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Correlation of a whole with its part is inflated</w:t>
            </w:r>
          </w:p>
        </w:tc>
      </w:tr>
      <w:tr>
        <w:tc>
          <w:tcPr/>
          <w:p>
            <w:pPr>
              <w:spacing w:before="0" w:after="0" w:line="240" w:lineRule="auto"/>
              <w:jc w:val="left"/>
            </w:pPr>
            <w:r>
              <w:rPr>
                <w:sz w:val="20"/>
                <w:szCs w:val="20"/>
              </w:rPr>
              <w:t xml:space="preserve">Cremers and Petajisto (2009)</w:t>
            </w:r>
          </w:p>
        </w:tc>
        <w:tc>
          <w:tcPr/>
          <w:p>
            <w:pPr>
              <w:spacing w:before="0" w:after="0" w:line="240" w:lineRule="auto"/>
              <w:jc w:val="left"/>
            </w:pPr>
            <w:r>
              <w:rPr>
                <w:sz w:val="20"/>
                <w:szCs w:val="20"/>
              </w:rPr>
              <w:t xml:space="preserve">US mutual funds</w:t>
            </w:r>
          </w:p>
        </w:tc>
        <w:tc>
          <w:tcPr/>
          <w:p>
            <w:pPr>
              <w:spacing w:before="0" w:after="0" w:line="240" w:lineRule="auto"/>
              <w:jc w:val="left"/>
            </w:pPr>
            <w:r>
              <w:rPr>
                <w:sz w:val="20"/>
                <w:szCs w:val="20"/>
              </w:rPr>
              <w:t xml:space="preserve">Holdings overlap (Active Share)</w:t>
            </w:r>
          </w:p>
        </w:tc>
        <w:tc>
          <w:tcPr/>
          <w:p>
            <w:pPr>
              <w:spacing w:before="0" w:after="0" w:line="240" w:lineRule="auto"/>
              <w:jc w:val="left"/>
            </w:pPr>
            <w:r>
              <w:rPr>
                <w:sz w:val="20"/>
                <w:szCs w:val="20"/>
              </w:rPr>
              <w:t xml:space="preserve">Yes (holdings)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Overlap with benchmark holdings measures activity</w:t>
            </w:r>
          </w:p>
        </w:tc>
      </w:tr>
      <w:tr>
        <w:tc>
          <w:tcPr/>
          <w:p>
            <w:pPr>
              <w:spacing w:before="0" w:after="0" w:line="240" w:lineRule="auto"/>
              <w:jc w:val="left"/>
            </w:pPr>
            <w:r>
              <w:rPr>
                <w:sz w:val="20"/>
                <w:szCs w:val="20"/>
              </w:rPr>
              <w:t xml:space="preserve">Barberis et al. (2005); Greenwood (2008); Chen et al. (2016)</w:t>
            </w:r>
          </w:p>
        </w:tc>
        <w:tc>
          <w:tcPr/>
          <w:p>
            <w:pPr>
              <w:spacing w:before="0" w:after="0" w:line="240" w:lineRule="auto"/>
              <w:jc w:val="left"/>
            </w:pPr>
            <w:r>
              <w:rPr>
                <w:sz w:val="20"/>
                <w:szCs w:val="20"/>
              </w:rPr>
              <w:t xml:space="preserve">S&amp;P 500; Nikkei 225</w:t>
            </w:r>
          </w:p>
        </w:tc>
        <w:tc>
          <w:tcPr/>
          <w:p>
            <w:pPr>
              <w:spacing w:before="0" w:after="0" w:line="240" w:lineRule="auto"/>
              <w:jc w:val="left"/>
            </w:pPr>
            <w:r>
              <w:rPr>
                <w:sz w:val="20"/>
                <w:szCs w:val="20"/>
              </w:rPr>
              <w:t xml:space="preserve">Event study; index weights</w:t>
            </w:r>
          </w:p>
        </w:tc>
        <w:tc>
          <w:tcPr/>
          <w:p>
            <w:pPr>
              <w:spacing w:before="0" w:after="0" w:line="240" w:lineRule="auto"/>
              <w:jc w:val="left"/>
            </w:pPr>
            <w:r>
              <w:rPr>
                <w:sz w:val="20"/>
                <w:szCs w:val="20"/>
              </w:rPr>
              <w:t xml:space="preserve">Membership, not overlap</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Membership effect on co-movement is contested</w:t>
            </w:r>
          </w:p>
        </w:tc>
      </w:tr>
      <w:tr>
        <w:tc>
          <w:tcPr/>
          <w:p>
            <w:pPr>
              <w:spacing w:before="0" w:after="0" w:line="240" w:lineRule="auto"/>
              <w:jc w:val="left"/>
            </w:pPr>
            <w:r>
              <w:rPr>
                <w:sz w:val="20"/>
                <w:szCs w:val="20"/>
              </w:rPr>
              <w:t xml:space="preserve">Podobnik and Stanley (2008); Zebende (2011)</w:t>
            </w:r>
          </w:p>
        </w:tc>
        <w:tc>
          <w:tcPr/>
          <w:p>
            <w:pPr>
              <w:spacing w:before="0" w:after="0" w:line="240" w:lineRule="auto"/>
              <w:jc w:val="left"/>
            </w:pPr>
            <w:r>
              <w:rPr>
                <w:sz w:val="20"/>
                <w:szCs w:val="20"/>
              </w:rPr>
              <w:t xml:space="preserve">Methodological</w:t>
            </w:r>
          </w:p>
        </w:tc>
        <w:tc>
          <w:tcPr/>
          <w:p>
            <w:pPr>
              <w:spacing w:before="0" w:after="0" w:line="240" w:lineRule="auto"/>
              <w:jc w:val="left"/>
            </w:pPr>
            <w:r>
              <w:rPr>
                <w:sz w:val="20"/>
                <w:szCs w:val="20"/>
              </w:rPr>
              <w:t xml:space="preserve">DCCA; ρDCCA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Scale-wise detrended covariance and coefficient</w:t>
            </w:r>
          </w:p>
        </w:tc>
      </w:tr>
      <w:tr>
        <w:tc>
          <w:tcPr/>
          <w:p>
            <w:pPr>
              <w:spacing w:before="0" w:after="0" w:line="240" w:lineRule="auto"/>
              <w:jc w:val="left"/>
            </w:pPr>
            <w:r>
              <w:rPr>
                <w:sz w:val="20"/>
                <w:szCs w:val="20"/>
              </w:rPr>
              <w:t xml:space="preserve">Okorie and Lin (2021); Tilfani et al. (2021)</w:t>
            </w:r>
          </w:p>
        </w:tc>
        <w:tc>
          <w:tcPr/>
          <w:p>
            <w:pPr>
              <w:spacing w:before="0" w:after="0" w:line="240" w:lineRule="auto"/>
              <w:jc w:val="left"/>
            </w:pPr>
            <w:r>
              <w:rPr>
                <w:sz w:val="20"/>
                <w:szCs w:val="20"/>
              </w:rPr>
              <w:t xml:space="preserve">Stock markets, COVID-19</w:t>
            </w:r>
          </w:p>
        </w:tc>
        <w:tc>
          <w:tcPr/>
          <w:p>
            <w:pPr>
              <w:spacing w:before="0" w:after="0" w:line="240" w:lineRule="auto"/>
              <w:jc w:val="left"/>
            </w:pPr>
            <w:r>
              <w:rPr>
                <w:sz w:val="20"/>
                <w:szCs w:val="20"/>
              </w:rPr>
              <w:t xml:space="preserve">DCCA, DMCA; sliding windows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Fractal contagion that fades with the horizon</w:t>
            </w:r>
          </w:p>
        </w:tc>
      </w:tr>
      <w:tr>
        <w:tc>
          <w:tcPr/>
          <w:p>
            <w:pPr>
              <w:spacing w:before="0" w:after="0" w:line="240" w:lineRule="auto"/>
              <w:jc w:val="left"/>
            </w:pPr>
            <w:r>
              <w:rPr>
                <w:sz w:val="20"/>
                <w:szCs w:val="20"/>
              </w:rPr>
              <w:t xml:space="preserve">Ge and Lin (2021); Chen et al. (2024)</w:t>
            </w:r>
          </w:p>
        </w:tc>
        <w:tc>
          <w:tcPr/>
          <w:p>
            <w:pPr>
              <w:spacing w:before="0" w:after="0" w:line="240" w:lineRule="auto"/>
              <w:jc w:val="left"/>
            </w:pPr>
            <w:r>
              <w:rPr>
                <w:sz w:val="20"/>
                <w:szCs w:val="20"/>
              </w:rPr>
              <w:t xml:space="preserve">China and United States</w:t>
            </w:r>
          </w:p>
        </w:tc>
        <w:tc>
          <w:tcPr/>
          <w:p>
            <w:pPr>
              <w:spacing w:before="0" w:after="0" w:line="240" w:lineRule="auto"/>
              <w:jc w:val="left"/>
            </w:pPr>
            <w:r>
              <w:rPr>
                <w:sz w:val="20"/>
                <w:szCs w:val="20"/>
              </w:rPr>
              <w:t xml:space="preserve">MF-DCCA; partial MF-DCCA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 and size-dependent cross-correlation</w:t>
            </w:r>
          </w:p>
        </w:tc>
      </w:tr>
      <w:tr>
        <w:tc>
          <w:tcPr/>
          <w:p>
            <w:pPr>
              <w:spacing w:before="0" w:after="0" w:line="240" w:lineRule="auto"/>
              <w:jc w:val="left"/>
            </w:pPr>
            <w:r>
              <w:rPr>
                <w:sz w:val="20"/>
                <w:szCs w:val="20"/>
              </w:rPr>
              <w:t xml:space="preserve">Wang et al. (2021); Kakinaka et al. (2025)</w:t>
            </w:r>
          </w:p>
        </w:tc>
        <w:tc>
          <w:tcPr/>
          <w:p>
            <w:pPr>
              <w:spacing w:before="0" w:after="0" w:line="240" w:lineRule="auto"/>
              <w:jc w:val="left"/>
            </w:pPr>
            <w:r>
              <w:rPr>
                <w:sz w:val="20"/>
                <w:szCs w:val="20"/>
              </w:rPr>
              <w:t xml:space="preserve">Stock portfolios</w:t>
            </w:r>
          </w:p>
        </w:tc>
        <w:tc>
          <w:tcPr/>
          <w:p>
            <w:pPr>
              <w:spacing w:before="0" w:after="0" w:line="240" w:lineRule="auto"/>
              <w:jc w:val="left"/>
            </w:pPr>
            <w:r>
              <w:rPr>
                <w:sz w:val="20"/>
                <w:szCs w:val="20"/>
              </w:rPr>
              <w:t xml:space="preserve">Mean-MF-X-DMA; mean-DCCA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Scale-aware rules improve portfolio performance</w:t>
            </w:r>
          </w:p>
        </w:tc>
      </w:tr>
      <w:tr>
        <w:tc>
          <w:tcPr/>
          <w:p>
            <w:pPr>
              <w:spacing w:before="0" w:after="0" w:line="240" w:lineRule="auto"/>
              <w:jc w:val="left"/>
            </w:pPr>
            <w:r>
              <w:rPr>
                <w:sz w:val="20"/>
                <w:szCs w:val="20"/>
              </w:rPr>
              <w:t xml:space="preserve">Santana et al. (2023)</w:t>
            </w:r>
          </w:p>
        </w:tc>
        <w:tc>
          <w:tcPr/>
          <w:p>
            <w:pPr>
              <w:spacing w:before="0" w:after="0" w:line="240" w:lineRule="auto"/>
              <w:jc w:val="left"/>
            </w:pPr>
            <w:r>
              <w:rPr>
                <w:sz w:val="20"/>
                <w:szCs w:val="20"/>
              </w:rPr>
              <w:t xml:space="preserve">Crude oil and precious metals</w:t>
            </w:r>
          </w:p>
        </w:tc>
        <w:tc>
          <w:tcPr/>
          <w:p>
            <w:pPr>
              <w:spacing w:before="0" w:after="0" w:line="240" w:lineRule="auto"/>
              <w:jc w:val="left"/>
            </w:pPr>
            <w:r>
              <w:rPr>
                <w:sz w:val="20"/>
                <w:szCs w:val="20"/>
              </w:rPr>
              <w:t xml:space="preserve">ΔρDCCA test</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Contagion depends on the pair</w:t>
            </w:r>
          </w:p>
        </w:tc>
      </w:tr>
      <w:tr>
        <w:tc>
          <w:tcPr/>
          <w:p>
            <w:pPr>
              <w:spacing w:before="0" w:after="0" w:line="240" w:lineRule="auto"/>
              <w:jc w:val="left"/>
            </w:pPr>
            <w:r>
              <w:rPr>
                <w:sz w:val="20"/>
                <w:szCs w:val="20"/>
              </w:rPr>
              <w:t xml:space="preserve">Forbes and Rigobon (2002); Corsetti et al. (2005)</w:t>
            </w:r>
          </w:p>
        </w:tc>
        <w:tc>
          <w:tcPr/>
          <w:p>
            <w:pPr>
              <w:spacing w:before="0" w:after="0" w:line="240" w:lineRule="auto"/>
              <w:jc w:val="left"/>
            </w:pPr>
            <w:r>
              <w:rPr>
                <w:sz w:val="20"/>
                <w:szCs w:val="20"/>
              </w:rPr>
              <w:t xml:space="preserve">International stock markets</w:t>
            </w:r>
          </w:p>
        </w:tc>
        <w:tc>
          <w:tcPr/>
          <w:p>
            <w:pPr>
              <w:spacing w:before="0" w:after="0" w:line="240" w:lineRule="auto"/>
              <w:jc w:val="left"/>
            </w:pPr>
            <w:r>
              <w:rPr>
                <w:sz w:val="20"/>
                <w:szCs w:val="20"/>
              </w:rPr>
              <w:t xml:space="preserve">Adjusted correlation; factor model</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Interdependence versus contagion; bias from restricted idiosyncratic variance</w:t>
            </w:r>
          </w:p>
        </w:tc>
      </w:tr>
      <w:tr>
        <w:tc>
          <w:tcPr/>
          <w:p>
            <w:pPr>
              <w:spacing w:before="0" w:after="0" w:line="240" w:lineRule="auto"/>
              <w:jc w:val="left"/>
            </w:pPr>
            <w:r>
              <w:rPr>
                <w:sz w:val="20"/>
                <w:szCs w:val="20"/>
              </w:rPr>
              <w:t xml:space="preserve">Lo and MacKinlay (1990); Hou (2007)</w:t>
            </w:r>
          </w:p>
        </w:tc>
        <w:tc>
          <w:tcPr/>
          <w:p>
            <w:pPr>
              <w:spacing w:before="0" w:after="0" w:line="240" w:lineRule="auto"/>
              <w:jc w:val="left"/>
            </w:pPr>
            <w:r>
              <w:rPr>
                <w:sz w:val="20"/>
                <w:szCs w:val="20"/>
              </w:rPr>
              <w:t xml:space="preserve">US size portfolios</w:t>
            </w:r>
          </w:p>
        </w:tc>
        <w:tc>
          <w:tcPr/>
          <w:p>
            <w:pPr>
              <w:spacing w:before="0" w:after="0" w:line="240" w:lineRule="auto"/>
              <w:jc w:val="left"/>
            </w:pPr>
            <w:r>
              <w:rPr>
                <w:sz w:val="20"/>
                <w:szCs w:val="20"/>
              </w:rPr>
              <w:t xml:space="preserve">Cross-autocorrelation</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Large caps lead small caps</w:t>
            </w:r>
          </w:p>
        </w:tc>
      </w:tr>
      <w:tr>
        <w:tc>
          <w:tcPr/>
          <w:p>
            <w:pPr>
              <w:spacing w:before="0" w:after="0" w:line="240" w:lineRule="auto"/>
              <w:jc w:val="left"/>
            </w:pPr>
            <w:r>
              <w:rPr>
                <w:sz w:val="20"/>
                <w:szCs w:val="20"/>
              </w:rPr>
              <w:t xml:space="preserve">Bui et al. (2022); Tran and Tran (2025)</w:t>
            </w:r>
          </w:p>
        </w:tc>
        <w:tc>
          <w:tcPr/>
          <w:p>
            <w:pPr>
              <w:spacing w:before="0" w:after="0" w:line="240" w:lineRule="auto"/>
              <w:jc w:val="left"/>
            </w:pPr>
            <w:r>
              <w:rPr>
                <w:sz w:val="20"/>
                <w:szCs w:val="20"/>
              </w:rPr>
              <w:t xml:space="preserve">Vietnamese sectors; intraday HOSE</w:t>
            </w:r>
          </w:p>
        </w:tc>
        <w:tc>
          <w:tcPr/>
          <w:p>
            <w:pPr>
              <w:spacing w:before="0" w:after="0" w:line="240" w:lineRule="auto"/>
              <w:jc w:val="left"/>
            </w:pPr>
            <w:r>
              <w:rPr>
                <w:sz w:val="20"/>
                <w:szCs w:val="20"/>
              </w:rPr>
              <w:t xml:space="preserve">Spillover connectedness; high-frequency</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High connectedness; delayed adjustment</w:t>
            </w:r>
          </w:p>
        </w:tc>
      </w:tr>
      <w:tr>
        <w:tc>
          <w:tcPr/>
          <w:p>
            <w:pPr>
              <w:spacing w:before="0" w:after="0" w:line="240" w:lineRule="auto"/>
              <w:jc w:val="left"/>
            </w:pPr>
            <w:r>
              <w:rPr>
                <w:sz w:val="20"/>
                <w:szCs w:val="20"/>
              </w:rPr>
              <w:t xml:space="preserve">This study</w:t>
            </w:r>
          </w:p>
        </w:tc>
        <w:tc>
          <w:tcPr/>
          <w:p>
            <w:pPr>
              <w:spacing w:before="0" w:after="0" w:line="240" w:lineRule="auto"/>
              <w:jc w:val="left"/>
            </w:pPr>
            <w:r>
              <w:rPr>
                <w:sz w:val="20"/>
                <w:szCs w:val="20"/>
              </w:rPr>
              <w:t xml:space="preserve">VN30, VN100, VNINDEX; M30 to daily, 2014–2025</w:t>
            </w:r>
          </w:p>
        </w:tc>
        <w:tc>
          <w:tcPr/>
          <w:p>
            <w:pPr>
              <w:spacing w:before="0" w:after="0" w:line="240" w:lineRule="auto"/>
              <w:jc w:val="left"/>
            </w:pPr>
            <w:r>
              <w:rPr>
                <w:sz w:val="20"/>
                <w:szCs w:val="20"/>
              </w:rPr>
              <w:t xml:space="preserve">Scale-wise part–whole identity; DCCA</w:t>
            </w:r>
          </w:p>
        </w:tc>
        <w:tc>
          <w:tcPr/>
          <w:p>
            <w:pPr>
              <w:spacing w:before="0" w:after="0" w:line="240" w:lineRule="auto"/>
              <w:jc w:val="left"/>
            </w:pPr>
            <w:r>
              <w:rPr>
                <w:sz w:val="20"/>
                <w:szCs w:val="20"/>
              </w:rPr>
              <w:t xml:space="preserve">Yes (scale-wise, with weight uncertainty)</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Purged correlation is invisible in the nested one</w:t>
            </w:r>
          </w:p>
        </w:tc>
      </w:tr>
    </w:tbl>
    <w:p>
      <w:pPr>
        <w:pStyle w:val="Compact"/>
      </w:pPr>
      <w:r>
        <w:rPr>
          <w:sz w:val="20"/>
          <w:szCs w:val="20"/>
        </w:rPr>
        <w:t xml:space="preserve">Notes: Overlap treated: whether the study separates dependence created by shared constituents; scale-wise: whether dependence is measured by timescale; volatility-robust test: whether crisis comparisons correct for heteroskedasticity or common shocks; DMCA: detrending moving-average cross-correlation analysis; ρDCCA: DCCA coefficient.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The part–whole identity is known for static Pearson correlations but has not been extended to scale-wise detrended coefficients, equipped with inference under weight uncertainty, or turned into a diagnostic computable from published series. Multiscale studies of crises rarely use volatility-robust tests, and volatility-conditioned studies use one horizon and disjoint markets. To our knowledge, no study covers the Vietnamese index system at intraday and daily frequencies. For this review, we searched Google Scholar and publisher databases for 2021–2026, plus the classical sources these works cite. Search strings combined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detrended cross-correlation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index</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overlap</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nested</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constituent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together 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part–whole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item–total 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contagion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Forbes–Rigobon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heteroskedasticity</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Vietnam</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co-movement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stock index</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2.7 Estimands and hypotheses</w:t>
      </w:r>
    </w:p>
    <w:p>
      <w:pPr>
        <w:pStyle w:val="p1a"/>
        <w:spacing w:before="0" w:after="120" w:line="300" w:lineRule="auto"/>
        <w:jc w:val="both"/>
      </w:pPr>
      <w:r>
        <w:rPr>
          <w:rFonts w:ascii="Times New Roman" w:hAnsi="Times New Roman" w:cs="Times New Roman" w:eastAsia="Times New Roman"/>
          <w:sz w:val="24"/>
          <w:szCs w:val="24"/>
        </w:rPr>
        <w:t xml:space="preserve">Lemma 1 (Section 4.2) fixes some quantities once the weight and relative amplitude are known; we report these as estimands and test only what the identity does not determine. E1 is the zero-correlation benchmark ρ̲ of the VN30–VN100 coefficient and its share under three attribution conventions, E2 the sensitivity of the nested to the purged coefficient, and E3 the in-sample misstatement of portfolio variance by a static correlation, judged against sampling error. A share above one half is not a finding: it holds whenever κ &lt; √3 and the purged coefficient is non-negative.</w:t>
      </w:r>
    </w:p>
    <w:p>
      <w:pPr>
        <w:pStyle w:val="BodyText"/>
        <w:spacing w:before="0" w:after="120" w:line="300" w:lineRule="auto"/>
        <w:jc w:val="both"/>
      </w:pPr>
      <w:r>
        <w:rPr>
          <w:rFonts w:ascii="Times New Roman" w:hAnsi="Times New Roman" w:cs="Times New Roman" w:eastAsia="Times New Roman"/>
          <w:iCs/>
          <w:i/>
          <w:sz w:val="24"/>
          <w:szCs w:val="24"/>
        </w:rPr>
        <w:t xml:space="preserve">H1 (material overlap gap).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purged coefficient near one would leave almost no gap, so the gap size is an empirical question. Rule: the lower 95% bound of the like-for-like gap (VN30–VN100 minus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overlap-purged mid-cap series) exceeds 0.05, the estimation tolerance of Section 4.4, at every frequency.</w:t>
      </w:r>
    </w:p>
    <w:p>
      <w:pPr>
        <w:pStyle w:val="BodyText"/>
        <w:spacing w:before="0" w:after="120" w:line="300" w:lineRule="auto"/>
        <w:jc w:val="both"/>
      </w:pPr>
      <w:r>
        <w:rPr>
          <w:rFonts w:ascii="Times New Roman" w:hAnsi="Times New Roman" w:cs="Times New Roman" w:eastAsia="Times New Roman"/>
          <w:iCs/>
          <w:i/>
          <w:sz w:val="24"/>
          <w:szCs w:val="24"/>
        </w:rPr>
        <w:t xml:space="preserve">H2 (horizon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Large caps lead small caps (Lo and MacKinlay 1990; Hou 2007), non-synchronous trading depresses short-horizon correlations (Epps 1979) and information diffuses gradually (Hong and Stein 1999). Broad-market coefficients should therefore rise with the timescale, whereas the identity predicts a damped VN30–VN100 slope. Rule: among eight broad-market slope tests, at least one pair at each of M30 and H1 has a positive slope with a Holm-adjusted studentized p-value below 0.05. We also report robustness to removing the opening bar and an equivalence test for VN30–VN100.</w:t>
      </w:r>
    </w:p>
    <w:p>
      <w:pPr>
        <w:pStyle w:val="BodyText"/>
        <w:spacing w:before="0" w:after="120" w:line="300" w:lineRule="auto"/>
        <w:jc w:val="both"/>
      </w:pPr>
      <w:r>
        <w:rPr>
          <w:rFonts w:ascii="Times New Roman" w:hAnsi="Times New Roman" w:cs="Times New Roman" w:eastAsia="Times New Roman"/>
          <w:iCs/>
          <w:i/>
          <w:sz w:val="24"/>
          <w:szCs w:val="24"/>
        </w:rPr>
        <w:t xml:space="preserve">H3 (contagion).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Raw crisis correlations rise with volatility alone (Forbes and Rigobon 2002), and the volatility correction is biased toward no contagion when idiosyncratic variance rises (Corsetti et al. 2005). Rule: under VN30 volatility regimes, the adjusted correlation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exceeds its calm level (one-sided p &lt; 0.05) and the loading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VN30 rises (two-sided p &lt; 0.05).</w:t>
      </w:r>
    </w:p>
    <w:p>
      <w:pPr>
        <w:pStyle w:val="BodyText"/>
        <w:spacing w:before="0" w:after="120" w:line="300" w:lineRule="auto"/>
        <w:jc w:val="both"/>
      </w:pPr>
      <w:r>
        <w:rPr>
          <w:rFonts w:ascii="Times New Roman" w:hAnsi="Times New Roman" w:cs="Times New Roman" w:eastAsia="Times New Roman"/>
          <w:iCs/>
          <w:i/>
          <w:sz w:val="24"/>
          <w:szCs w:val="24"/>
        </w:rPr>
        <w:t xml:space="preserve">H4 (value of regime conditioning).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Rule: an exponentially weighted moving average (EWMA) or real-time regime correlation has a lower quasi-likelihood (QLIKE) loss than the static correlation over 2023–2025, with a Diebold–Mariano p-value below 0.05. We fixed these rules, the eight-test family and the factor-loading test at revision, after the first-round results were known. We also report the original specifications.</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Six features of the HOSE matter here. Prices move within a ±7% daily band, which truncates tails and synchronizes limit hits. Settlement moved from T+3 to T+2 on 1 January 2016 (Vietnam Securities Depository 2015), limiting intraday arbitrage. Each day has an opening call auction (09:00–09:15), continuous trading to 11:30, a break to 13:00, a second continuous session and a closing call auction (14:30–14:45). Short selling is restricted. Circular 120/2020/TT-BTC (Ministry of Finance of Vietnam 2020) provides a framework for covered short sales that, to our knowledge, had not been put into operation, and naked short selling is prohibited. The implementing Decree 155/2020/ND-CP (Government of Vietnam 2020) was amended by Decree 245/2025/ND-CP (Government of Vietnam 2025). VN30 futures trade on the Hanoi Stock Exchange, but no mid-cap future exists. A VNMIDCAP exchange-traded fund (FUEDCMID) has been listed since 29 September 2022 (Ho Chi Minh City Stock Exchange 2022), so mid caps can be held long but cannot be shorted or hedged with a dedicated derivative. Finally, foreign ownership limits (30% for banks, for example) concentrate foreign flows in large caps with room under their limits. Vietnam is to be reclassified to Secondary Emerging status from 21 September 2026 (FTSE Russell 2025), after the end of our sample.</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VN30, VN100 and VNINDEX levels exported from TradingView (exchange code HOSE). VN30 holds the 30 largest stocks by free-float capitalization, VN100 adds the next 70 (the VNMIDCAP index) and VNINDEX covers all HOSE stocks at full capitalization. Daily (1D) and 30-minute (M30) series run to 12 December 2025, 1-hour (H1) and 4-hour (H4) series to 9 December 2024. M30 bars open at 09:00, 09:30, 10:00, 10:30, 11:00, 11:30, 13:00, 13:30, 14:00, 14:30, H1 bars at 09:00, 10:00, 11:00, 13:00, 14:00, and the two H4 bars cover the two sessions, so at every frequency the first bar of the day holds the overnight return and the opening auction. The vendor has no full VNMIDCAP history, so we recover the mid-cap segment from VN30 and VN100 (Section 4.2). We merge the series by exact timestamp joins without filling gaps. We did not compare them with HOSE closing levels date by date; the replication package records an input checksum. Log returns are</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synchronized window (3 January 2017 to 9 December 2024; 1D: N = 1,983; M30: 19,463; H1: 9,879; H4: 3,953) serves cross-frequency comparisons. All other analyses use the full sample (1D: February 2014 to December 2025, N = 2,963; M30: January 2017 to December 2025, 21,942; H1 and H4: January 2014 to December 2024, 13,523 and 5,410). The indices are computed in real time, so they embed reconstitutions and delistings and carry no survivorship bias.</w:t>
      </w:r>
    </w:p>
    <w:p>
      <w:pPr>
        <w:pStyle w:val="BodyText"/>
        <w:spacing w:before="0" w:after="120" w:line="300" w:lineRule="auto"/>
        <w:jc w:val="both"/>
      </w:pPr>
      <w:r>
        <w:rPr>
          <w:rFonts w:ascii="Times New Roman" w:hAnsi="Times New Roman" w:cs="Times New Roman" w:eastAsia="Times New Roman"/>
          <w:sz w:val="24"/>
          <w:szCs w:val="24"/>
        </w:rPr>
        <w:t xml:space="preserve">Regimes use the 20-day rolling standard deviation of returns (Fig. 1). Chronological crises require a VNINDEX drawdown above 25%, at least 45% of days in the top volatility quartile and a documented trigger: the 2018 margin contraction (drawdown 26.2%, 47% of days in the top quartile), COVID-19 in 2020 (33.5%, 52%) and the 2022 bond-market freeze (40.2%, 60%). The three episodes total 539 days, against calm years 2016–2017 and 2023–2024 (1,000 days); the 2021 and 2025 spikes fail the first two conditions (Table S12). Quartile regimes compare the bottom and top quartiles of rolling VNINDEX volatility (10.6% and 20.0% annualized) or of VN30 volatility.</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the three chronological crisis episodes; dashed and dotted horizontal lines: 25th and 75th percentiles of rolling volatility. The 2021 and 2025 spikes are not shaded because their drawdowns are below 25% (Section 3.2). Source: Authors’ calculations based on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The DCCA coefficient measures correlation at timescale s after removing local trends (Podobnik and Stanley 2008; Zebende 2011).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split each profile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boxes of length s, starting from each end of the series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each box ν we fit a polynomial of order m (m = 1 unless stated otherwise) by ordinary least squares (OLS);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(5) is an inner product of stacked residual vectors divided by their norms, so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by the Cauchy–Schwarz inequality whenever both fluctuation functions are positive. Because profiles are linear in the series and OLS detrending is a linear projection,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The overlap-purged series and the part–whole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be VN30 and VN100 returns and w the free-float weight of VN30 in VN100. The overlap-purged mid-cap series is</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from the HOSE factsheet of 31 May 2024 (free-float capitalizations of VND 1,316,288 billion and 1,928,303 billion, respectively), so that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observation. On log returns,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arithmetic mid-cap return by a Jensen term of 3.6 × 10⁻⁶ per day.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a shadow benchmark: replicating it requires about 315% long VN100 and 215% short VN30.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the coefficient of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overlap-purged rather than economic, because we cannot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series (Section 6.3).</w:t>
      </w:r>
    </w:p>
    <w:p>
      <w:pPr>
        <w:pStyle w:val="BodyText"/>
        <w:spacing w:before="0" w:after="120" w:line="300" w:lineRule="auto"/>
        <w:jc w:val="both"/>
      </w:pPr>
      <w:r>
        <w:rPr>
          <w:rFonts w:ascii="Times New Roman" w:hAnsi="Times New Roman" w:cs="Times New Roman" w:eastAsia="Times New Roman"/>
          <w:bCs/>
          <w:b/>
          <w:sz w:val="24"/>
          <w:szCs w:val="24"/>
        </w:rPr>
        <w:t xml:space="preserve">Lemma 1 (scale-wise part–whole identity).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and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Then, for every s and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By bilinearity of Eq. (4),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by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Eq. (7). ∎</w:t>
      </w:r>
    </w:p>
    <w:p>
      <w:pPr>
        <w:pStyle w:val="BodyText"/>
        <w:spacing w:before="0" w:after="120" w:line="300" w:lineRule="auto"/>
        <w:jc w:val="both"/>
      </w:pPr>
      <w:r>
        <w:rPr>
          <w:rFonts w:ascii="Times New Roman" w:hAnsi="Times New Roman" w:cs="Times New Roman" w:eastAsia="Times New Roman"/>
          <w:sz w:val="24"/>
          <w:szCs w:val="24"/>
        </w:rPr>
        <w:t xml:space="preserve">With one box and no detrending, Eq. (7) is the classical part–whole correlation (Pearson 1897; Cureton 1966), so the lemma adapts a known identity. It holds scale by scale for detrended coefficients, for the detrending moving-average cross-correlation (DMCA) coefficient (Kristoufek 2014) and for any measure built from a bilinear covariance of linearly filtered series. Five corollaries follow; we fix the scale and suppress it in the notation.</w:t>
      </w:r>
    </w:p>
    <w:p>
      <w:pPr>
        <w:pStyle w:val="BodyText"/>
        <w:spacing w:before="0" w:after="120" w:line="300" w:lineRule="auto"/>
        <w:jc w:val="both"/>
      </w:pPr>
      <w:r>
        <w:rPr>
          <w:rFonts w:ascii="Times New Roman" w:hAnsi="Times New Roman" w:cs="Times New Roman" w:eastAsia="Times New Roman"/>
          <w:iCs/>
          <w:i/>
          <w:sz w:val="24"/>
          <w:szCs w:val="24"/>
        </w:rPr>
        <w:t xml:space="preserve">Corollary 1 (benchmark and bound).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gives the zero-correlation benchmark</w:t>
      </w:r>
    </w:p>
    <w:p>
      <w:pPr>
        <w:pStyle w:val="BodyText"/>
        <w:spacing w:before="0" w:after="120" w:line="300" w:lineRule="auto"/>
      </w:pPr>
      <m:oMathPara>
        <m:oMathParaPr>
          <m:jc m:val="center"/>
        </m:oMathParaPr>
        <m:oMath>
          <m:bar>
            <m:barPr>
              <m:pos m:val="bot"/>
            </m:barPr>
            <m:e>
              <m:r>
                <m:t>ρ</m:t>
              </m:r>
            </m:e>
          </m:bar>
          <m:r>
            <m:rPr>
              <m:sty m:val="p"/>
            </m:rPr>
            <m:t>=</m:t>
          </m:r>
          <m:f>
            <m:fPr>
              <m:type m:val="bar"/>
            </m:fPr>
            <m:num>
              <m:r>
                <m:t>1</m:t>
              </m:r>
            </m:num>
            <m:den>
              <m:rad>
                <m:radPr>
                  <m:degHide m:val="on"/>
                </m:radPr>
                <m:deg/>
                <m:e>
                  <m:r>
                    <m:t>1</m:t>
                  </m:r>
                  <m:r>
                    <m:rPr>
                      <m:sty m:val="p"/>
                    </m:rPr>
                    <m:t>+</m:t>
                  </m:r>
                  <m:sSup>
                    <m:e>
                      <m:r>
                        <m:t>κ</m:t>
                      </m:r>
                    </m:e>
                    <m:sup>
                      <m:r>
                        <m:t>2</m:t>
                      </m:r>
                    </m:sup>
                  </m:sSup>
                </m:e>
              </m:rad>
            </m:den>
          </m:f>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(7) increases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&gt; −κ, so ρ̲ bounds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 below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For κ &lt; 1 the minimum over all admissible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limLow>
            <m:e>
              <m:r>
                <m:rPr>
                  <m:sty m:val="p"/>
                </m:rPr>
                <m:t>min</m:t>
              </m:r>
            </m:e>
            <m:lim>
              <m:sSub>
                <m:e>
                  <m:r>
                    <m:t>ρ</m:t>
                  </m:r>
                </m:e>
                <m:sub>
                  <m:r>
                    <m:t>A</m:t>
                  </m:r>
                  <m:r>
                    <m:t>M</m:t>
                  </m:r>
                </m:sub>
              </m:sSub>
              <m:r>
                <m:rPr>
                  <m:sty m:val="p"/>
                </m:rPr>
                <m:t>∈</m:t>
              </m:r>
              <m:d>
                <m:dPr>
                  <m:begChr m:val="["/>
                  <m:endChr m:val="]"/>
                  <m:sepChr m:val=""/>
                  <m:grow/>
                </m:dPr>
                <m:e>
                  <m:r>
                    <m:rPr>
                      <m:sty m:val="p"/>
                    </m:rPr>
                    <m:t>−</m:t>
                  </m:r>
                  <m:r>
                    <m:t>1</m:t>
                  </m:r>
                  <m:r>
                    <m:rPr>
                      <m:sty m:val="p"/>
                    </m:rPr>
                    <m:t>,</m:t>
                  </m:r>
                  <m:r>
                    <m:t>1</m:t>
                  </m:r>
                </m:e>
              </m:d>
            </m:lim>
          </m:limLow>
          <m:sSub>
            <m:e>
              <m:r>
                <m:t>ρ</m:t>
              </m:r>
            </m:e>
            <m:sub>
              <m:r>
                <m:t>A</m:t>
              </m:r>
              <m:r>
                <m:t>B</m:t>
              </m:r>
            </m:sub>
          </m:sSub>
          <m:r>
            <m:rPr>
              <m:sty m:val="p"/>
            </m:rPr>
            <m:t>=</m:t>
          </m:r>
          <m:rad>
            <m:radPr>
              <m:degHide m:val="on"/>
            </m:radPr>
            <m:deg/>
            <m:e>
              <m:r>
                <m:t>1</m:t>
              </m:r>
              <m:r>
                <m:rPr>
                  <m:sty m:val="p"/>
                </m:rPr>
                <m:t>−</m:t>
              </m:r>
              <m:sSup>
                <m:e>
                  <m:r>
                    <m:t>κ</m:t>
                  </m:r>
                </m:e>
                <m:sup>
                  <m:r>
                    <m:t>2</m:t>
                  </m:r>
                </m:sup>
              </m:sSup>
            </m:e>
          </m:rad>
          <m:r>
            <m:rPr>
              <m:sty m:val="p"/>
            </m:rPr>
            <m:t>,</m:t>
          </m:r>
          <m:r>
            <m:t>  </m:t>
          </m:r>
          <m:r>
            <m:rPr>
              <m:nor/>
              <m:sty m:val="p"/>
            </m:rPr>
            <m:t>attained at </m:t>
          </m:r>
          <m:sSub>
            <m:e>
              <m:r>
                <m:t>ρ</m:t>
              </m:r>
            </m:e>
            <m:sub>
              <m:r>
                <m:t>A</m:t>
              </m:r>
              <m:r>
                <m:t>M</m:t>
              </m:r>
            </m:sub>
          </m:sSub>
          <m:r>
            <m:rPr>
              <m:sty m:val="p"/>
            </m:rPr>
            <m:t>=</m:t>
          </m:r>
          <m:r>
            <m:rPr>
              <m:sty m:val="p"/>
            </m:rPr>
            <m:t>−</m:t>
          </m:r>
          <m:r>
            <m:t>κ</m:t>
          </m:r>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for κ ≥ 1 no positive bound exists.</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2 (sensitivity).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sensitivity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num>
            <m:den>
              <m:r>
                <m:rPr>
                  <m:sty m:val="p"/>
                </m:rPr>
                <m:t>∂</m:t>
              </m:r>
              <m:sSub>
                <m:e>
                  <m:r>
                    <m:t>ρ</m:t>
                  </m:r>
                </m:e>
                <m:sub>
                  <m:r>
                    <m:t>A</m:t>
                  </m:r>
                  <m:r>
                    <m:t>M</m:t>
                  </m:r>
                </m:sub>
              </m:sSub>
            </m:den>
          </m:f>
          <m:r>
            <m:rPr>
              <m:sty m:val="p"/>
            </m:rPr>
            <m:t>=</m:t>
          </m:r>
          <m:f>
            <m:fPr>
              <m:type m:val="bar"/>
            </m:fPr>
            <m:num>
              <m:sSup>
                <m:e>
                  <m:r>
                    <m:t>κ</m:t>
                  </m:r>
                </m:e>
                <m:sup>
                  <m:r>
                    <m:t>2</m:t>
                  </m:r>
                </m:sup>
              </m:sSup>
              <m:r>
                <m:t> </m:t>
              </m:r>
              <m:d>
                <m:dPr>
                  <m:begChr m:val="("/>
                  <m:endChr m:val=")"/>
                  <m:sepChr m:val=""/>
                  <m:grow/>
                </m:dPr>
                <m:e>
                  <m:r>
                    <m:t>κ</m:t>
                  </m:r>
                  <m:r>
                    <m:rPr>
                      <m:sty m:val="p"/>
                    </m:rPr>
                    <m:t>+</m:t>
                  </m:r>
                  <m:sSub>
                    <m:e>
                      <m:r>
                        <m:t>ρ</m:t>
                      </m:r>
                    </m:e>
                    <m:sub>
                      <m:r>
                        <m:t>A</m:t>
                      </m:r>
                      <m:r>
                        <m:t>M</m:t>
                      </m:r>
                    </m:sub>
                  </m:sSub>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the child dominates the parent; its inverse states how far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must move to change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given amount.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3 (direction).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so overlap can only raise the coefficient.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4 (dominance).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implies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 so the benchmark exceeds half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whenever κ &lt; √3, that is,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&lt; √3·w/(1 − w) = 3.73 at the HOSE weight; such a share carries no information.</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5 (attribution).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neither overlap nor dependence the coefficient is 0, with overlap only ρ̲, with dependence only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with both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The benchmark-first share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the dependence-first share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depend on the order; the Shapley (1953) value averages the two orders into an additive split,</w:t>
      </w:r>
    </w:p>
    <w:p>
      <w:pPr>
        <w:pStyle w:val="BodyText"/>
        <w:spacing w:before="0" w:after="120" w:line="300" w:lineRule="auto"/>
      </w:pPr>
      <m:oMathPara>
        <m:oMathParaPr>
          <m:jc m:val="center"/>
        </m:oMathParaPr>
        <m:oMath>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f>
            <m:fPr>
              <m:type m:val="lin"/>
            </m:fPr>
            <m:num>
              <m:r>
                <m:t>1</m:t>
              </m:r>
            </m:num>
            <m:den>
              <m:r>
                <m:t>2</m:t>
              </m:r>
            </m:den>
          </m:f>
          <m:d>
            <m:dPr>
              <m:begChr m:val="["/>
              <m:endChr m:val="]"/>
              <m:sepChr m:val=""/>
              <m:grow/>
            </m:dPr>
            <m:e>
              <m:bar>
                <m:barPr>
                  <m:pos m:val="bot"/>
                </m:barPr>
                <m:e>
                  <m:r>
                    <m:t>ρ</m:t>
                  </m:r>
                </m:e>
              </m:bar>
              <m:r>
                <m:rPr>
                  <m:sty m:val="p"/>
                </m:rPr>
                <m:t>+</m:t>
              </m:r>
              <m:d>
                <m:dPr>
                  <m:begChr m:val="("/>
                  <m:endChr m:val=")"/>
                  <m:sepChr m:val=""/>
                  <m:grow/>
                </m:dPr>
                <m:e>
                  <m:sSub>
                    <m:e>
                      <m:r>
                        <m:t>ρ</m:t>
                      </m:r>
                    </m:e>
                    <m:sub>
                      <m:r>
                        <m:t>A</m:t>
                      </m:r>
                      <m:r>
                        <m:t>B</m:t>
                      </m:r>
                    </m:sub>
                  </m:sSub>
                  <m:r>
                    <m:rPr>
                      <m:sty m:val="p"/>
                    </m:rPr>
                    <m:t>−</m:t>
                  </m:r>
                  <m:sSub>
                    <m:e>
                      <m:r>
                        <m:t>ρ</m:t>
                      </m:r>
                    </m:e>
                    <m:sub>
                      <m:r>
                        <m:t>A</m:t>
                      </m:r>
                      <m:r>
                        <m:t>M</m:t>
                      </m:r>
                    </m:sub>
                  </m:sSub>
                </m:e>
              </m:d>
            </m:e>
          </m:d>
          <m:r>
            <m:rPr>
              <m:sty m:val="p"/>
            </m:rPr>
            <m:t>,</m:t>
          </m:r>
          <m:r>
            <m:t>  </m:t>
          </m:r>
          <m:sSub>
            <m:e>
              <m:r>
                <m:t>ϕ</m:t>
              </m:r>
            </m:e>
            <m:sub>
              <m:r>
                <m:rPr>
                  <m:sty m:val="p"/>
                </m:rPr>
                <m:t>d</m:t>
              </m:r>
              <m:r>
                <m:rPr>
                  <m:sty m:val="p"/>
                </m:rPr>
                <m:t>e</m:t>
              </m:r>
              <m:r>
                <m:rPr>
                  <m:sty m:val="p"/>
                </m:rPr>
                <m:t>p</m:t>
              </m:r>
            </m:sub>
          </m:sSub>
          <m:r>
            <m:rPr>
              <m:sty m:val="p"/>
            </m:rPr>
            <m:t>=</m:t>
          </m:r>
          <m:f>
            <m:fPr>
              <m:type m:val="lin"/>
            </m:fPr>
            <m:num>
              <m:r>
                <m:t>1</m:t>
              </m:r>
            </m:num>
            <m:den>
              <m:r>
                <m:t>2</m:t>
              </m:r>
            </m:den>
          </m:f>
          <m:d>
            <m:dPr>
              <m:begChr m:val="["/>
              <m:endChr m:val="]"/>
              <m:sepChr m:val=""/>
              <m:grow/>
            </m:dPr>
            <m:e>
              <m:sSub>
                <m:e>
                  <m:r>
                    <m:t>ρ</m:t>
                  </m:r>
                </m:e>
                <m:sub>
                  <m:r>
                    <m:t>A</m:t>
                  </m:r>
                  <m:r>
                    <m:t>M</m:t>
                  </m:r>
                </m:sub>
              </m:sSub>
              <m:r>
                <m:rPr>
                  <m:sty m:val="p"/>
                </m:rPr>
                <m:t>+</m:t>
              </m:r>
              <m:d>
                <m:dPr>
                  <m:begChr m:val="("/>
                  <m:endChr m:val=")"/>
                  <m:sepChr m:val=""/>
                  <m:grow/>
                </m:dPr>
                <m:e>
                  <m:sSub>
                    <m:e>
                      <m:r>
                        <m:t>ρ</m:t>
                      </m:r>
                    </m:e>
                    <m:sub>
                      <m:r>
                        <m:t>A</m:t>
                      </m:r>
                      <m:r>
                        <m:t>B</m:t>
                      </m:r>
                    </m:sub>
                  </m:sSub>
                  <m:r>
                    <m:rPr>
                      <m:sty m:val="p"/>
                    </m:rPr>
                    <m:t>−</m:t>
                  </m:r>
                  <m:bar>
                    <m:barPr>
                      <m:pos m:val="bot"/>
                    </m:barPr>
                    <m:e>
                      <m:r>
                        <m:t>ρ</m:t>
                      </m:r>
                    </m:e>
                  </m:bar>
                </m:e>
              </m:d>
            </m:e>
          </m:d>
          <m:r>
            <m:rPr>
              <m:sty m:val="p"/>
            </m:rPr>
            <m:t>,</m:t>
          </m:r>
          <m:r>
            <m:t>  </m:t>
          </m:r>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sSub>
            <m:e>
              <m:r>
                <m:t>ϕ</m:t>
              </m:r>
            </m:e>
            <m:sub>
              <m:r>
                <m:rPr>
                  <m:sty m:val="p"/>
                </m:rPr>
                <m:t>d</m:t>
              </m:r>
              <m:r>
                <m:rPr>
                  <m:sty m:val="p"/>
                </m:rPr>
                <m:t>e</m:t>
              </m:r>
              <m:r>
                <m:rPr>
                  <m:sty m:val="p"/>
                </m:rPr>
                <m:t>p</m:t>
              </m:r>
            </m:sub>
          </m:sSub>
          <m:r>
            <m:rPr>
              <m:sty m:val="p"/>
            </m:rPr>
            <m:t>=</m:t>
          </m:r>
          <m:sSub>
            <m:e>
              <m:r>
                <m:t>ρ</m:t>
              </m:r>
            </m:e>
            <m:sub>
              <m:r>
                <m:t>A</m:t>
              </m:r>
              <m:r>
                <m:t>B</m:t>
              </m:r>
            </m:sub>
          </m:sSub>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lead with the sensitivity, which needs no attribution convention, and report the Shapley share φ_overlap/ρ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Eq. (7) reproduces the directly estimated VN30–VN100 coefficient at every scale and frequency to within 4.4 × 10⁻¹⁶. We compute all quantities scale by scale and average them over the reliable range (Section 4.4). Because M is a linear combination of A and B, the decomposition also follows from index-level moments alone (Box 1).</w:t>
      </w:r>
    </w:p>
    <w:p>
      <w:pPr>
        <w:pStyle w:val="tablecaption0"/>
      </w:pPr>
      <w:r>
        <w:rPr>
          <w:bCs/>
          <w:b/>
        </w:rPr>
        <w:t xml:space="preserve">Box 1</w:t>
      </w:r>
      <w:r>
        <w:t xml:space="preserve"> </w:t>
      </w:r>
      <w:r>
        <w:t xml:space="preserve">Decomposition of a nested correlation from index-level inputs</w:t>
      </w:r>
    </w:p>
    <w:tbl>
      <w:tblPr>
        <w:tblStyle w:val="TableGrid"/>
        <w:tblW w:type="pct" w:w="5000"/>
        <w:tblLook w:firstRow="1" w:lastRow="0" w:firstColumn="0" w:lastColumn="0" w:noHBand="0" w:noVBand="0" w:val="0020"/>
        <w:jc w:val="start"/>
      </w:tblPr>
      <w:tblGrid>
        <w:gridCol w:w="2640"/>
        <w:gridCol w:w="2640"/>
        <w:gridCol w:w="2640"/>
      </w:tblGrid>
      <w:tr>
        <w:trPr>
          <w:tblHeader w:val="true"/>
        </w:trPr>
        <w:tc>
          <w:tcPr/>
          <w:p>
            <w:pPr>
              <w:spacing w:before="0" w:after="0" w:line="240" w:lineRule="auto"/>
              <w:jc w:val="left"/>
            </w:pPr>
            <w:r>
              <w:rPr>
                <w:sz w:val="20"/>
                <w:szCs w:val="20"/>
              </w:rPr>
              <w:t xml:space="preserve">Step</w:t>
            </w:r>
          </w:p>
        </w:tc>
        <w:tc>
          <w:tcPr/>
          <w:p>
            <w:pPr>
              <w:spacing w:before="0" w:after="0" w:line="240" w:lineRule="auto"/>
              <w:jc w:val="left"/>
            </w:pPr>
            <w:r>
              <w:rPr>
                <w:sz w:val="20"/>
                <w:szCs w:val="20"/>
              </w:rPr>
              <w:t xml:space="preserve">Computation</w:t>
            </w:r>
          </w:p>
        </w:tc>
        <w:tc>
          <w:tcPr/>
          <w:p>
            <w:pPr>
              <w:spacing w:before="0" w:after="0" w:line="240" w:lineRule="auto"/>
              <w:jc w:val="left"/>
            </w:pPr>
            <w:r>
              <w:rPr>
                <w:sz w:val="20"/>
                <w:szCs w:val="20"/>
              </w:rPr>
              <w:t xml:space="preserve">VN30 in VN100, daily</w:t>
            </w:r>
          </w:p>
        </w:tc>
      </w:tr>
      <w:tr>
        <w:tc>
          <w:tcPr/>
          <w:p>
            <w:pPr>
              <w:spacing w:before="0" w:after="0" w:line="240" w:lineRule="auto"/>
              <w:jc w:val="left"/>
            </w:pPr>
            <w:r>
              <w:rPr>
                <w:sz w:val="20"/>
                <w:szCs w:val="20"/>
              </w:rPr>
              <w:t xml:space="preserve">1. Inputs</w:t>
            </w:r>
          </w:p>
        </w:tc>
        <w:tc>
          <w:tcPr/>
          <w:p>
            <w:pPr>
              <w:spacing w:before="0" w:after="0" w:line="240" w:lineRule="auto"/>
              <w:jc w:val="left"/>
            </w:pPr>
            <w:r>
              <w:rPr>
                <w:sz w:val="20"/>
                <w:szCs w:val="20"/>
              </w:rPr>
              <w:t xml:space="preserve">w; σ</w:t>
            </w:r>
            <w:r>
              <w:rPr>
                <w:vertAlign w:val="subscript"/>
                <w:sz w:val="20"/>
                <w:szCs w:val="20"/>
              </w:rPr>
              <w:t xml:space="preserve">A</w:t>
            </w:r>
            <w:r>
              <w:rPr>
                <w:sz w:val="20"/>
                <w:szCs w:val="20"/>
              </w:rPr>
              <w:t xml:space="preserve">, σ</w:t>
            </w:r>
            <w:r>
              <w:rPr>
                <w:vertAlign w:val="subscript"/>
                <w:sz w:val="20"/>
                <w:szCs w:val="20"/>
              </w:rPr>
              <w:t xml:space="preserve">B</w:t>
            </w:r>
            <w:r>
              <w:rPr>
                <w:sz w:val="20"/>
                <w:szCs w:val="20"/>
              </w:rPr>
              <w:t xml:space="preserve">; ρ</w:t>
            </w:r>
            <w:r>
              <w:rPr>
                <w:vertAlign w:val="subscript"/>
                <w:sz w:val="20"/>
                <w:szCs w:val="20"/>
              </w:rPr>
              <w:t xml:space="preserve">AB</w:t>
            </w:r>
          </w:p>
        </w:tc>
        <w:tc>
          <w:tcPr/>
          <w:p>
            <w:pPr>
              <w:spacing w:before="0" w:after="0" w:line="240" w:lineRule="auto"/>
              <w:jc w:val="left"/>
            </w:pPr>
            <w:r>
              <w:rPr>
                <w:sz w:val="20"/>
                <w:szCs w:val="20"/>
              </w:rPr>
              <w:t xml:space="preserve">w = 0.6826; σ</w:t>
            </w:r>
            <w:r>
              <w:rPr>
                <w:vertAlign w:val="subscript"/>
                <w:sz w:val="20"/>
                <w:szCs w:val="20"/>
              </w:rPr>
              <w:t xml:space="preserve">A</w:t>
            </w:r>
            <w:r>
              <w:rPr>
                <w:sz w:val="20"/>
                <w:szCs w:val="20"/>
              </w:rPr>
              <w:t xml:space="preserve"> </w:t>
            </w:r>
            <w:r>
              <w:rPr>
                <w:sz w:val="20"/>
                <w:szCs w:val="20"/>
              </w:rPr>
              <w:t xml:space="preserve">= 0.0121, σ</w:t>
            </w:r>
            <w:r>
              <w:rPr>
                <w:vertAlign w:val="subscript"/>
                <w:sz w:val="20"/>
                <w:szCs w:val="20"/>
              </w:rPr>
              <w:t xml:space="preserve">B</w:t>
            </w:r>
            <w:r>
              <w:rPr>
                <w:sz w:val="20"/>
                <w:szCs w:val="20"/>
              </w:rPr>
              <w:t xml:space="preserve"> </w:t>
            </w:r>
            <w:r>
              <w:rPr>
                <w:sz w:val="20"/>
                <w:szCs w:val="20"/>
              </w:rPr>
              <w:t xml:space="preserve">= 0.0119; ρ</w:t>
            </w:r>
            <w:r>
              <w:rPr>
                <w:vertAlign w:val="subscript"/>
                <w:sz w:val="20"/>
                <w:szCs w:val="20"/>
              </w:rPr>
              <w:t xml:space="preserve">AB</w:t>
            </w:r>
            <w:r>
              <w:rPr>
                <w:sz w:val="20"/>
                <w:szCs w:val="20"/>
              </w:rPr>
              <w:t xml:space="preserve"> </w:t>
            </w:r>
            <w:r>
              <w:rPr>
                <w:sz w:val="20"/>
                <w:szCs w:val="20"/>
              </w:rPr>
              <w:t xml:space="preserve">= 0.9885</w:t>
            </w:r>
          </w:p>
        </w:tc>
      </w:tr>
      <w:tr>
        <w:tc>
          <w:tcPr/>
          <w:p>
            <w:pPr>
              <w:spacing w:before="0" w:after="0" w:line="240" w:lineRule="auto"/>
              <w:jc w:val="left"/>
            </w:pPr>
            <w:r>
              <w:rPr>
                <w:sz w:val="20"/>
                <w:szCs w:val="20"/>
              </w:rPr>
              <w:t xml:space="preserve">2. Remainder volatility</w:t>
            </w:r>
          </w:p>
        </w:tc>
        <w:tc>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(σ²</w:t>
            </w:r>
            <w:r>
              <w:rPr>
                <w:vertAlign w:val="subscript"/>
                <w:sz w:val="20"/>
                <w:szCs w:val="20"/>
              </w:rPr>
              <w:t xml:space="preserve">B</w:t>
            </w:r>
            <w:r>
              <w:rPr>
                <w:sz w:val="20"/>
                <w:szCs w:val="20"/>
              </w:rPr>
              <w:t xml:space="preserve"> </w:t>
            </w:r>
            <w:r>
              <w:rPr>
                <w:sz w:val="20"/>
                <w:szCs w:val="20"/>
              </w:rPr>
              <w:t xml:space="preserve">− 2wρ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A</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w²σ²</w:t>
            </w:r>
            <w:r>
              <w:rPr>
                <w:vertAlign w:val="subscript"/>
                <w:sz w:val="20"/>
                <w:szCs w:val="20"/>
              </w:rPr>
              <w:t xml:space="preserve">A</w:t>
            </w:r>
            <w:r>
              <w:rPr>
                <w:sz w:val="20"/>
                <w:szCs w:val="20"/>
              </w:rPr>
              <w:t xml:space="preserve">)</w:t>
            </w:r>
            <w:r>
              <w:rPr>
                <w:vertAlign w:val="superscript"/>
                <w:sz w:val="20"/>
                <w:szCs w:val="20"/>
              </w:rPr>
              <w:t xml:space="preserve">1/2</w:t>
            </w:r>
            <w:r>
              <w:rPr>
                <w:sz w:val="20"/>
                <w:szCs w:val="20"/>
              </w:rPr>
              <w:t xml:space="preserve">/(1 − w)</w:t>
            </w:r>
          </w:p>
        </w:tc>
        <w:tc>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0.0124</w:t>
            </w:r>
          </w:p>
        </w:tc>
      </w:tr>
      <w:tr>
        <w:tc>
          <w:tcPr/>
          <w:p>
            <w:pPr>
              <w:spacing w:before="0" w:after="0" w:line="240" w:lineRule="auto"/>
              <w:jc w:val="left"/>
            </w:pPr>
            <w:r>
              <w:rPr>
                <w:sz w:val="20"/>
                <w:szCs w:val="20"/>
              </w:rPr>
              <w:t xml:space="preserve">3. Relative amplitude</w:t>
            </w:r>
          </w:p>
        </w:tc>
        <w:tc>
          <w:tcPr/>
          <w:p>
            <w:pPr>
              <w:spacing w:before="0" w:after="0" w:line="240" w:lineRule="auto"/>
              <w:jc w:val="left"/>
            </w:pPr>
            <w:r>
              <w:rPr>
                <w:sz w:val="20"/>
                <w:szCs w:val="20"/>
              </w:rPr>
              <w:t xml:space="preserve">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w:t>
            </w:r>
          </w:p>
        </w:tc>
        <w:tc>
          <w:tcPr/>
          <w:p>
            <w:pPr>
              <w:spacing w:before="0" w:after="0" w:line="240" w:lineRule="auto"/>
              <w:jc w:val="left"/>
            </w:pPr>
            <w:r>
              <w:rPr>
                <w:sz w:val="20"/>
                <w:szCs w:val="20"/>
              </w:rPr>
              <w:t xml:space="preserve">κ = 0.475</w:t>
            </w:r>
          </w:p>
        </w:tc>
      </w:tr>
      <w:tr>
        <w:tc>
          <w:tcPr/>
          <w:p>
            <w:pPr>
              <w:spacing w:before="0" w:after="0" w:line="240" w:lineRule="auto"/>
              <w:jc w:val="left"/>
            </w:pPr>
            <w:r>
              <w:rPr>
                <w:sz w:val="20"/>
                <w:szCs w:val="20"/>
              </w:rPr>
              <w:t xml:space="preserve">4. Benchmark and bound</w:t>
            </w:r>
          </w:p>
        </w:tc>
        <w:tc>
          <w:tcPr/>
          <w:p>
            <w:pPr>
              <w:spacing w:before="0" w:after="0" w:line="240" w:lineRule="auto"/>
              <w:jc w:val="left"/>
            </w:pPr>
            <w:r>
              <w:rPr>
                <w:sz w:val="20"/>
                <w:szCs w:val="20"/>
              </w:rPr>
              <w:t xml:space="preserve">ρ̲ = (1 + κ²)</w:t>
            </w:r>
            <w:r>
              <w:rPr>
                <w:vertAlign w:val="superscript"/>
                <w:sz w:val="20"/>
                <w:szCs w:val="20"/>
              </w:rPr>
              <w:t xml:space="preserve">−1/2</w:t>
            </w:r>
            <w:r>
              <w:rPr>
                <w:sz w:val="20"/>
                <w:szCs w:val="20"/>
              </w:rPr>
              <w:t xml:space="preserve">; bound (1 − κ²)</w:t>
            </w:r>
            <w:r>
              <w:rPr>
                <w:vertAlign w:val="superscript"/>
                <w:sz w:val="20"/>
                <w:szCs w:val="20"/>
              </w:rPr>
              <w:t xml:space="preserve">1/2</w:t>
            </w:r>
          </w:p>
        </w:tc>
        <w:tc>
          <w:tcPr/>
          <w:p>
            <w:pPr>
              <w:spacing w:before="0" w:after="0" w:line="240" w:lineRule="auto"/>
              <w:jc w:val="left"/>
            </w:pPr>
            <w:r>
              <w:rPr>
                <w:sz w:val="20"/>
                <w:szCs w:val="20"/>
              </w:rPr>
              <w:t xml:space="preserve">ρ̲ = 0.903; bound 0.880</w:t>
            </w:r>
          </w:p>
        </w:tc>
      </w:tr>
      <w:tr>
        <w:tc>
          <w:tcPr/>
          <w:p>
            <w:pPr>
              <w:spacing w:before="0" w:after="0" w:line="240" w:lineRule="auto"/>
              <w:jc w:val="left"/>
            </w:pPr>
            <w:r>
              <w:rPr>
                <w:sz w:val="20"/>
                <w:szCs w:val="20"/>
              </w:rPr>
              <w:t xml:space="preserve">5. Purged coefficient</w:t>
            </w:r>
          </w:p>
        </w:tc>
        <w:tc>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wσ</w:t>
            </w:r>
            <w:r>
              <w:rPr>
                <w:vertAlign w:val="subscript"/>
                <w:sz w:val="20"/>
                <w:szCs w:val="20"/>
              </w:rPr>
              <w:t xml:space="preserve">A</w:t>
            </w:r>
            <w:r>
              <w:rPr>
                <w:sz w:val="20"/>
                <w:szCs w:val="20"/>
              </w:rPr>
              <w:t xml:space="preserve">)/[(1 − w)σ</w:t>
            </w:r>
            <w:r>
              <w:rPr>
                <w:vertAlign w:val="subscript"/>
                <w:sz w:val="20"/>
                <w:szCs w:val="20"/>
              </w:rPr>
              <w:t xml:space="preserve">M</w:t>
            </w:r>
            <w:r>
              <w:rPr>
                <w:sz w:val="20"/>
                <w:szCs w:val="20"/>
              </w:rPr>
              <w:t xml:space="preserve">]</w:t>
            </w:r>
          </w:p>
        </w:tc>
        <w:tc>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0.889</w:t>
            </w:r>
          </w:p>
        </w:tc>
      </w:tr>
      <w:tr>
        <w:tc>
          <w:tcPr/>
          <w:p>
            <w:pPr>
              <w:spacing w:before="0" w:after="0" w:line="240" w:lineRule="auto"/>
              <w:jc w:val="left"/>
            </w:pPr>
            <w:r>
              <w:rPr>
                <w:sz w:val="20"/>
                <w:szCs w:val="20"/>
              </w:rPr>
              <w:t xml:space="preserve">6. Sensitivity</w:t>
            </w:r>
          </w:p>
        </w:tc>
        <w:tc>
          <w:tcPr/>
          <w:p>
            <w:pPr>
              <w:spacing w:before="0" w:after="0" w:line="240" w:lineRule="auto"/>
              <w:jc w:val="left"/>
            </w:pPr>
            <w:r>
              <w:rPr>
                <w:sz w:val="20"/>
                <w:szCs w:val="20"/>
              </w:rPr>
              <w:t xml:space="preserve">Eq. (10)</w:t>
            </w:r>
          </w:p>
        </w:tc>
        <w:tc>
          <w:tcPr/>
          <w:p>
            <w:pPr>
              <w:spacing w:before="0" w:after="0" w:line="240" w:lineRule="auto"/>
              <w:jc w:val="left"/>
            </w:pPr>
            <w:r>
              <w:rPr>
                <w:sz w:val="20"/>
                <w:szCs w:val="20"/>
              </w:rPr>
              <w:t xml:space="preserve">0.103 (inverse 9.7)</w:t>
            </w:r>
          </w:p>
        </w:tc>
      </w:tr>
    </w:tbl>
    <w:p>
      <w:pPr>
        <w:pStyle w:val="Compact"/>
      </w:pPr>
      <w:r>
        <w:rPr>
          <w:sz w:val="20"/>
          <w:szCs w:val="20"/>
        </w:rPr>
        <w:t xml:space="preserve">Notes: Pearson moments of daily log returns, February 2014 to December 2025. Steps 2 and 5 reproduce the volatility and the correlation of the directly constructed P</w:t>
      </w:r>
      <w:r>
        <w:rPr>
          <w:vertAlign w:val="subscript"/>
          <w:sz w:val="20"/>
          <w:szCs w:val="20"/>
        </w:rPr>
        <w:t xml:space="preserve">cap</w:t>
      </w:r>
      <w:r>
        <w:rPr>
          <w:sz w:val="20"/>
          <w:szCs w:val="20"/>
        </w:rPr>
        <w:t xml:space="preserve"> </w:t>
      </w:r>
      <w:r>
        <w:rPr>
          <w:sz w:val="20"/>
          <w:szCs w:val="20"/>
        </w:rPr>
        <w:t xml:space="preserve">series exactly. Source: Authors’ calculations.</w:t>
      </w:r>
    </w:p>
    <w:p>
      <w:pPr>
        <w:pStyle w:val="heading20"/>
        <w:numPr>
          <w:ilvl w:val="0"/>
          <w:numId w:val="0"/>
        </w:numPr>
      </w:pPr>
      <w:r>
        <w:rPr>
          <w:rFonts w:ascii="Times New Roman" w:hAnsi="Times New Roman" w:cs="Times New Roman" w:eastAsia="Times New Roman"/>
          <w:b/>
          <w:sz w:val="24"/>
          <w:szCs w:val="24"/>
        </w:rPr>
        <w:t xml:space="preserve">4.3 Weight uncertainty</w:t>
      </w:r>
    </w:p>
    <w:p>
      <w:pPr>
        <w:pStyle w:val="p1a"/>
        <w:spacing w:before="0" w:after="120" w:line="300" w:lineRule="auto"/>
        <w:jc w:val="both"/>
      </w:pPr>
      <w:r>
        <w:rPr>
          <w:rFonts w:ascii="Times New Roman" w:hAnsi="Times New Roman" w:cs="Times New Roman" w:eastAsia="Times New Roman"/>
          <w:sz w:val="24"/>
          <w:szCs w:val="24"/>
        </w:rPr>
        <w:t xml:space="preserve">Capitalizations drift between semi-annual reviews.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w, the purged series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large-cap returns leak into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proportion to the weight error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are disjoint only at the exact weight. With a single factsheet snapshot we cannot rebuild the weight path, so each bootstrap replicate draws w from U(0.60, 0.75), an interval around the factsheet weight that allows drift in either direction, and recomputes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every statistic. Table S2 evaluates each quantity on a weight grid. The benchmark and sensitivity depend on the data only through κ and are less exposed to weight error than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DCCA coefficient becomes noisy at large scales, where boxes are few. For each sample size we simulate Gaussian white-noise pairs with correlations of −0.3, 0, 0.3, 0.5, 0.7 and 0.9 (1,002 per frequency) and set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the largest scale before the worst-case mean absolute error on 40 log-spaced scales first exceeds 0.05. We fixed the grid and tolerance in advance. A GARCH(1,1)-t(5) calibration (generalized autoregressive conditional heteroskedasticity with Student-t errors; 300 simulations) checks heavy tails.</w:t>
      </w:r>
    </w:p>
    <w:p>
      <w:pPr>
        <w:pStyle w:val="BodyText"/>
        <w:spacing w:before="0" w:after="120" w:line="300" w:lineRule="auto"/>
        <w:jc w:val="both"/>
      </w:pPr>
      <w:r>
        <w:rPr>
          <w:rFonts w:ascii="Times New Roman" w:hAnsi="Times New Roman" w:cs="Times New Roman" w:eastAsia="Times New Roman"/>
          <w:sz w:val="24"/>
          <w:szCs w:val="24"/>
        </w:rPr>
        <w:t xml:space="preserve">Coefficients at different scales come from the same series, so all inference resamples the data with the stationary block bootstrap (Politis and Romano 1994) with mean blocks of about 20 trading days and recomputes every curve and statistic in each replicate. We use 499 replications for the DCCA statistics of Tables 4–6 and for the decomposition, hedge-effectiveness and tail-dependence statistics, and 399 for the like-for-like gap under weight uncertainty. We use 199 for the trimmed-bar checks of Section 5.4 and Tables S7 and S15 and the 30-minute block-length checks of Table S6, and 999 for the factor-model, lead–lag and materiality statistics and for the Forbes–Rigobon tests under VN30 quartiles, across weights and with 2021 added. The remaining Forbes–Rigobon and relative-error statistics use 1,999 replications. Intervals are percentile 95% intervals, capped at ±1 for correlations. Percentile p-values, p = 2 min{k₋ + 1, k₊ + 1}/(B + 1), where k₋ and k₊ count replicates at or below and at or above zero, cannot fall below 0.004 with B = 499 (reported as p &lt; 0.005). With 19 tests, the smallest attainable Holm-adjusted value is 0.076. One-sided Forbes–Rigobon p-values use the re-centered bootstrap distribution, and p-values for Δβ and the residual-variance ratio are studentized. Because of the resolution limit, slope tests also use studentized p-values, 2Φ(−|β̂|/se</w:t>
      </w:r>
      <w:r>
        <w:rPr>
          <w:rFonts w:ascii="Times New Roman" w:hAnsi="Times New Roman" w:cs="Times New Roman" w:eastAsia="Times New Roman"/>
          <w:vertAlign w:val="subscript"/>
          <w:sz w:val="24"/>
          <w:szCs w:val="24"/>
        </w:rPr>
        <w:t xml:space="preserve">boot</w:t>
      </w:r>
      <w:r>
        <w:rPr>
          <w:rFonts w:ascii="Times New Roman" w:hAnsi="Times New Roman" w:cs="Times New Roman" w:eastAsia="Times New Roman"/>
          <w:sz w:val="24"/>
          <w:szCs w:val="24"/>
        </w:rPr>
        <w:t xml:space="preserve">), adjusted by the Holm (1979) and Benjamini and Hochberg (1995) procedures in two families: the original 19 reliable-range tests and the eight broad-market tests of H2. We test equivalence of the VN30–VN100 slope to zero with two one-sided tests (TOST; Schuirmann 1987) and a margin of 0.001 per unit of ln s. Over the 4.5 units of the M30 reliable range, such a slope moves the coefficient by less than a tenth of the 0.05 tolerance.</w:t>
      </w:r>
    </w:p>
    <w:p>
      <w:pPr>
        <w:pStyle w:val="heading20"/>
        <w:numPr>
          <w:ilvl w:val="0"/>
          <w:numId w:val="0"/>
        </w:numPr>
      </w:pPr>
      <w:r>
        <w:rPr>
          <w:rFonts w:ascii="Times New Roman" w:hAnsi="Times New Roman" w:cs="Times New Roman" w:eastAsia="Times New Roman"/>
          <w:b/>
          <w:sz w:val="24"/>
          <w:szCs w:val="24"/>
        </w:rPr>
        <w:t xml:space="preserve">4.5 Scaling regressions and slope channels</w:t>
      </w:r>
    </w:p>
    <w:p>
      <w:pPr>
        <w:pStyle w:val="p1a"/>
        <w:spacing w:before="0" w:after="120" w:line="300" w:lineRule="auto"/>
        <w:jc w:val="both"/>
      </w:pPr>
      <w:r>
        <w:rPr>
          <w:rFonts w:ascii="Times New Roman" w:hAnsi="Times New Roman" w:cs="Times New Roman" w:eastAsia="Times New Roman"/>
          <w:sz w:val="24"/>
          <w:szCs w:val="24"/>
        </w:rPr>
        <w:t xml:space="preserve">We measure horizon dependence by the slope β of</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over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(full-range slopes in Table S1). For the nested pair, Eq. (7) splits the slope into a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a κ channel,</w:t>
      </w:r>
    </w:p>
    <w:p>
      <w:pPr>
        <w:pStyle w:val="BodyText"/>
        <w:spacing w:before="0" w:after="120" w:line="300" w:lineRule="auto"/>
      </w:pPr>
      <m:oMathPara>
        <m:oMathParaPr>
          <m:jc m:val="center"/>
        </m:oMathParaPr>
        <m:oMath>
          <m:f>
            <m:fPr>
              <m:type m:val="bar"/>
            </m:fPr>
            <m:num>
              <m:r>
                <m:t>d</m:t>
              </m:r>
              <m:sSub>
                <m:e>
                  <m:r>
                    <m:t>ρ</m:t>
                  </m:r>
                </m:e>
                <m:sub>
                  <m:r>
                    <m:t>A</m:t>
                  </m:r>
                  <m:r>
                    <m:t>B</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sSub>
                <m:e>
                  <m:r>
                    <m:t>ρ</m:t>
                  </m:r>
                </m:e>
                <m:sub>
                  <m:r>
                    <m:t>A</m:t>
                  </m:r>
                  <m:r>
                    <m:t>M</m:t>
                  </m:r>
                </m:sub>
              </m:sSub>
            </m:den>
          </m:f>
          <m:f>
            <m:fPr>
              <m:type m:val="bar"/>
            </m:fPr>
            <m:num>
              <m:r>
                <m:t>d</m:t>
              </m:r>
              <m:sSub>
                <m:e>
                  <m:r>
                    <m:t>ρ</m:t>
                  </m:r>
                </m:e>
                <m:sub>
                  <m:r>
                    <m:t>A</m:t>
                  </m:r>
                  <m:r>
                    <m:t>M</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r>
                <m:t>κ</m:t>
              </m:r>
            </m:den>
          </m:f>
          <m:f>
            <m:fPr>
              <m:type m:val="bar"/>
            </m:fPr>
            <m:num>
              <m:r>
                <m:t>d</m:t>
              </m:r>
              <m:r>
                <m:t>κ</m:t>
              </m:r>
            </m:num>
            <m:den>
              <m:r>
                <m:t>d</m:t>
              </m:r>
              <m:r>
                <m:rPr>
                  <m:sty m:val="p"/>
                </m:rPr>
                <m:t>ln</m:t>
              </m:r>
              <m:r>
                <m:t>s</m:t>
              </m:r>
            </m:den>
          </m:f>
          <m:r>
            <m:rPr>
              <m:sty m:val="p"/>
            </m:rPr>
            <m:t>,</m:t>
          </m:r>
          <m:r>
            <m:t>  </m:t>
          </m:r>
          <m:f>
            <m:fPr>
              <m:type m:val="bar"/>
            </m:fPr>
            <m:num>
              <m:r>
                <m:rPr>
                  <m:sty m:val="p"/>
                </m:rPr>
                <m:t>∂</m:t>
              </m:r>
              <m:sSub>
                <m:e>
                  <m:r>
                    <m:t>ρ</m:t>
                  </m:r>
                </m:e>
                <m:sub>
                  <m:r>
                    <m:t>A</m:t>
                  </m:r>
                  <m:r>
                    <m:t>B</m:t>
                  </m:r>
                </m:sub>
              </m:sSub>
            </m:num>
            <m:den>
              <m:r>
                <m:rPr>
                  <m:sty m:val="p"/>
                </m:rPr>
                <m:t>∂</m:t>
              </m:r>
              <m:r>
                <m:t>κ</m:t>
              </m:r>
            </m:den>
          </m:f>
          <m:r>
            <m:rPr>
              <m:sty m:val="p"/>
            </m:rPr>
            <m:t>=</m:t>
          </m:r>
          <m:r>
            <m:rPr>
              <m:sty m:val="p"/>
            </m:rPr>
            <m:t>−</m:t>
          </m:r>
          <m:f>
            <m:fPr>
              <m:type m:val="bar"/>
            </m:fPr>
            <m:num>
              <m:r>
                <m:t>κ</m:t>
              </m:r>
              <m:d>
                <m:dPr>
                  <m:begChr m:val="("/>
                  <m:endChr m:val=")"/>
                  <m:sepChr m:val=""/>
                  <m:grow/>
                </m:dPr>
                <m:e>
                  <m:r>
                    <m:t>1</m:t>
                  </m:r>
                  <m:r>
                    <m:rPr>
                      <m:sty m:val="p"/>
                    </m:rPr>
                    <m:t>−</m:t>
                  </m:r>
                  <m:sSubSup>
                    <m:e>
                      <m:r>
                        <m:t>ρ</m:t>
                      </m:r>
                    </m:e>
                    <m:sub>
                      <m:r>
                        <m:t>A</m:t>
                      </m:r>
                      <m:r>
                        <m:t>M</m:t>
                      </m:r>
                    </m:sub>
                    <m:sup>
                      <m:r>
                        <m:t>2</m:t>
                      </m:r>
                    </m:sup>
                  </m:sSubSup>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horizon dependence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reaches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damped by the sensitivity of Eq. (10).</w:t>
      </w:r>
    </w:p>
    <w:p>
      <w:pPr>
        <w:pStyle w:val="heading20"/>
        <w:numPr>
          <w:ilvl w:val="0"/>
          <w:numId w:val="0"/>
        </w:numPr>
      </w:pPr>
      <w:r>
        <w:rPr>
          <w:rFonts w:ascii="Times New Roman" w:hAnsi="Times New Roman" w:cs="Times New Roman" w:eastAsia="Times New Roman"/>
          <w:b/>
          <w:sz w:val="24"/>
          <w:szCs w:val="24"/>
        </w:rPr>
        <w:t xml:space="preserve">4.6 Volatility conditioning and contagion tests</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the correlation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adjust the crisis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y =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x = VN30. The adjustment assumes constant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if crises raise idiosyncratic variance, ρ* is biased toward no contagion (Corsetti et al. 2005). We therefore also test, regime by regime, for changes in the residual variance and in the loading β; a change in β is contagion in the sense of Corsetti et al. (2005), and β is the structural parameter of Rigobon (2003). Regimes are chronological episodes, VNINDEX volatility quartiles or VN30 volatility quartiles; the last sorts on the conditioning variable rather than on a series containing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Statistics are Pearson moments of daily returns, bootstrapped within regimes. We do not test nested pairs, because the parent contains the conditioning index.</w:t>
      </w:r>
    </w:p>
    <w:p>
      <w:pPr>
        <w:pStyle w:val="heading20"/>
        <w:numPr>
          <w:ilvl w:val="0"/>
          <w:numId w:val="0"/>
        </w:numPr>
      </w:pPr>
      <w:r>
        <w:rPr>
          <w:rFonts w:ascii="Times New Roman" w:hAnsi="Times New Roman" w:cs="Times New Roman" w:eastAsia="Times New Roman"/>
          <w:b/>
          <w:sz w:val="24"/>
          <w:szCs w:val="24"/>
        </w:rPr>
        <w:t xml:space="preserve">4.7 Portfolio variance: in-sample misstatement and out-of-sample evaluation</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position,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the static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variance by</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regime volatilities σ₁ and σ₂, so only the correlation differs. Intervals resample the full sample jointly, re-estimating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and we compare |RE| with the bootstrap relative standard error of the regime variance. Because these regimes are ex post, we also estimate correlations on 2014–2022 and evaluate forecasts on 2023–2025. Forecasts share one-step-ahead RiskMetrics variances (λ = 0.94; J.P. Morgan/Reuters 1996) and differ only in the correlation: static, EWMA with the same λ, or a regime correlation chosen in real time from lagged rolling volatility with thresholds fixed in the estimation window. Losses are QLIKE (Patton 2011) and squared error, compared by the Diebold and Mariano (1995) test with a Newey and West (1987) variance (five lags).</w:t>
      </w:r>
    </w:p>
    <w:p>
      <w:pPr>
        <w:pStyle w:val="heading20"/>
        <w:numPr>
          <w:ilvl w:val="0"/>
          <w:numId w:val="0"/>
        </w:numPr>
      </w:pPr>
      <w:r>
        <w:rPr>
          <w:rFonts w:ascii="Times New Roman" w:hAnsi="Times New Roman" w:cs="Times New Roman" w:eastAsia="Times New Roman"/>
          <w:b/>
          <w:sz w:val="24"/>
          <w:szCs w:val="24"/>
        </w:rPr>
        <w:t xml:space="preserve">4.8 Computational details</w:t>
      </w:r>
    </w:p>
    <w:p>
      <w:pPr>
        <w:pStyle w:val="p1a"/>
        <w:spacing w:before="0" w:after="120" w:line="300" w:lineRule="auto"/>
        <w:jc w:val="both"/>
      </w:pPr>
      <w:r>
        <w:rPr>
          <w:rFonts w:ascii="Times New Roman" w:hAnsi="Times New Roman" w:cs="Times New Roman" w:eastAsia="Times New Roman"/>
          <w:sz w:val="24"/>
          <w:szCs w:val="24"/>
        </w:rPr>
        <w:t xml:space="preserve">All computations use R 4.3.3 (stats, sandwich 3.1.0, ggplot2 3.4.4) on an Intel Xeon processor (2.10 GHz, four cores). OLS uses the QR decomposition, so no iterative optimization or convergence criterion is involved. Each script fixes its seeds (20260924 to 20261014; the reliability simulations use fixed seeds starting at 42), and run_all.R reproduces every table and figure with byte-identical CSV outputs. Code, outputs and a map from each number to its output file form Online Resource 1.</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 and reliability</w:t>
      </w:r>
    </w:p>
    <w:p>
      <w:pPr>
        <w:pStyle w:val="p1a"/>
        <w:spacing w:before="0" w:after="120" w:line="300" w:lineRule="auto"/>
        <w:jc w:val="both"/>
      </w:pPr>
      <w:r>
        <w:rPr>
          <w:rFonts w:ascii="Times New Roman" w:hAnsi="Times New Roman" w:cs="Times New Roman" w:eastAsia="Times New Roman"/>
          <w:sz w:val="24"/>
          <w:szCs w:val="24"/>
        </w:rPr>
        <w:t xml:space="preserve">Table 2 reports descriptive statistics and Table 3 the reliability thresholds.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Series</w:t>
            </w:r>
          </w:p>
        </w:tc>
        <w:tc>
          <w:tcPr/>
          <w:p>
            <w:pPr>
              <w:spacing w:before="0" w:after="0" w:line="240" w:lineRule="auto"/>
              <w:jc w:val="left"/>
            </w:pPr>
            <w:r>
              <w:rPr>
                <w:sz w:val="20"/>
                <w:szCs w:val="20"/>
              </w:rPr>
              <w:t xml:space="preserve">Freq.</w:t>
            </w:r>
          </w:p>
        </w:tc>
        <w:tc>
          <w:tcPr/>
          <w:p>
            <w:pPr>
              <w:spacing w:before="0" w:after="0" w:line="240" w:lineRule="auto"/>
              <w:jc w:val="left"/>
            </w:pPr>
            <w:r>
              <w:rPr>
                <w:sz w:val="20"/>
                <w:szCs w:val="20"/>
              </w:rPr>
              <w:t xml:space="preserve">N</w:t>
            </w:r>
          </w:p>
        </w:tc>
        <w:tc>
          <w:tcPr/>
          <w:p>
            <w:pPr>
              <w:spacing w:before="0" w:after="0" w:line="240" w:lineRule="auto"/>
              <w:jc w:val="left"/>
            </w:pPr>
            <w:r>
              <w:rPr>
                <w:sz w:val="20"/>
                <w:szCs w:val="20"/>
              </w:rPr>
              <w:t xml:space="preserve">Mean</w:t>
            </w:r>
          </w:p>
        </w:tc>
        <w:tc>
          <w:tcPr/>
          <w:p>
            <w:pPr>
              <w:spacing w:before="0" w:after="0" w:line="240" w:lineRule="auto"/>
              <w:jc w:val="left"/>
            </w:pPr>
            <w:r>
              <w:rPr>
                <w:sz w:val="20"/>
                <w:szCs w:val="20"/>
              </w:rPr>
              <w:t xml:space="preserve">Std. dev.</w:t>
            </w:r>
          </w:p>
        </w:tc>
        <w:tc>
          <w:tcPr/>
          <w:p>
            <w:pPr>
              <w:spacing w:before="0" w:after="0" w:line="240" w:lineRule="auto"/>
              <w:jc w:val="left"/>
            </w:pPr>
            <w:r>
              <w:rPr>
                <w:sz w:val="20"/>
                <w:szCs w:val="20"/>
              </w:rPr>
              <w:t xml:space="preserve">Skew.</w:t>
            </w:r>
          </w:p>
        </w:tc>
        <w:tc>
          <w:tcPr/>
          <w:p>
            <w:pPr>
              <w:spacing w:before="0" w:after="0" w:line="240" w:lineRule="auto"/>
              <w:jc w:val="left"/>
            </w:pPr>
            <w:r>
              <w:rPr>
                <w:sz w:val="20"/>
                <w:szCs w:val="20"/>
              </w:rPr>
              <w:t xml:space="preserve">Kurt.</w:t>
            </w:r>
          </w:p>
        </w:tc>
        <w:tc>
          <w:tcPr/>
          <w:p>
            <w:pPr>
              <w:spacing w:before="0" w:after="0" w:line="240" w:lineRule="auto"/>
              <w:jc w:val="left"/>
            </w:pPr>
            <w:r>
              <w:rPr>
                <w:sz w:val="20"/>
                <w:szCs w:val="20"/>
              </w:rPr>
              <w:t xml:space="preserve">Jarque–Bera</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0.0121</w:t>
            </w:r>
          </w:p>
        </w:tc>
        <w:tc>
          <w:tcPr/>
          <w:p>
            <w:pPr>
              <w:spacing w:before="0" w:after="0" w:line="240" w:lineRule="auto"/>
              <w:jc w:val="left"/>
            </w:pPr>
            <w:r>
              <w:rPr>
                <w:sz w:val="20"/>
                <w:szCs w:val="20"/>
              </w:rPr>
              <w:t xml:space="preserve">−0.83</w:t>
            </w:r>
          </w:p>
        </w:tc>
        <w:tc>
          <w:tcPr/>
          <w:p>
            <w:pPr>
              <w:spacing w:before="0" w:after="0" w:line="240" w:lineRule="auto"/>
              <w:jc w:val="left"/>
            </w:pPr>
            <w:r>
              <w:rPr>
                <w:sz w:val="20"/>
                <w:szCs w:val="20"/>
              </w:rPr>
              <w:t xml:space="preserve">7.81</w:t>
            </w:r>
          </w:p>
        </w:tc>
        <w:tc>
          <w:tcPr/>
          <w:p>
            <w:pPr>
              <w:spacing w:before="0" w:after="0" w:line="240" w:lineRule="auto"/>
              <w:jc w:val="left"/>
            </w:pPr>
            <w:r>
              <w:rPr>
                <w:sz w:val="20"/>
                <w:szCs w:val="20"/>
              </w:rPr>
              <w:t xml:space="preserve">3,202***</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0.0039</w:t>
            </w:r>
          </w:p>
        </w:tc>
        <w:tc>
          <w:tcPr/>
          <w:p>
            <w:pPr>
              <w:spacing w:before="0" w:after="0" w:line="240" w:lineRule="auto"/>
              <w:jc w:val="left"/>
            </w:pPr>
            <w:r>
              <w:rPr>
                <w:sz w:val="20"/>
                <w:szCs w:val="20"/>
              </w:rPr>
              <w:t xml:space="preserve">−1.62</w:t>
            </w:r>
          </w:p>
        </w:tc>
        <w:tc>
          <w:tcPr/>
          <w:p>
            <w:pPr>
              <w:spacing w:before="0" w:after="0" w:line="240" w:lineRule="auto"/>
              <w:jc w:val="left"/>
            </w:pPr>
            <w:r>
              <w:rPr>
                <w:sz w:val="20"/>
                <w:szCs w:val="20"/>
              </w:rPr>
              <w:t xml:space="preserve">36.16</w:t>
            </w:r>
          </w:p>
        </w:tc>
        <w:tc>
          <w:tcPr/>
          <w:p>
            <w:pPr>
              <w:spacing w:before="0" w:after="0" w:line="240" w:lineRule="auto"/>
              <w:jc w:val="left"/>
            </w:pPr>
            <w:r>
              <w:rPr>
                <w:sz w:val="20"/>
                <w:szCs w:val="20"/>
              </w:rPr>
              <w:t xml:space="preserve">1,014,769***</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0.0051</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18.20</w:t>
            </w:r>
          </w:p>
        </w:tc>
        <w:tc>
          <w:tcPr/>
          <w:p>
            <w:pPr>
              <w:spacing w:before="0" w:after="0" w:line="240" w:lineRule="auto"/>
              <w:jc w:val="left"/>
            </w:pPr>
            <w:r>
              <w:rPr>
                <w:sz w:val="20"/>
                <w:szCs w:val="20"/>
              </w:rPr>
              <w:t xml:space="preserve">134,167***</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0.0084</w:t>
            </w:r>
          </w:p>
        </w:tc>
        <w:tc>
          <w:tcPr/>
          <w:p>
            <w:pPr>
              <w:spacing w:before="0" w:after="0" w:line="240" w:lineRule="auto"/>
              <w:jc w:val="left"/>
            </w:pPr>
            <w:r>
              <w:rPr>
                <w:sz w:val="20"/>
                <w:szCs w:val="20"/>
              </w:rPr>
              <w:t xml:space="preserve">−1.17</w:t>
            </w:r>
          </w:p>
        </w:tc>
        <w:tc>
          <w:tcPr/>
          <w:p>
            <w:pPr>
              <w:spacing w:before="0" w:after="0" w:line="240" w:lineRule="auto"/>
              <w:jc w:val="left"/>
            </w:pPr>
            <w:r>
              <w:rPr>
                <w:sz w:val="20"/>
                <w:szCs w:val="20"/>
              </w:rPr>
              <w:t xml:space="preserve">11.23</w:t>
            </w:r>
          </w:p>
        </w:tc>
        <w:tc>
          <w:tcPr/>
          <w:p>
            <w:pPr>
              <w:spacing w:before="0" w:after="0" w:line="240" w:lineRule="auto"/>
              <w:jc w:val="left"/>
            </w:pPr>
            <w:r>
              <w:rPr>
                <w:sz w:val="20"/>
                <w:szCs w:val="20"/>
              </w:rPr>
              <w:t xml:space="preserve">16,490***</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0.0119</w:t>
            </w:r>
          </w:p>
        </w:tc>
        <w:tc>
          <w:tcPr/>
          <w:p>
            <w:pPr>
              <w:spacing w:before="0" w:after="0" w:line="240" w:lineRule="auto"/>
              <w:jc w:val="left"/>
            </w:pPr>
            <w:r>
              <w:rPr>
                <w:sz w:val="20"/>
                <w:szCs w:val="20"/>
              </w:rPr>
              <w:t xml:space="preserve">−0.96</w:t>
            </w:r>
          </w:p>
        </w:tc>
        <w:tc>
          <w:tcPr/>
          <w:p>
            <w:pPr>
              <w:spacing w:before="0" w:after="0" w:line="240" w:lineRule="auto"/>
              <w:jc w:val="left"/>
            </w:pPr>
            <w:r>
              <w:rPr>
                <w:sz w:val="20"/>
                <w:szCs w:val="20"/>
              </w:rPr>
              <w:t xml:space="preserve">8.21</w:t>
            </w:r>
          </w:p>
        </w:tc>
        <w:tc>
          <w:tcPr/>
          <w:p>
            <w:pPr>
              <w:spacing w:before="0" w:after="0" w:line="240" w:lineRule="auto"/>
              <w:jc w:val="left"/>
            </w:pPr>
            <w:r>
              <w:rPr>
                <w:sz w:val="20"/>
                <w:szCs w:val="20"/>
              </w:rPr>
              <w:t xml:space="preserve">3,804***</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0.0038</w:t>
            </w:r>
          </w:p>
        </w:tc>
        <w:tc>
          <w:tcPr/>
          <w:p>
            <w:pPr>
              <w:spacing w:before="0" w:after="0" w:line="240" w:lineRule="auto"/>
              <w:jc w:val="left"/>
            </w:pPr>
            <w:r>
              <w:rPr>
                <w:sz w:val="20"/>
                <w:szCs w:val="20"/>
              </w:rPr>
              <w:t xml:space="preserve">−1.83</w:t>
            </w:r>
          </w:p>
        </w:tc>
        <w:tc>
          <w:tcPr/>
          <w:p>
            <w:pPr>
              <w:spacing w:before="0" w:after="0" w:line="240" w:lineRule="auto"/>
              <w:jc w:val="left"/>
            </w:pPr>
            <w:r>
              <w:rPr>
                <w:sz w:val="20"/>
                <w:szCs w:val="20"/>
              </w:rPr>
              <w:t xml:space="preserve">37.63</w:t>
            </w:r>
          </w:p>
        </w:tc>
        <w:tc>
          <w:tcPr/>
          <w:p>
            <w:pPr>
              <w:spacing w:before="0" w:after="0" w:line="240" w:lineRule="auto"/>
              <w:jc w:val="left"/>
            </w:pPr>
            <w:r>
              <w:rPr>
                <w:sz w:val="20"/>
                <w:szCs w:val="20"/>
              </w:rPr>
              <w:t xml:space="preserve">1,108,959***</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0.0050</w:t>
            </w:r>
          </w:p>
        </w:tc>
        <w:tc>
          <w:tcPr/>
          <w:p>
            <w:pPr>
              <w:spacing w:before="0" w:after="0" w:line="240" w:lineRule="auto"/>
              <w:jc w:val="left"/>
            </w:pPr>
            <w:r>
              <w:rPr>
                <w:sz w:val="20"/>
                <w:szCs w:val="20"/>
              </w:rPr>
              <w:t xml:space="preserve">−1.50</w:t>
            </w:r>
          </w:p>
        </w:tc>
        <w:tc>
          <w:tcPr/>
          <w:p>
            <w:pPr>
              <w:spacing w:before="0" w:after="0" w:line="240" w:lineRule="auto"/>
              <w:jc w:val="left"/>
            </w:pPr>
            <w:r>
              <w:rPr>
                <w:sz w:val="20"/>
                <w:szCs w:val="20"/>
              </w:rPr>
              <w:t xml:space="preserve">19.36</w:t>
            </w:r>
          </w:p>
        </w:tc>
        <w:tc>
          <w:tcPr/>
          <w:p>
            <w:pPr>
              <w:spacing w:before="0" w:after="0" w:line="240" w:lineRule="auto"/>
              <w:jc w:val="left"/>
            </w:pPr>
            <w:r>
              <w:rPr>
                <w:sz w:val="20"/>
                <w:szCs w:val="20"/>
              </w:rPr>
              <w:t xml:space="preserve">155,896***</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0.0082</w:t>
            </w:r>
          </w:p>
        </w:tc>
        <w:tc>
          <w:tcPr/>
          <w:p>
            <w:pPr>
              <w:spacing w:before="0" w:after="0" w:line="240" w:lineRule="auto"/>
              <w:jc w:val="left"/>
            </w:pPr>
            <w:r>
              <w:rPr>
                <w:sz w:val="20"/>
                <w:szCs w:val="20"/>
              </w:rPr>
              <w:t xml:space="preserve">−1.30</w:t>
            </w:r>
          </w:p>
        </w:tc>
        <w:tc>
          <w:tcPr/>
          <w:p>
            <w:pPr>
              <w:spacing w:before="0" w:after="0" w:line="240" w:lineRule="auto"/>
              <w:jc w:val="left"/>
            </w:pPr>
            <w:r>
              <w:rPr>
                <w:sz w:val="20"/>
                <w:szCs w:val="20"/>
              </w:rPr>
              <w:t xml:space="preserve">11.76</w:t>
            </w:r>
          </w:p>
        </w:tc>
        <w:tc>
          <w:tcPr/>
          <w:p>
            <w:pPr>
              <w:spacing w:before="0" w:after="0" w:line="240" w:lineRule="auto"/>
              <w:jc w:val="left"/>
            </w:pPr>
            <w:r>
              <w:rPr>
                <w:sz w:val="20"/>
                <w:szCs w:val="20"/>
              </w:rPr>
              <w:t xml:space="preserve">18,833***</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0.0115</w:t>
            </w:r>
          </w:p>
        </w:tc>
        <w:tc>
          <w:tcPr/>
          <w:p>
            <w:pPr>
              <w:spacing w:before="0" w:after="0" w:line="240" w:lineRule="auto"/>
              <w:jc w:val="left"/>
            </w:pPr>
            <w:r>
              <w:rPr>
                <w:sz w:val="20"/>
                <w:szCs w:val="20"/>
              </w:rPr>
              <w:t xml:space="preserve">−0.98</w:t>
            </w:r>
          </w:p>
        </w:tc>
        <w:tc>
          <w:tcPr/>
          <w:p>
            <w:pPr>
              <w:spacing w:before="0" w:after="0" w:line="240" w:lineRule="auto"/>
              <w:jc w:val="left"/>
            </w:pPr>
            <w:r>
              <w:rPr>
                <w:sz w:val="20"/>
                <w:szCs w:val="20"/>
              </w:rPr>
              <w:t xml:space="preserve">8.27</w:t>
            </w:r>
          </w:p>
        </w:tc>
        <w:tc>
          <w:tcPr/>
          <w:p>
            <w:pPr>
              <w:spacing w:before="0" w:after="0" w:line="240" w:lineRule="auto"/>
              <w:jc w:val="left"/>
            </w:pPr>
            <w:r>
              <w:rPr>
                <w:sz w:val="20"/>
                <w:szCs w:val="20"/>
              </w:rPr>
              <w:t xml:space="preserve">3,898***</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0.0037</w:t>
            </w:r>
          </w:p>
        </w:tc>
        <w:tc>
          <w:tcPr/>
          <w:p>
            <w:pPr>
              <w:spacing w:before="0" w:after="0" w:line="240" w:lineRule="auto"/>
              <w:jc w:val="left"/>
            </w:pPr>
            <w:r>
              <w:rPr>
                <w:sz w:val="20"/>
                <w:szCs w:val="20"/>
              </w:rPr>
              <w:t xml:space="preserve">−2.04</w:t>
            </w:r>
          </w:p>
        </w:tc>
        <w:tc>
          <w:tcPr/>
          <w:p>
            <w:pPr>
              <w:spacing w:before="0" w:after="0" w:line="240" w:lineRule="auto"/>
              <w:jc w:val="left"/>
            </w:pPr>
            <w:r>
              <w:rPr>
                <w:sz w:val="20"/>
                <w:szCs w:val="20"/>
              </w:rPr>
              <w:t xml:space="preserve">40.64</w:t>
            </w:r>
          </w:p>
        </w:tc>
        <w:tc>
          <w:tcPr/>
          <w:p>
            <w:pPr>
              <w:spacing w:before="0" w:after="0" w:line="240" w:lineRule="auto"/>
              <w:jc w:val="left"/>
            </w:pPr>
            <w:r>
              <w:rPr>
                <w:sz w:val="20"/>
                <w:szCs w:val="20"/>
              </w:rPr>
              <w:t xml:space="preserve">1,310,762***</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0.0049</w:t>
            </w:r>
          </w:p>
        </w:tc>
        <w:tc>
          <w:tcPr/>
          <w:p>
            <w:pPr>
              <w:spacing w:before="0" w:after="0" w:line="240" w:lineRule="auto"/>
              <w:jc w:val="left"/>
            </w:pPr>
            <w:r>
              <w:rPr>
                <w:sz w:val="20"/>
                <w:szCs w:val="20"/>
              </w:rPr>
              <w:t xml:space="preserve">−1.56</w:t>
            </w:r>
          </w:p>
        </w:tc>
        <w:tc>
          <w:tcPr/>
          <w:p>
            <w:pPr>
              <w:spacing w:before="0" w:after="0" w:line="240" w:lineRule="auto"/>
              <w:jc w:val="left"/>
            </w:pPr>
            <w:r>
              <w:rPr>
                <w:sz w:val="20"/>
                <w:szCs w:val="20"/>
              </w:rPr>
              <w:t xml:space="preserve">19.54</w:t>
            </w:r>
          </w:p>
        </w:tc>
        <w:tc>
          <w:tcPr/>
          <w:p>
            <w:pPr>
              <w:spacing w:before="0" w:after="0" w:line="240" w:lineRule="auto"/>
              <w:jc w:val="left"/>
            </w:pPr>
            <w:r>
              <w:rPr>
                <w:sz w:val="20"/>
                <w:szCs w:val="20"/>
              </w:rPr>
              <w:t xml:space="preserve">159,748***</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0.0080</w:t>
            </w:r>
          </w:p>
        </w:tc>
        <w:tc>
          <w:tcPr/>
          <w:p>
            <w:pPr>
              <w:spacing w:before="0" w:after="0" w:line="240" w:lineRule="auto"/>
              <w:jc w:val="left"/>
            </w:pPr>
            <w:r>
              <w:rPr>
                <w:sz w:val="20"/>
                <w:szCs w:val="20"/>
              </w:rPr>
              <w:t xml:space="preserve">−1.31</w:t>
            </w:r>
          </w:p>
        </w:tc>
        <w:tc>
          <w:tcPr/>
          <w:p>
            <w:pPr>
              <w:spacing w:before="0" w:after="0" w:line="240" w:lineRule="auto"/>
              <w:jc w:val="left"/>
            </w:pPr>
            <w:r>
              <w:rPr>
                <w:sz w:val="20"/>
                <w:szCs w:val="20"/>
              </w:rPr>
              <w:t xml:space="preserve">11.99</w:t>
            </w:r>
          </w:p>
        </w:tc>
        <w:tc>
          <w:tcPr/>
          <w:p>
            <w:pPr>
              <w:spacing w:before="0" w:after="0" w:line="240" w:lineRule="auto"/>
              <w:jc w:val="left"/>
            </w:pPr>
            <w:r>
              <w:rPr>
                <w:sz w:val="20"/>
                <w:szCs w:val="20"/>
              </w:rPr>
              <w:t xml:space="preserve">19,767***</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0.0124</w:t>
            </w:r>
          </w:p>
        </w:tc>
        <w:tc>
          <w:tcPr/>
          <w:p>
            <w:pPr>
              <w:spacing w:before="0" w:after="0" w:line="240" w:lineRule="auto"/>
              <w:jc w:val="left"/>
            </w:pPr>
            <w:r>
              <w:rPr>
                <w:sz w:val="20"/>
                <w:szCs w:val="20"/>
              </w:rPr>
              <w:t xml:space="preserve">−1.07</w:t>
            </w:r>
          </w:p>
        </w:tc>
        <w:tc>
          <w:tcPr/>
          <w:p>
            <w:pPr>
              <w:spacing w:before="0" w:after="0" w:line="240" w:lineRule="auto"/>
              <w:jc w:val="left"/>
            </w:pPr>
            <w:r>
              <w:rPr>
                <w:sz w:val="20"/>
                <w:szCs w:val="20"/>
              </w:rPr>
              <w:t xml:space="preserve">8.15</w:t>
            </w:r>
          </w:p>
        </w:tc>
        <w:tc>
          <w:tcPr/>
          <w:p>
            <w:pPr>
              <w:spacing w:before="0" w:after="0" w:line="240" w:lineRule="auto"/>
              <w:jc w:val="left"/>
            </w:pPr>
            <w:r>
              <w:rPr>
                <w:sz w:val="20"/>
                <w:szCs w:val="20"/>
              </w:rPr>
              <w:t xml:space="preserve">3,837***</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0.0041</w:t>
            </w:r>
          </w:p>
        </w:tc>
        <w:tc>
          <w:tcPr/>
          <w:p>
            <w:pPr>
              <w:spacing w:before="0" w:after="0" w:line="240" w:lineRule="auto"/>
              <w:jc w:val="left"/>
            </w:pPr>
            <w:r>
              <w:rPr>
                <w:sz w:val="20"/>
                <w:szCs w:val="20"/>
              </w:rPr>
              <w:t xml:space="preserve">−1.87</w:t>
            </w:r>
          </w:p>
        </w:tc>
        <w:tc>
          <w:tcPr/>
          <w:p>
            <w:pPr>
              <w:spacing w:before="0" w:after="0" w:line="240" w:lineRule="auto"/>
              <w:jc w:val="left"/>
            </w:pPr>
            <w:r>
              <w:rPr>
                <w:sz w:val="20"/>
                <w:szCs w:val="20"/>
              </w:rPr>
              <w:t xml:space="preserve">33.94</w:t>
            </w:r>
          </w:p>
        </w:tc>
        <w:tc>
          <w:tcPr/>
          <w:p>
            <w:pPr>
              <w:spacing w:before="0" w:after="0" w:line="240" w:lineRule="auto"/>
              <w:jc w:val="left"/>
            </w:pPr>
            <w:r>
              <w:rPr>
                <w:sz w:val="20"/>
                <w:szCs w:val="20"/>
              </w:rPr>
              <w:t xml:space="preserve">887,934***</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0.0052</w:t>
            </w:r>
          </w:p>
        </w:tc>
        <w:tc>
          <w:tcPr/>
          <w:p>
            <w:pPr>
              <w:spacing w:before="0" w:after="0" w:line="240" w:lineRule="auto"/>
              <w:jc w:val="left"/>
            </w:pPr>
            <w:r>
              <w:rPr>
                <w:sz w:val="20"/>
                <w:szCs w:val="20"/>
              </w:rPr>
              <w:t xml:space="preserve">−1.51</w:t>
            </w:r>
          </w:p>
        </w:tc>
        <w:tc>
          <w:tcPr/>
          <w:p>
            <w:pPr>
              <w:spacing w:before="0" w:after="0" w:line="240" w:lineRule="auto"/>
              <w:jc w:val="left"/>
            </w:pPr>
            <w:r>
              <w:rPr>
                <w:sz w:val="20"/>
                <w:szCs w:val="20"/>
              </w:rPr>
              <w:t xml:space="preserve">18.81</w:t>
            </w:r>
          </w:p>
        </w:tc>
        <w:tc>
          <w:tcPr/>
          <w:p>
            <w:pPr>
              <w:spacing w:before="0" w:after="0" w:line="240" w:lineRule="auto"/>
              <w:jc w:val="left"/>
            </w:pPr>
            <w:r>
              <w:rPr>
                <w:sz w:val="20"/>
                <w:szCs w:val="20"/>
              </w:rPr>
              <w:t xml:space="preserve">145,968***</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0.0086</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11.69</w:t>
            </w:r>
          </w:p>
        </w:tc>
        <w:tc>
          <w:tcPr/>
          <w:p>
            <w:pPr>
              <w:spacing w:before="0" w:after="0" w:line="240" w:lineRule="auto"/>
              <w:jc w:val="left"/>
            </w:pPr>
            <w:r>
              <w:rPr>
                <w:sz w:val="20"/>
                <w:szCs w:val="20"/>
              </w:rPr>
              <w:t xml:space="preserve">18,632***</w:t>
            </w:r>
          </w:p>
        </w:tc>
      </w:tr>
    </w:tbl>
    <w:p>
      <w:pPr>
        <w:pStyle w:val="Compact"/>
      </w:pPr>
      <w:r>
        <w:rPr>
          <w:sz w:val="20"/>
          <w:szCs w:val="20"/>
        </w:rPr>
        <w:t xml:space="preserve">Notes: Kurt.: non-excess kurtosis; P</w:t>
      </w:r>
      <w:r>
        <w:rPr>
          <w:vertAlign w:val="subscript"/>
          <w:sz w:val="20"/>
          <w:szCs w:val="20"/>
        </w:rPr>
        <w:t xml:space="preserve">cap</w:t>
      </w:r>
      <w:r>
        <w:rPr>
          <w:sz w:val="20"/>
          <w:szCs w:val="20"/>
        </w:rPr>
        <w:t xml:space="preserve">: overlap-purged series of Eq. (6); *** p &lt; 0.01. Source: Authors’ calculations based on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has the highest daily standard deviation (0.0124) and VNINDEX the lowest (0.0115). All series are negatively skewed and leptokurtic (kurtosis above 33 at M30), and the Jarque–Bera test rejects normality for every series. Neither DCCA nor the block bootstrap requires Gaussian returns.</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1980"/>
        <w:gridCol w:w="1980"/>
        <w:gridCol w:w="1980"/>
        <w:gridCol w:w="198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N</w:t>
            </w:r>
          </w:p>
        </w:tc>
        <w:tc>
          <w:tcPr/>
          <w:p>
            <w:pPr>
              <w:spacing w:before="0" w:after="0" w:line="240" w:lineRule="auto"/>
              <w:jc w:val="left"/>
            </w:pPr>
            <w:r>
              <w:rPr>
                <w:sz w:val="20"/>
                <w:szCs w:val="20"/>
              </w:rPr>
              <w:t xml:space="preserve">Gaussian s</w:t>
            </w:r>
            <w:r>
              <w:rPr>
                <w:vertAlign w:val="subscript"/>
                <w:sz w:val="20"/>
                <w:szCs w:val="20"/>
              </w:rPr>
              <w:t xml:space="preserve">rel</w:t>
            </w:r>
          </w:p>
        </w:tc>
        <w:tc>
          <w:tcPr/>
          <w:p>
            <w:pPr>
              <w:spacing w:before="0" w:after="0" w:line="240" w:lineRule="auto"/>
              <w:jc w:val="left"/>
            </w:pPr>
            <w:r>
              <w:rPr>
                <w:sz w:val="20"/>
                <w:szCs w:val="20"/>
              </w:rPr>
              <w:t xml:space="preserve">Heavy-tailed s</w:t>
            </w:r>
            <w:r>
              <w:rPr>
                <w:vertAlign w:val="subscript"/>
                <w:sz w:val="20"/>
                <w:szCs w:val="20"/>
              </w:rPr>
              <w:t xml:space="preserve">rel</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50</w:t>
            </w:r>
          </w:p>
        </w:tc>
        <w:tc>
          <w:tcPr/>
          <w:p>
            <w:pPr>
              <w:spacing w:before="0" w:after="0" w:line="240" w:lineRule="auto"/>
              <w:jc w:val="left"/>
            </w:pPr>
            <w:r>
              <w:rPr>
                <w:sz w:val="20"/>
                <w:szCs w:val="20"/>
              </w:rPr>
              <w:t xml:space="preserve">20</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444</w:t>
            </w:r>
          </w:p>
        </w:tc>
        <w:tc>
          <w:tcPr/>
          <w:p>
            <w:pPr>
              <w:spacing w:before="0" w:after="0" w:line="240" w:lineRule="auto"/>
              <w:jc w:val="left"/>
            </w:pPr>
            <w:r>
              <w:rPr>
                <w:sz w:val="20"/>
                <w:szCs w:val="20"/>
              </w:rPr>
              <w:t xml:space="preserve">151</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233</w:t>
            </w:r>
          </w:p>
        </w:tc>
        <w:tc>
          <w:tcPr/>
          <w:p>
            <w:pPr>
              <w:spacing w:before="0" w:after="0" w:line="240" w:lineRule="auto"/>
              <w:jc w:val="left"/>
            </w:pPr>
            <w:r>
              <w:rPr>
                <w:sz w:val="20"/>
                <w:szCs w:val="20"/>
              </w:rPr>
              <w:t xml:space="preserve">86</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88</w:t>
            </w:r>
          </w:p>
        </w:tc>
        <w:tc>
          <w:tcPr/>
          <w:p>
            <w:pPr>
              <w:spacing w:before="0" w:after="0" w:line="240" w:lineRule="auto"/>
              <w:jc w:val="left"/>
            </w:pPr>
            <w:r>
              <w:rPr>
                <w:sz w:val="20"/>
                <w:szCs w:val="20"/>
              </w:rPr>
              <w:t xml:space="preserve">28</w:t>
            </w:r>
          </w:p>
        </w:tc>
      </w:tr>
    </w:tbl>
    <w:p>
      <w:pPr>
        <w:pStyle w:val="Compact"/>
      </w:pPr>
      <w:r>
        <w:rPr>
          <w:sz w:val="20"/>
          <w:szCs w:val="20"/>
        </w:rPr>
        <w:t xml:space="preserve">Notes: s</w:t>
      </w:r>
      <w:r>
        <w:rPr>
          <w:vertAlign w:val="subscript"/>
          <w:sz w:val="20"/>
          <w:szCs w:val="20"/>
        </w:rPr>
        <w:t xml:space="preserve">rel</w:t>
      </w:r>
      <w:r>
        <w:rPr>
          <w:sz w:val="20"/>
          <w:szCs w:val="20"/>
        </w:rPr>
        <w:t xml:space="preserve">: largest scale (bars) at which the worst-case mean absolute error stays below 0.05; Gaussian: 1,002 white-noise simulations; heavy-tailed: 300 GARCH(1,1)-t(5) simulations.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Gaussian thresholds range from 50 days at 1D to 444 bars at M30, and heavy tails cut them by about two-thirds. Averages below use the Gaussian thresholds. Over the heavy-tailed ranges, the nested averages become 0.975–0.979 and the purged average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5.2 The overlap gap (H1)</w:t>
      </w:r>
    </w:p>
    <w:p>
      <w:pPr>
        <w:pStyle w:val="p1a"/>
        <w:spacing w:before="0" w:after="120" w:line="300" w:lineRule="auto"/>
        <w:jc w:val="both"/>
      </w:pPr>
      <w:r>
        <w:rPr>
          <w:rFonts w:ascii="Times New Roman" w:hAnsi="Times New Roman" w:cs="Times New Roman" w:eastAsia="Times New Roman"/>
          <w:sz w:val="24"/>
          <w:szCs w:val="24"/>
        </w:rPr>
        <w:t xml:space="preserve">Table 4 compares nested and purged coefficients; Fig. 2 shows the curves with bootstrap bands.</w:t>
      </w:r>
    </w:p>
    <w:p>
      <w:pPr>
        <w:pStyle w:val="tablecaption0"/>
      </w:pPr>
      <w:r>
        <w:rPr>
          <w:bCs/>
          <w:b/>
        </w:rPr>
        <w:t xml:space="preserve">Table 4</w:t>
      </w:r>
      <w:r>
        <w:t xml:space="preserve"> </w:t>
      </w:r>
      <w:r>
        <w:t xml:space="preserve">Average DCCA coefficients of nested and overlap-purged pairs</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Nested mean</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Three-pair gap [95% CI]</w:t>
            </w:r>
          </w:p>
        </w:tc>
        <w:tc>
          <w:tcPr/>
          <w:p>
            <w:pPr>
              <w:spacing w:before="0" w:after="0" w:line="240" w:lineRule="auto"/>
              <w:jc w:val="left"/>
            </w:pPr>
            <w:r>
              <w:rPr>
                <w:sz w:val="20"/>
                <w:szCs w:val="20"/>
              </w:rPr>
              <w:t xml:space="preserve">Like-for-like gap [95% CI]</w:t>
            </w:r>
          </w:p>
        </w:tc>
        <w:tc>
          <w:tcPr/>
          <w:p>
            <w:pPr>
              <w:spacing w:before="0" w:after="0" w:line="240" w:lineRule="auto"/>
              <w:jc w:val="left"/>
            </w:pPr>
            <w:r>
              <w:rPr>
                <w:sz w:val="20"/>
                <w:szCs w:val="20"/>
              </w:rPr>
              <w:t xml:space="preserve">Cohen’s q [95% CI]</w:t>
            </w:r>
          </w:p>
        </w:tc>
        <w:tc>
          <w:tcPr/>
          <w:p>
            <w:pPr>
              <w:spacing w:before="0" w:after="0" w:line="240" w:lineRule="auto"/>
              <w:jc w:val="left"/>
            </w:pPr>
            <w:r>
              <w:rPr>
                <w:sz w:val="20"/>
                <w:szCs w:val="20"/>
              </w:rPr>
              <w:t xml:space="preserve">N</w:t>
            </w:r>
          </w:p>
        </w:tc>
      </w:tr>
      <w:tr>
        <w:tc>
          <w:tcPr/>
          <w:p>
            <w:pPr>
              <w:spacing w:before="0" w:after="0" w:line="240" w:lineRule="auto"/>
              <w:jc w:val="left"/>
            </w:pPr>
            <w:r>
              <w:rPr>
                <w:iCs/>
                <w:i/>
                <w:sz w:val="20"/>
                <w:szCs w:val="20"/>
              </w:rPr>
              <w:t xml:space="preserve">Panel A: synchronized window, 2017–2024</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0.090</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1,983</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19,463</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0.891</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9,879</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0.892</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3,953</w:t>
            </w:r>
          </w:p>
        </w:tc>
      </w:tr>
      <w:tr>
        <w:tc>
          <w:tcPr/>
          <w:p>
            <w:pPr>
              <w:spacing w:before="0" w:after="0" w:line="240" w:lineRule="auto"/>
              <w:jc w:val="left"/>
            </w:pPr>
            <w:r>
              <w:rPr>
                <w:iCs/>
                <w:i/>
                <w:sz w:val="20"/>
                <w:szCs w:val="20"/>
              </w:rPr>
              <w:t xml:space="preserve">Panel B: full sample, 2014–2025</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0.977</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0.884</w:t>
            </w:r>
          </w:p>
        </w:tc>
        <w:tc>
          <w:tcPr/>
          <w:p>
            <w:pPr>
              <w:spacing w:before="0" w:after="0" w:line="240" w:lineRule="auto"/>
              <w:jc w:val="left"/>
            </w:pPr>
            <w:r>
              <w:rPr>
                <w:sz w:val="20"/>
                <w:szCs w:val="20"/>
              </w:rPr>
              <w:t xml:space="preserve">0.093 [0.074, 0.115]</w:t>
            </w:r>
          </w:p>
        </w:tc>
        <w:tc>
          <w:tcPr/>
          <w:p>
            <w:pPr>
              <w:spacing w:before="0" w:after="0" w:line="240" w:lineRule="auto"/>
              <w:jc w:val="left"/>
            </w:pPr>
            <w:r>
              <w:rPr>
                <w:sz w:val="20"/>
                <w:szCs w:val="20"/>
              </w:rPr>
              <w:t xml:space="preserve">0.104 [0.085, 0.128]</w:t>
            </w:r>
          </w:p>
        </w:tc>
        <w:tc>
          <w:tcPr/>
          <w:p>
            <w:pPr>
              <w:spacing w:before="0" w:after="0" w:line="240" w:lineRule="auto"/>
              <w:jc w:val="left"/>
            </w:pPr>
            <w:r>
              <w:rPr>
                <w:sz w:val="20"/>
                <w:szCs w:val="20"/>
              </w:rPr>
              <w:t xml:space="preserve">0.83 [0.75, 0.89]</w:t>
            </w:r>
          </w:p>
        </w:tc>
        <w:tc>
          <w:tcPr/>
          <w:p>
            <w:pPr>
              <w:spacing w:before="0" w:after="0" w:line="240" w:lineRule="auto"/>
              <w:jc w:val="left"/>
            </w:pPr>
            <w:r>
              <w:rPr>
                <w:sz w:val="20"/>
                <w:szCs w:val="20"/>
              </w:rPr>
              <w:t xml:space="preserve">2,963</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0.987</w:t>
            </w:r>
          </w:p>
        </w:tc>
        <w:tc>
          <w:tcPr/>
          <w:p>
            <w:pPr>
              <w:spacing w:before="0" w:after="0" w:line="240" w:lineRule="auto"/>
              <w:jc w:val="left"/>
            </w:pPr>
            <w:r>
              <w:rPr>
                <w:sz w:val="20"/>
                <w:szCs w:val="20"/>
              </w:rPr>
              <w:t xml:space="preserve">0.883</w:t>
            </w:r>
          </w:p>
        </w:tc>
        <w:tc>
          <w:tcPr/>
          <w:p>
            <w:pPr>
              <w:spacing w:before="0" w:after="0" w:line="240" w:lineRule="auto"/>
              <w:jc w:val="left"/>
            </w:pPr>
            <w:r>
              <w:rPr>
                <w:sz w:val="20"/>
                <w:szCs w:val="20"/>
              </w:rPr>
              <w:t xml:space="preserve">0.096 [0.080, 0.119]</w:t>
            </w:r>
          </w:p>
        </w:tc>
        <w:tc>
          <w:tcPr/>
          <w:p>
            <w:pPr>
              <w:spacing w:before="0" w:after="0" w:line="240" w:lineRule="auto"/>
              <w:jc w:val="left"/>
            </w:pPr>
            <w:r>
              <w:rPr>
                <w:sz w:val="20"/>
                <w:szCs w:val="20"/>
              </w:rPr>
              <w:t xml:space="preserve">0.104 [0.087, 0.125]</w:t>
            </w:r>
          </w:p>
        </w:tc>
        <w:tc>
          <w:tcPr/>
          <w:p>
            <w:pPr>
              <w:spacing w:before="0" w:after="0" w:line="240" w:lineRule="auto"/>
              <w:jc w:val="left"/>
            </w:pPr>
            <w:r>
              <w:rPr>
                <w:sz w:val="20"/>
                <w:szCs w:val="20"/>
              </w:rPr>
              <w:t xml:space="preserve">0.89 [0.83, 0.94]</w:t>
            </w:r>
          </w:p>
        </w:tc>
        <w:tc>
          <w:tcPr/>
          <w:p>
            <w:pPr>
              <w:spacing w:before="0" w:after="0" w:line="240" w:lineRule="auto"/>
              <w:jc w:val="left"/>
            </w:pPr>
            <w:r>
              <w:rPr>
                <w:sz w:val="20"/>
                <w:szCs w:val="20"/>
              </w:rPr>
              <w:t xml:space="preserve">21,942</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0.975</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0.889</w:t>
            </w:r>
          </w:p>
        </w:tc>
        <w:tc>
          <w:tcPr/>
          <w:p>
            <w:pPr>
              <w:spacing w:before="0" w:after="0" w:line="240" w:lineRule="auto"/>
              <w:jc w:val="left"/>
            </w:pPr>
            <w:r>
              <w:rPr>
                <w:sz w:val="20"/>
                <w:szCs w:val="20"/>
              </w:rPr>
              <w:t xml:space="preserve">0.086 [0.071, 0.103]</w:t>
            </w:r>
          </w:p>
        </w:tc>
        <w:tc>
          <w:tcPr/>
          <w:p>
            <w:pPr>
              <w:spacing w:before="0" w:after="0" w:line="240" w:lineRule="auto"/>
              <w:jc w:val="left"/>
            </w:pPr>
            <w:r>
              <w:rPr>
                <w:sz w:val="20"/>
                <w:szCs w:val="20"/>
              </w:rPr>
              <w:t xml:space="preserve">0.099 [0.084, 0.118]</w:t>
            </w:r>
          </w:p>
        </w:tc>
        <w:tc>
          <w:tcPr/>
          <w:p>
            <w:pPr>
              <w:spacing w:before="0" w:after="0" w:line="240" w:lineRule="auto"/>
              <w:jc w:val="left"/>
            </w:pPr>
            <w:r>
              <w:rPr>
                <w:sz w:val="20"/>
                <w:szCs w:val="20"/>
              </w:rPr>
              <w:t xml:space="preserve">0.78 [0.70, 0.83]</w:t>
            </w:r>
          </w:p>
        </w:tc>
        <w:tc>
          <w:tcPr/>
          <w:p>
            <w:pPr>
              <w:spacing w:before="0" w:after="0" w:line="240" w:lineRule="auto"/>
              <w:jc w:val="left"/>
            </w:pPr>
            <w:r>
              <w:rPr>
                <w:sz w:val="20"/>
                <w:szCs w:val="20"/>
              </w:rPr>
              <w:t xml:space="preserve">13,523</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0.976</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0.087 [0.072, 0.103]</w:t>
            </w:r>
          </w:p>
        </w:tc>
        <w:tc>
          <w:tcPr/>
          <w:p>
            <w:pPr>
              <w:spacing w:before="0" w:after="0" w:line="240" w:lineRule="auto"/>
              <w:jc w:val="left"/>
            </w:pPr>
            <w:r>
              <w:rPr>
                <w:sz w:val="20"/>
                <w:szCs w:val="20"/>
              </w:rPr>
              <w:t xml:space="preserve">0.099 [0.084, 0.116]</w:t>
            </w:r>
          </w:p>
        </w:tc>
        <w:tc>
          <w:tcPr/>
          <w:p>
            <w:pPr>
              <w:spacing w:before="0" w:after="0" w:line="240" w:lineRule="auto"/>
              <w:jc w:val="left"/>
            </w:pPr>
            <w:r>
              <w:rPr>
                <w:sz w:val="20"/>
                <w:szCs w:val="20"/>
              </w:rPr>
              <w:t xml:space="preserve">0.79 [0.72, 0.84]</w:t>
            </w:r>
          </w:p>
        </w:tc>
        <w:tc>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with m = 1; nested mean: VN30–VNINDEX, VN30–VN100 and VN100–VNINDEX; three-pair gap: nested mean minus P</w:t>
      </w:r>
      <w:r>
        <w:rPr>
          <w:vertAlign w:val="subscript"/>
          <w:sz w:val="20"/>
          <w:szCs w:val="20"/>
        </w:rPr>
        <w:t xml:space="preserve">cap</w:t>
      </w:r>
      <w:r>
        <w:rPr>
          <w:sz w:val="20"/>
          <w:szCs w:val="20"/>
        </w:rPr>
        <w:t xml:space="preserve">–VN30; like-for-like gap: VN30–VN100 minus P</w:t>
      </w:r>
      <w:r>
        <w:rPr>
          <w:vertAlign w:val="subscript"/>
          <w:sz w:val="20"/>
          <w:szCs w:val="20"/>
        </w:rPr>
        <w:t xml:space="preserve">cap</w:t>
      </w:r>
      <w:r>
        <w:rPr>
          <w:sz w:val="20"/>
          <w:szCs w:val="20"/>
        </w:rPr>
        <w:t xml:space="preserve">–VN30. Brackets: block-bootstrap 95% intervals at the factsheet weight.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averages 0.883–0.892. Corollary 3 fixes the sign of the like-for-like gap, but not its size: the gap is 0.099–0.104 with interval lower bounds of at least 0.084, above the 0.05 margin at every frequency, so H1 is supported. The three-pair gap, which also uses the broad-market pairs that cannot be purged by weight, is 0.086–0.096, with Cohen’s q (Cohen 1988) of 0.78–0.89. We report q descriptively because both coefficients come from the same sample. Overlap thus inflates co-movement that is already strong.</w:t>
      </w:r>
    </w:p>
    <w:p>
      <w:pPr>
        <w:pStyle w:val="BodyText"/>
        <w:spacing w:before="0" w:after="120" w:line="300" w:lineRule="auto"/>
        <w:jc w:val="both"/>
      </w:pPr>
      <w:r>
        <w:rPr>
          <w:rFonts w:ascii="Times New Roman" w:hAnsi="Times New Roman" w:cs="Times New Roman" w:eastAsia="Times New Roman"/>
          <w:sz w:val="24"/>
          <w:szCs w:val="24"/>
        </w:rPr>
        <w:t xml:space="preserve">The gap depends on the weight: over w = 0.60–0.75 the daily like-for-like gap is 0.063–0.164 and the three-pair gap 0.052–0.153 (Tables S2 and S3). With w drawn in each replicate, the like-for-like intervals have lower bounds of 0.057–0.061 and every replicate exceeds 0.05, so H1 holds under weight uncertainty. The size of the gap, however, is known only to within a factor of about two.</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grey bands: pointwise block-bootstrap 95% intervals; vertical dotted lines: s</w:t>
      </w:r>
      <w:r>
        <w:rPr>
          <w:vertAlign w:val="subscript"/>
          <w:sz w:val="20"/>
          <w:szCs w:val="20"/>
        </w:rPr>
        <w:t xml:space="preserve">rel</w:t>
      </w:r>
      <w:r>
        <w:rPr>
          <w:sz w:val="20"/>
          <w:szCs w:val="20"/>
        </w:rPr>
        <w:t xml:space="preserve"> </w:t>
      </w:r>
      <w:r>
        <w:rPr>
          <w:sz w:val="20"/>
          <w:szCs w:val="20"/>
        </w:rPr>
        <w:t xml:space="preserve">(Table 3). Source: Authors’ calculations based on HOSE index data (TradingView).</w:t>
      </w:r>
    </w:p>
    <w:p>
      <w:pPr>
        <w:pStyle w:val="heading20"/>
        <w:numPr>
          <w:ilvl w:val="0"/>
          <w:numId w:val="0"/>
        </w:numPr>
      </w:pPr>
      <w:r>
        <w:rPr>
          <w:rFonts w:ascii="Times New Roman" w:hAnsi="Times New Roman" w:cs="Times New Roman" w:eastAsia="Times New Roman"/>
          <w:b/>
          <w:sz w:val="24"/>
          <w:szCs w:val="24"/>
        </w:rPr>
        <w:t xml:space="preserve">5.3 The part–whole decomposition (E1, E2)</w:t>
      </w:r>
    </w:p>
    <w:p>
      <w:pPr>
        <w:pStyle w:val="p1a"/>
        <w:spacing w:before="0" w:after="120" w:line="300" w:lineRule="auto"/>
        <w:jc w:val="both"/>
      </w:pPr>
      <w:r>
        <w:rPr>
          <w:rFonts w:ascii="Times New Roman" w:hAnsi="Times New Roman" w:cs="Times New Roman" w:eastAsia="Times New Roman"/>
          <w:sz w:val="24"/>
          <w:szCs w:val="24"/>
        </w:rPr>
        <w:t xml:space="preserve">Table 5 applies Lemma 1 to VN30–VN100, and Fig. 3 plots Eq. (7) against the purged coefficient.</w:t>
      </w:r>
    </w:p>
    <w:p>
      <w:pPr>
        <w:pStyle w:val="tablecaption0"/>
      </w:pPr>
      <w:r>
        <w:rPr>
          <w:bCs/>
          <w:b/>
        </w:rPr>
        <w:t xml:space="preserve">Table 5</w:t>
      </w:r>
      <w:r>
        <w:t xml:space="preserve"> </w:t>
      </w:r>
      <w:r>
        <w:t xml:space="preserve">Part–whole decomposition of the VN30–VN100 DCCA coefficient (Lemma 1)</w:t>
      </w:r>
    </w:p>
    <w:tbl>
      <w:tblPr>
        <w:tblStyle w:val="TableGrid"/>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κ</w:t>
            </w:r>
          </w:p>
        </w:tc>
        <w:tc>
          <w:tcPr/>
          <w:p>
            <w:pPr>
              <w:spacing w:before="0" w:after="0" w:line="240" w:lineRule="auto"/>
              <w:jc w:val="left"/>
            </w:pPr>
            <w:r>
              <w:rPr>
                <w:sz w:val="20"/>
                <w:szCs w:val="20"/>
              </w:rPr>
              <w:t xml:space="preserve">Purged ρ</w:t>
            </w:r>
            <w:r>
              <w:rPr>
                <w:vertAlign w:val="subscript"/>
                <w:sz w:val="20"/>
                <w:szCs w:val="20"/>
              </w:rPr>
              <w:t xml:space="preserve">AM</w:t>
            </w:r>
          </w:p>
        </w:tc>
        <w:tc>
          <w:tcPr/>
          <w:p>
            <w:pPr>
              <w:spacing w:before="0" w:after="0" w:line="240" w:lineRule="auto"/>
              <w:jc w:val="left"/>
            </w:pPr>
            <w:r>
              <w:rPr>
                <w:sz w:val="20"/>
                <w:szCs w:val="20"/>
              </w:rPr>
              <w:t xml:space="preserve">Nested ρ</w:t>
            </w:r>
            <w:r>
              <w:rPr>
                <w:vertAlign w:val="subscript"/>
                <w:sz w:val="20"/>
                <w:szCs w:val="20"/>
              </w:rPr>
              <w:t xml:space="preserve">AB</w:t>
            </w:r>
          </w:p>
        </w:tc>
        <w:tc>
          <w:tcPr/>
          <w:p>
            <w:pPr>
              <w:spacing w:before="0" w:after="0" w:line="240" w:lineRule="auto"/>
              <w:jc w:val="left"/>
            </w:pPr>
            <w:r>
              <w:rPr>
                <w:sz w:val="20"/>
                <w:szCs w:val="20"/>
              </w:rPr>
              <w:t xml:space="preserve">Benchmark ρ̲</w:t>
            </w:r>
          </w:p>
        </w:tc>
        <w:tc>
          <w:tcPr/>
          <w:p>
            <w:pPr>
              <w:spacing w:before="0" w:after="0" w:line="240" w:lineRule="auto"/>
              <w:jc w:val="left"/>
            </w:pPr>
            <w:r>
              <w:rPr>
                <w:sz w:val="20"/>
                <w:szCs w:val="20"/>
              </w:rPr>
              <w:t xml:space="preserve">Bound √(1 − κ²)</w:t>
            </w:r>
          </w:p>
        </w:tc>
        <w:tc>
          <w:tcPr/>
          <w:p>
            <w:pPr>
              <w:spacing w:before="0" w:after="0" w:line="240" w:lineRule="auto"/>
              <w:jc w:val="left"/>
            </w:pPr>
            <w:r>
              <w:rPr>
                <w:sz w:val="20"/>
                <w:szCs w:val="20"/>
              </w:rPr>
              <w:t xml:space="preserve">Sensitivity</w:t>
            </w:r>
          </w:p>
        </w:tc>
        <w:tc>
          <w:tcPr/>
          <w:p>
            <w:pPr>
              <w:spacing w:before="0" w:after="0" w:line="240" w:lineRule="auto"/>
              <w:jc w:val="left"/>
            </w:pPr>
            <w:r>
              <w:rPr>
                <w:sz w:val="20"/>
                <w:szCs w:val="20"/>
              </w:rPr>
              <w:t xml:space="preserve">Benchmark-first share</w:t>
            </w:r>
          </w:p>
        </w:tc>
        <w:tc>
          <w:tcPr/>
          <w:p>
            <w:pPr>
              <w:spacing w:before="0" w:after="0" w:line="240" w:lineRule="auto"/>
              <w:jc w:val="left"/>
            </w:pPr>
            <w:r>
              <w:rPr>
                <w:sz w:val="20"/>
                <w:szCs w:val="20"/>
              </w:rPr>
              <w:t xml:space="preserve">Shapley overlap share</w:t>
            </w:r>
          </w:p>
        </w:tc>
      </w:tr>
      <w:tr>
        <w:tc>
          <w:tcPr/>
          <w:p>
            <w:pPr>
              <w:spacing w:before="0" w:after="0" w:line="240" w:lineRule="auto"/>
              <w:jc w:val="left"/>
            </w:pPr>
            <w:r>
              <w:rPr>
                <w:iCs/>
                <w:i/>
                <w:sz w:val="20"/>
                <w:szCs w:val="20"/>
              </w:rPr>
              <w:t xml:space="preserve">Panel A: sampling uncertainty, w fixed at the factsheet value</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0.484</w:t>
            </w:r>
          </w:p>
        </w:tc>
        <w:tc>
          <w:tcPr/>
          <w:p>
            <w:pPr>
              <w:spacing w:before="0" w:after="0" w:line="240" w:lineRule="auto"/>
              <w:jc w:val="left"/>
            </w:pPr>
            <w:r>
              <w:rPr>
                <w:sz w:val="20"/>
                <w:szCs w:val="20"/>
              </w:rPr>
              <w:t xml:space="preserve">0.884 [0.857, 0.906]</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0.900 [0.891, 0.910]</w:t>
            </w:r>
          </w:p>
        </w:tc>
        <w:tc>
          <w:tcPr/>
          <w:p>
            <w:pPr>
              <w:spacing w:before="0" w:after="0" w:line="240" w:lineRule="auto"/>
              <w:jc w:val="left"/>
            </w:pPr>
            <w:r>
              <w:rPr>
                <w:sz w:val="20"/>
                <w:szCs w:val="20"/>
              </w:rPr>
              <w:t xml:space="preserve">0.875</w:t>
            </w:r>
          </w:p>
        </w:tc>
        <w:tc>
          <w:tcPr/>
          <w:p>
            <w:pPr>
              <w:spacing w:before="0" w:after="0" w:line="240" w:lineRule="auto"/>
              <w:jc w:val="left"/>
            </w:pPr>
            <w:r>
              <w:rPr>
                <w:sz w:val="20"/>
                <w:szCs w:val="20"/>
              </w:rPr>
              <w:t xml:space="preserve">0.106 [0.098, 0.114]</w:t>
            </w:r>
          </w:p>
        </w:tc>
        <w:tc>
          <w:tcPr/>
          <w:p>
            <w:pPr>
              <w:spacing w:before="0" w:after="0" w:line="240" w:lineRule="auto"/>
              <w:jc w:val="left"/>
            </w:pPr>
            <w:r>
              <w:rPr>
                <w:sz w:val="20"/>
                <w:szCs w:val="20"/>
              </w:rPr>
              <w:t xml:space="preserve">0.911</w:t>
            </w:r>
          </w:p>
        </w:tc>
        <w:tc>
          <w:tcPr/>
          <w:p>
            <w:pPr>
              <w:spacing w:before="0" w:after="0" w:line="240" w:lineRule="auto"/>
              <w:jc w:val="left"/>
            </w:pPr>
            <w:r>
              <w:rPr>
                <w:sz w:val="20"/>
                <w:szCs w:val="20"/>
              </w:rPr>
              <w:t xml:space="preserve">0.508 [0.498, 0.521]</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0.503</w:t>
            </w:r>
          </w:p>
        </w:tc>
        <w:tc>
          <w:tcPr/>
          <w:p>
            <w:pPr>
              <w:spacing w:before="0" w:after="0" w:line="240" w:lineRule="auto"/>
              <w:jc w:val="left"/>
            </w:pPr>
            <w:r>
              <w:rPr>
                <w:sz w:val="20"/>
                <w:szCs w:val="20"/>
              </w:rPr>
              <w:t xml:space="preserve">0.883 [0.859, 0.904]</w:t>
            </w:r>
          </w:p>
        </w:tc>
        <w:tc>
          <w:tcPr/>
          <w:p>
            <w:pPr>
              <w:spacing w:before="0" w:after="0" w:line="240" w:lineRule="auto"/>
              <w:jc w:val="left"/>
            </w:pPr>
            <w:r>
              <w:rPr>
                <w:sz w:val="20"/>
                <w:szCs w:val="20"/>
              </w:rPr>
              <w:t xml:space="preserve">0.987</w:t>
            </w:r>
          </w:p>
        </w:tc>
        <w:tc>
          <w:tcPr/>
          <w:p>
            <w:pPr>
              <w:spacing w:before="0" w:after="0" w:line="240" w:lineRule="auto"/>
              <w:jc w:val="left"/>
            </w:pPr>
            <w:r>
              <w:rPr>
                <w:sz w:val="20"/>
                <w:szCs w:val="20"/>
              </w:rPr>
              <w:t xml:space="preserve">0.893 [0.882, 0.903]</w:t>
            </w:r>
          </w:p>
        </w:tc>
        <w:tc>
          <w:tcPr/>
          <w:p>
            <w:pPr>
              <w:spacing w:before="0" w:after="0" w:line="240" w:lineRule="auto"/>
              <w:jc w:val="left"/>
            </w:pPr>
            <w:r>
              <w:rPr>
                <w:sz w:val="20"/>
                <w:szCs w:val="20"/>
              </w:rPr>
              <w:t xml:space="preserve">0.864</w:t>
            </w:r>
          </w:p>
        </w:tc>
        <w:tc>
          <w:tcPr/>
          <w:p>
            <w:pPr>
              <w:spacing w:before="0" w:after="0" w:line="240" w:lineRule="auto"/>
              <w:jc w:val="left"/>
            </w:pPr>
            <w:r>
              <w:rPr>
                <w:sz w:val="20"/>
                <w:szCs w:val="20"/>
              </w:rPr>
              <w:t xml:space="preserve">0.112 [0.104, 0.122]</w:t>
            </w:r>
          </w:p>
        </w:tc>
        <w:tc>
          <w:tcPr/>
          <w:p>
            <w:pPr>
              <w:spacing w:before="0" w:after="0" w:line="240" w:lineRule="auto"/>
              <w:jc w:val="left"/>
            </w:pPr>
            <w:r>
              <w:rPr>
                <w:sz w:val="20"/>
                <w:szCs w:val="20"/>
              </w:rPr>
              <w:t xml:space="preserve">0.905</w:t>
            </w:r>
          </w:p>
        </w:tc>
        <w:tc>
          <w:tcPr/>
          <w:p>
            <w:pPr>
              <w:spacing w:before="0" w:after="0" w:line="240" w:lineRule="auto"/>
              <w:jc w:val="left"/>
            </w:pPr>
            <w:r>
              <w:rPr>
                <w:sz w:val="20"/>
                <w:szCs w:val="20"/>
              </w:rPr>
              <w:t xml:space="preserve">0.505 [0.497, 0.515]</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0.486</w:t>
            </w:r>
          </w:p>
        </w:tc>
        <w:tc>
          <w:tcPr/>
          <w:p>
            <w:pPr>
              <w:spacing w:before="0" w:after="0" w:line="240" w:lineRule="auto"/>
              <w:jc w:val="left"/>
            </w:pPr>
            <w:r>
              <w:rPr>
                <w:sz w:val="20"/>
                <w:szCs w:val="20"/>
              </w:rPr>
              <w:t xml:space="preserve">0.889 [0.868, 0.905]</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0.899 [0.889, 0.909]</w:t>
            </w:r>
          </w:p>
        </w:tc>
        <w:tc>
          <w:tcPr/>
          <w:p>
            <w:pPr>
              <w:spacing w:before="0" w:after="0" w:line="240" w:lineRule="auto"/>
              <w:jc w:val="left"/>
            </w:pPr>
            <w:r>
              <w:rPr>
                <w:sz w:val="20"/>
                <w:szCs w:val="20"/>
              </w:rPr>
              <w:t xml:space="preserve">0.874</w:t>
            </w:r>
          </w:p>
        </w:tc>
        <w:tc>
          <w:tcPr/>
          <w:p>
            <w:pPr>
              <w:spacing w:before="0" w:after="0" w:line="240" w:lineRule="auto"/>
              <w:jc w:val="left"/>
            </w:pPr>
            <w:r>
              <w:rPr>
                <w:sz w:val="20"/>
                <w:szCs w:val="20"/>
              </w:rPr>
              <w:t xml:space="preserve">0.107 [0.099, 0.116]</w:t>
            </w:r>
          </w:p>
        </w:tc>
        <w:tc>
          <w:tcPr/>
          <w:p>
            <w:pPr>
              <w:spacing w:before="0" w:after="0" w:line="240" w:lineRule="auto"/>
              <w:jc w:val="left"/>
            </w:pPr>
            <w:r>
              <w:rPr>
                <w:sz w:val="20"/>
                <w:szCs w:val="20"/>
              </w:rPr>
              <w:t xml:space="preserve">0.910</w:t>
            </w:r>
          </w:p>
        </w:tc>
        <w:tc>
          <w:tcPr/>
          <w:p>
            <w:pPr>
              <w:spacing w:before="0" w:after="0" w:line="240" w:lineRule="auto"/>
              <w:jc w:val="left"/>
            </w:pPr>
            <w:r>
              <w:rPr>
                <w:sz w:val="20"/>
                <w:szCs w:val="20"/>
              </w:rPr>
              <w:t xml:space="preserve">0.505 [0.498, 0.515]</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0.485</w:t>
            </w:r>
          </w:p>
        </w:tc>
        <w:tc>
          <w:tcPr/>
          <w:p>
            <w:pPr>
              <w:spacing w:before="0" w:after="0" w:line="240" w:lineRule="auto"/>
              <w:jc w:val="left"/>
            </w:pPr>
            <w:r>
              <w:rPr>
                <w:sz w:val="20"/>
                <w:szCs w:val="20"/>
              </w:rPr>
              <w:t xml:space="preserve">0.890 [0.865, 0.908]</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0.900 [0.890, 0.910]</w:t>
            </w:r>
          </w:p>
        </w:tc>
        <w:tc>
          <w:tcPr/>
          <w:p>
            <w:pPr>
              <w:spacing w:before="0" w:after="0" w:line="240" w:lineRule="auto"/>
              <w:jc w:val="left"/>
            </w:pPr>
            <w:r>
              <w:rPr>
                <w:sz w:val="20"/>
                <w:szCs w:val="20"/>
              </w:rPr>
              <w:t xml:space="preserve">0.874</w:t>
            </w:r>
          </w:p>
        </w:tc>
        <w:tc>
          <w:tcPr/>
          <w:p>
            <w:pPr>
              <w:spacing w:before="0" w:after="0" w:line="240" w:lineRule="auto"/>
              <w:jc w:val="left"/>
            </w:pPr>
            <w:r>
              <w:rPr>
                <w:sz w:val="20"/>
                <w:szCs w:val="20"/>
              </w:rPr>
              <w:t xml:space="preserve">0.106 [0.098, 0.115]</w:t>
            </w:r>
          </w:p>
        </w:tc>
        <w:tc>
          <w:tcPr/>
          <w:p>
            <w:pPr>
              <w:spacing w:before="0" w:after="0" w:line="240" w:lineRule="auto"/>
              <w:jc w:val="left"/>
            </w:pPr>
            <w:r>
              <w:rPr>
                <w:sz w:val="20"/>
                <w:szCs w:val="20"/>
              </w:rPr>
              <w:t xml:space="preserve">0.910</w:t>
            </w:r>
          </w:p>
        </w:tc>
        <w:tc>
          <w:tcPr/>
          <w:p>
            <w:pPr>
              <w:spacing w:before="0" w:after="0" w:line="240" w:lineRule="auto"/>
              <w:jc w:val="left"/>
            </w:pPr>
            <w:r>
              <w:rPr>
                <w:sz w:val="20"/>
                <w:szCs w:val="20"/>
              </w:rPr>
              <w:t xml:space="preserve">0.505 [0.498, 0.515]</w:t>
            </w:r>
          </w:p>
        </w:tc>
      </w:tr>
      <w:tr>
        <w:tc>
          <w:tcPr/>
          <w:p>
            <w:pPr>
              <w:spacing w:before="0" w:after="0" w:line="240" w:lineRule="auto"/>
              <w:jc w:val="left"/>
            </w:pPr>
            <w:r>
              <w:rPr>
                <w:iCs/>
                <w:i/>
                <w:sz w:val="20"/>
                <w:szCs w:val="20"/>
              </w:rPr>
              <w:t xml:space="preserve">Panel B: sampling and weight uncertainty, w ~ U(0.60, 0.75) in each replicate</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pPr>
          </w:p>
        </w:tc>
        <w:tc>
          <w:tcPr/>
          <w:p>
            <w:pPr>
              <w:spacing w:before="0" w:after="0" w:line="240" w:lineRule="auto"/>
              <w:jc w:val="left"/>
            </w:pPr>
            <w:r>
              <w:rPr>
                <w:sz w:val="20"/>
                <w:szCs w:val="20"/>
              </w:rPr>
              <w:t xml:space="preserve">0.884 [0.821, 0.931]</w:t>
            </w:r>
          </w:p>
        </w:tc>
        <w:tc>
          <w:tcPr/>
          <w:p>
            <w:pPr>
              <w:spacing w:before="0" w:after="0" w:line="240" w:lineRule="auto"/>
            </w:pPr>
          </w:p>
        </w:tc>
        <w:tc>
          <w:tcPr/>
          <w:p>
            <w:pPr>
              <w:spacing w:before="0" w:after="0" w:line="240" w:lineRule="auto"/>
              <w:jc w:val="left"/>
            </w:pPr>
            <w:r>
              <w:rPr>
                <w:sz w:val="20"/>
                <w:szCs w:val="20"/>
              </w:rPr>
              <w:t xml:space="preserve">0.900 [0.830, 0.938]</w:t>
            </w:r>
          </w:p>
        </w:tc>
        <w:tc>
          <w:tcPr/>
          <w:p>
            <w:pPr>
              <w:spacing w:before="0" w:after="0" w:line="240" w:lineRule="auto"/>
            </w:pPr>
          </w:p>
        </w:tc>
        <w:tc>
          <w:tcPr/>
          <w:p>
            <w:pPr>
              <w:spacing w:before="0" w:after="0" w:line="240" w:lineRule="auto"/>
              <w:jc w:val="left"/>
            </w:pPr>
            <w:r>
              <w:rPr>
                <w:sz w:val="20"/>
                <w:szCs w:val="20"/>
              </w:rPr>
              <w:t xml:space="preserve">0.106 [0.071, 0.163]</w:t>
            </w:r>
          </w:p>
        </w:tc>
        <w:tc>
          <w:tcPr/>
          <w:p>
            <w:pPr>
              <w:spacing w:before="0" w:after="0" w:line="240" w:lineRule="auto"/>
              <w:jc w:val="left"/>
            </w:pPr>
            <w:r>
              <w:rPr>
                <w:sz w:val="20"/>
                <w:szCs w:val="20"/>
              </w:rPr>
              <w:t xml:space="preserve">0.911 [0.841, 0.949]</w:t>
            </w:r>
          </w:p>
        </w:tc>
        <w:tc>
          <w:tcPr/>
          <w:p>
            <w:pPr>
              <w:spacing w:before="0" w:after="0" w:line="240" w:lineRule="auto"/>
              <w:jc w:val="left"/>
            </w:pPr>
            <w:r>
              <w:rPr>
                <w:sz w:val="20"/>
                <w:szCs w:val="20"/>
              </w:rPr>
              <w:t xml:space="preserve">0.508 [0.452, 0.556]</w:t>
            </w:r>
          </w:p>
        </w:tc>
      </w:tr>
      <w:tr>
        <w:tc>
          <w:tcPr/>
          <w:p>
            <w:pPr>
              <w:spacing w:before="0" w:after="0" w:line="240" w:lineRule="auto"/>
              <w:jc w:val="left"/>
            </w:pPr>
            <w:r>
              <w:rPr>
                <w:sz w:val="20"/>
                <w:szCs w:val="20"/>
              </w:rPr>
              <w:t xml:space="preserve">30-minute (M30)</w:t>
            </w:r>
          </w:p>
        </w:tc>
        <w:tc>
          <w:tcPr/>
          <w:p>
            <w:pPr>
              <w:spacing w:before="0" w:after="0" w:line="240" w:lineRule="auto"/>
            </w:pPr>
          </w:p>
        </w:tc>
        <w:tc>
          <w:tcPr/>
          <w:p>
            <w:pPr>
              <w:spacing w:before="0" w:after="0" w:line="240" w:lineRule="auto"/>
              <w:jc w:val="left"/>
            </w:pPr>
            <w:r>
              <w:rPr>
                <w:sz w:val="20"/>
                <w:szCs w:val="20"/>
              </w:rPr>
              <w:t xml:space="preserve">0.883 [0.817, 0.926]</w:t>
            </w:r>
          </w:p>
        </w:tc>
        <w:tc>
          <w:tcPr/>
          <w:p>
            <w:pPr>
              <w:spacing w:before="0" w:after="0" w:line="240" w:lineRule="auto"/>
            </w:pPr>
          </w:p>
        </w:tc>
        <w:tc>
          <w:tcPr/>
          <w:p>
            <w:pPr>
              <w:spacing w:before="0" w:after="0" w:line="240" w:lineRule="auto"/>
              <w:jc w:val="left"/>
            </w:pPr>
            <w:r>
              <w:rPr>
                <w:sz w:val="20"/>
                <w:szCs w:val="20"/>
              </w:rPr>
              <w:t xml:space="preserve">0.893 [0.823, 0.932]</w:t>
            </w:r>
          </w:p>
        </w:tc>
        <w:tc>
          <w:tcPr/>
          <w:p>
            <w:pPr>
              <w:spacing w:before="0" w:after="0" w:line="240" w:lineRule="auto"/>
            </w:pPr>
          </w:p>
        </w:tc>
        <w:tc>
          <w:tcPr/>
          <w:p>
            <w:pPr>
              <w:spacing w:before="0" w:after="0" w:line="240" w:lineRule="auto"/>
              <w:jc w:val="left"/>
            </w:pPr>
            <w:r>
              <w:rPr>
                <w:sz w:val="20"/>
                <w:szCs w:val="20"/>
              </w:rPr>
              <w:t xml:space="preserve">0.112 [0.077, 0.168]</w:t>
            </w:r>
          </w:p>
        </w:tc>
        <w:tc>
          <w:tcPr/>
          <w:p>
            <w:pPr>
              <w:spacing w:before="0" w:after="0" w:line="240" w:lineRule="auto"/>
              <w:jc w:val="left"/>
            </w:pPr>
            <w:r>
              <w:rPr>
                <w:sz w:val="20"/>
                <w:szCs w:val="20"/>
              </w:rPr>
              <w:t xml:space="preserve">0.905 [0.834, 0.944]</w:t>
            </w:r>
          </w:p>
        </w:tc>
        <w:tc>
          <w:tcPr/>
          <w:p>
            <w:pPr>
              <w:spacing w:before="0" w:after="0" w:line="240" w:lineRule="auto"/>
              <w:jc w:val="left"/>
            </w:pPr>
            <w:r>
              <w:rPr>
                <w:sz w:val="20"/>
                <w:szCs w:val="20"/>
              </w:rPr>
              <w:t xml:space="preserve">0.505 [0.451, 0.555]</w:t>
            </w:r>
          </w:p>
        </w:tc>
      </w:tr>
    </w:tbl>
    <w:p>
      <w:pPr>
        <w:pStyle w:val="Compact"/>
      </w:pPr>
      <w:r>
        <w:rPr>
          <w:sz w:val="20"/>
          <w:szCs w:val="20"/>
        </w:rPr>
        <w:t xml:space="preserve">Notes: Quantities of Eqs. (7)–(11) averaged over s ≤ s</w:t>
      </w:r>
      <w:r>
        <w:rPr>
          <w:vertAlign w:val="subscript"/>
          <w:sz w:val="20"/>
          <w:szCs w:val="20"/>
        </w:rPr>
        <w:t xml:space="preserve">rel</w:t>
      </w:r>
      <w:r>
        <w:rPr>
          <w:sz w:val="20"/>
          <w:szCs w:val="20"/>
        </w:rPr>
        <w:t xml:space="preserve">; A = VN30, B = VN100, M = P</w:t>
      </w:r>
      <w:r>
        <w:rPr>
          <w:vertAlign w:val="subscript"/>
          <w:sz w:val="20"/>
          <w:szCs w:val="20"/>
        </w:rPr>
        <w:t xml:space="preserve">cap</w:t>
      </w:r>
      <w:r>
        <w:rPr>
          <w:sz w:val="20"/>
          <w:szCs w:val="20"/>
        </w:rPr>
        <w:t xml:space="preserve">. Brackets: block-bootstrap 95% intervals; Panel B is computed for the daily and 30-minute frequencies.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sensitivity is 0.106–0.112: moving the nested coefficient by 0.01 requires the purged coefficient to move by about 0.09. Under weight uncertainty, the sensitivity interval is 0.07–0.17. With κ of 0.48–0.50, the remaining 32% of VN100 contributes about half as much detrended variation as VN30, which puts the benchmark at 0.893–0.900 and the lower bound of Eq. (9) at 0.864–0.875. No purged coefficient in [−1, 1] could push the VN30–VN100 coefficient below about 0.86.</w:t>
      </w:r>
    </w:p>
    <w:p>
      <w:pPr>
        <w:pStyle w:val="BodyText"/>
        <w:spacing w:before="0" w:after="120" w:line="300" w:lineRule="auto"/>
        <w:jc w:val="both"/>
      </w:pPr>
      <w:r>
        <w:rPr>
          <w:rFonts w:ascii="Times New Roman" w:hAnsi="Times New Roman" w:cs="Times New Roman" w:eastAsia="Times New Roman"/>
          <w:sz w:val="24"/>
          <w:szCs w:val="24"/>
        </w:rPr>
        <w:t xml:space="preserve">The part of the observed 0.987–0.988 attributable to overlap depends on the attribution convention. The benchmark-first share is 0.905–0.911 and the dependence-first share 0.895–0.900, because either factor alone produces a coefficient near 0.9. The Shapley split attributes 0.505–0.508 to overlap (intervals within 0.497–0.521). Weight uncertainty widens the Shapley intervals to 0.45–0.56 and the benchmark-first intervals to 0.83–0.95, against a sampling-only width of about 0.02, so weight error dominates the uncertainty of any attribution.</w:t>
      </w:r>
    </w:p>
    <w:p>
      <w:pPr>
        <w:pStyle w:val="BodyText"/>
        <w:spacing w:before="0" w:after="120" w:line="300" w:lineRule="auto"/>
        <w:jc w:val="both"/>
      </w:pPr>
      <w:r>
        <w:rPr>
          <w:rFonts w:ascii="Times New Roman" w:hAnsi="Times New Roman" w:cs="Times New Roman" w:eastAsia="Times New Roman"/>
          <w:sz w:val="24"/>
          <w:szCs w:val="24"/>
        </w:rPr>
        <w:t xml:space="preserve">The decomposition barely varies with the horizon. Across reliable scales and frequencies, κ lies in 0.47–0.52, the benchmark varies by 0.007–0.016 within a frequency, and its slope on ln s is not significant at 5% (p = 0.052–0.456; Holm 0.208–0.828), although at M30 the percentile interval just excludes zero. The slope, about −0.002 per unit of ln s, is negligible. On full-sample Pearson moments, the benchmark is 0.898–0.903 and the benchmark-first share 0.911–0.914, within 0.01 of the DCCA values. In these data, the multiscale layer checks scale invariance, and Box 1 suffices in practice. The DCCA version matters where tiers scale differently, which Eq. (7) reveals as variation in κ(s).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Lemma 1 as a function of the overlap-purged coefficient</w:t>
      </w:r>
    </w:p>
    <w:p>
      <w:pPr>
        <w:pStyle w:val="Compact"/>
      </w:pPr>
      <w:r>
        <w:rPr>
          <w:sz w:val="20"/>
          <w:szCs w:val="20"/>
        </w:rPr>
        <w:t xml:space="preserve">Notes: Lines: Eq. (7) at the average κ of each frequency (Table 5); markers: observed values; dashed line: daily zero-correlation benchmark; dotted line: daily lower bound of Eq. (9).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Fig. 4 places the HOSE among possible nested systems: the contours show the Pearson benchmark by child weight and relative volatility of the remainder, and the triangle marks VN30 in VN100 (w = 0.683, σ</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/σ</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1.02, benchmark 0.903). Even a child weight of 0.5 with equal volatilities gives a benchmark of about 0.7.</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378147"/>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5_floor_contour.png" id="31" name="Picture"/>
                    <pic:cNvPicPr>
                      <a:picLocks noChangeArrowheads="1" noChangeAspect="1"/>
                    </pic:cNvPicPr>
                  </pic:nvPicPr>
                  <pic:blipFill>
                    <a:blip r:embed="rId29"/>
                    <a:stretch>
                      <a:fillRect/>
                    </a:stretch>
                  </pic:blipFill>
                  <pic:spPr bwMode="auto">
                    <a:xfrm>
                      <a:off x="0" y="0"/>
                      <a:ext cx="5760720" cy="4378147"/>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Zero-correlation benchmark ρ̲ as a function of the child weight w and the relative volatility σ</w:t>
      </w:r>
      <w:r>
        <w:rPr>
          <w:vertAlign w:val="subscript"/>
        </w:rPr>
        <w:t xml:space="preserve">M</w:t>
      </w:r>
      <w:r>
        <w:t xml:space="preserve">/σ</w:t>
      </w:r>
      <w:r>
        <w:rPr>
          <w:vertAlign w:val="subscript"/>
        </w:rPr>
        <w:t xml:space="preserve">A</w:t>
      </w:r>
    </w:p>
    <w:p>
      <w:pPr>
        <w:pStyle w:val="Compact"/>
      </w:pPr>
      <w:r>
        <w:rPr>
          <w:sz w:val="20"/>
          <w:szCs w:val="20"/>
        </w:rPr>
        <w:t xml:space="preserve">Notes: Contours of Eq. (8) with 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 triangle: VN30 in VN100, daily Pearson moments. Source: Authors’ calculations.</w:t>
      </w:r>
    </w:p>
    <w:p>
      <w:pPr>
        <w:pStyle w:val="heading20"/>
        <w:numPr>
          <w:ilvl w:val="0"/>
          <w:numId w:val="0"/>
        </w:numPr>
      </w:pPr>
      <w:r>
        <w:rPr>
          <w:rFonts w:ascii="Times New Roman" w:hAnsi="Times New Roman" w:cs="Times New Roman" w:eastAsia="Times New Roman"/>
          <w:b/>
          <w:sz w:val="24"/>
          <w:szCs w:val="24"/>
        </w:rPr>
        <w:t xml:space="preserve">5.4 Horizon dependence (H2)</w:t>
      </w:r>
    </w:p>
    <w:p>
      <w:pPr>
        <w:pStyle w:val="p1a"/>
        <w:spacing w:before="0" w:after="120" w:line="300" w:lineRule="auto"/>
        <w:jc w:val="both"/>
      </w:pPr>
      <w:r>
        <w:rPr>
          <w:rFonts w:ascii="Times New Roman" w:hAnsi="Times New Roman" w:cs="Times New Roman" w:eastAsia="Times New Roman"/>
          <w:sz w:val="24"/>
          <w:szCs w:val="24"/>
        </w:rPr>
        <w:t xml:space="preserve">Table 6 lists reliable-range slopes for the four main pairs with bootstrap, studentized and adjusted p-values.</w:t>
      </w:r>
    </w:p>
    <w:p>
      <w:pPr>
        <w:pStyle w:val="tablecaption0"/>
      </w:pPr>
      <w:r>
        <w:rPr>
          <w:bCs/>
          <w:b/>
        </w:rPr>
        <w:t xml:space="preserve">Table 6</w:t>
      </w:r>
      <w:r>
        <w:t xml:space="preserve"> </w:t>
      </w:r>
      <w:r>
        <w:t xml:space="preserve">Reliable-range scaling slopes of DCCA coefficients</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Pair</w:t>
            </w:r>
          </w:p>
        </w:tc>
        <w:tc>
          <w:tcPr/>
          <w:p>
            <w:pPr>
              <w:spacing w:before="0" w:after="0" w:line="240" w:lineRule="auto"/>
              <w:jc w:val="left"/>
            </w:pPr>
            <w:r>
              <w:rPr>
                <w:sz w:val="20"/>
                <w:szCs w:val="20"/>
              </w:rPr>
              <w:t xml:space="preserve">Slope [95% CI]</w:t>
            </w:r>
          </w:p>
        </w:tc>
        <w:tc>
          <w:tcPr/>
          <w:p>
            <w:pPr>
              <w:spacing w:before="0" w:after="0" w:line="240" w:lineRule="auto"/>
              <w:jc w:val="left"/>
            </w:pPr>
            <w:r>
              <w:rPr>
                <w:sz w:val="20"/>
                <w:szCs w:val="20"/>
              </w:rPr>
              <w:t xml:space="preserve">p (bootstrap)</w:t>
            </w:r>
          </w:p>
        </w:tc>
        <w:tc>
          <w:tcPr/>
          <w:p>
            <w:pPr>
              <w:spacing w:before="0" w:after="0" w:line="240" w:lineRule="auto"/>
              <w:jc w:val="left"/>
            </w:pPr>
            <w:r>
              <w:rPr>
                <w:sz w:val="20"/>
                <w:szCs w:val="20"/>
              </w:rPr>
              <w:t xml:space="preserve">p (studentized)</w:t>
            </w:r>
          </w:p>
        </w:tc>
        <w:tc>
          <w:tcPr/>
          <w:p>
            <w:pPr>
              <w:spacing w:before="0" w:after="0" w:line="240" w:lineRule="auto"/>
              <w:jc w:val="left"/>
            </w:pPr>
            <w:r>
              <w:rPr>
                <w:sz w:val="20"/>
                <w:szCs w:val="20"/>
              </w:rPr>
              <w:t xml:space="preserve">Holm, 19 tests</w:t>
            </w:r>
          </w:p>
        </w:tc>
        <w:tc>
          <w:tcPr/>
          <w:p>
            <w:pPr>
              <w:spacing w:before="0" w:after="0" w:line="240" w:lineRule="auto"/>
              <w:jc w:val="left"/>
            </w:pPr>
            <w:r>
              <w:rPr>
                <w:sz w:val="20"/>
                <w:szCs w:val="20"/>
              </w:rPr>
              <w:t xml:space="preserve">Holm, H2 family</w:t>
            </w:r>
          </w:p>
        </w:tc>
        <w:tc>
          <w:tcPr/>
          <w:p>
            <w:pPr>
              <w:spacing w:before="0" w:after="0" w:line="240" w:lineRule="auto"/>
              <w:jc w:val="left"/>
            </w:pPr>
            <w:r>
              <w:rPr>
                <w:sz w:val="20"/>
                <w:szCs w:val="20"/>
              </w:rPr>
              <w:t xml:space="preserve">TOST p</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0.0010 [−0.0031, 0.0043]</w:t>
            </w:r>
          </w:p>
        </w:tc>
        <w:tc>
          <w:tcPr/>
          <w:p>
            <w:pPr>
              <w:spacing w:before="0" w:after="0" w:line="240" w:lineRule="auto"/>
              <w:jc w:val="left"/>
            </w:pPr>
            <w:r>
              <w:rPr>
                <w:sz w:val="20"/>
                <w:szCs w:val="20"/>
              </w:rPr>
              <w:t xml:space="preserve">0.700</w:t>
            </w:r>
          </w:p>
        </w:tc>
        <w:tc>
          <w:tcPr/>
          <w:p>
            <w:pPr>
              <w:spacing w:before="0" w:after="0" w:line="240" w:lineRule="auto"/>
              <w:jc w:val="left"/>
            </w:pPr>
            <w:r>
              <w:rPr>
                <w:sz w:val="20"/>
                <w:szCs w:val="20"/>
              </w:rPr>
              <w:t xml:space="preserve">0.602</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0.0008 [−0.0021, 0.0027]</w:t>
            </w:r>
          </w:p>
        </w:tc>
        <w:tc>
          <w:tcPr/>
          <w:p>
            <w:pPr>
              <w:spacing w:before="0" w:after="0" w:line="240" w:lineRule="auto"/>
              <w:jc w:val="left"/>
            </w:pPr>
            <w:r>
              <w:rPr>
                <w:sz w:val="20"/>
                <w:szCs w:val="20"/>
              </w:rPr>
              <w:t xml:space="preserve">0.736</w:t>
            </w:r>
          </w:p>
        </w:tc>
        <w:tc>
          <w:tcPr/>
          <w:p>
            <w:pPr>
              <w:spacing w:before="0" w:after="0" w:line="240" w:lineRule="auto"/>
              <w:jc w:val="left"/>
            </w:pPr>
            <w:r>
              <w:rPr>
                <w:sz w:val="20"/>
                <w:szCs w:val="20"/>
              </w:rPr>
              <w:t xml:space="preserve">0.530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−0.0008 [−0.0023, 0.0008]</w:t>
            </w:r>
          </w:p>
        </w:tc>
        <w:tc>
          <w:tcPr/>
          <w:p>
            <w:pPr>
              <w:spacing w:before="0" w:after="0" w:line="240" w:lineRule="auto"/>
              <w:jc w:val="left"/>
            </w:pPr>
            <w:r>
              <w:rPr>
                <w:sz w:val="20"/>
                <w:szCs w:val="20"/>
              </w:rPr>
              <w:t xml:space="preserve">0.348</w:t>
            </w:r>
          </w:p>
        </w:tc>
        <w:tc>
          <w:tcPr/>
          <w:p>
            <w:pPr>
              <w:spacing w:before="0" w:after="0" w:line="240" w:lineRule="auto"/>
              <w:jc w:val="left"/>
            </w:pPr>
            <w:r>
              <w:rPr>
                <w:sz w:val="20"/>
                <w:szCs w:val="20"/>
              </w:rPr>
              <w:t xml:space="preserve">0.319</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0.385</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−0.0040 [−0.0157, 0.0085]</w:t>
            </w:r>
          </w:p>
        </w:tc>
        <w:tc>
          <w:tcPr/>
          <w:p>
            <w:pPr>
              <w:spacing w:before="0" w:after="0" w:line="240" w:lineRule="auto"/>
              <w:jc w:val="left"/>
            </w:pPr>
            <w:r>
              <w:rPr>
                <w:sz w:val="20"/>
                <w:szCs w:val="20"/>
              </w:rPr>
              <w:t xml:space="preserve">0.576</w:t>
            </w:r>
          </w:p>
        </w:tc>
        <w:tc>
          <w:tcPr/>
          <w:p>
            <w:pPr>
              <w:spacing w:before="0" w:after="0" w:line="240" w:lineRule="auto"/>
              <w:jc w:val="left"/>
            </w:pPr>
            <w:r>
              <w:rPr>
                <w:sz w:val="20"/>
                <w:szCs w:val="20"/>
              </w:rPr>
              <w:t xml:space="preserve">0.512</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0.0022 [0.0007, 0.0038]</w:t>
            </w:r>
          </w:p>
        </w:tc>
        <w:tc>
          <w:tcPr/>
          <w:p>
            <w:pPr>
              <w:spacing w:before="0" w:after="0" w:line="240" w:lineRule="auto"/>
              <w:jc w:val="left"/>
            </w:pPr>
            <w:r>
              <w:rPr>
                <w:sz w:val="20"/>
                <w:szCs w:val="20"/>
              </w:rPr>
              <w:t xml:space="preserve">0.012</w:t>
            </w:r>
          </w:p>
        </w:tc>
        <w:tc>
          <w:tcPr/>
          <w:p>
            <w:pPr>
              <w:spacing w:before="0" w:after="0" w:line="240" w:lineRule="auto"/>
              <w:jc w:val="left"/>
            </w:pPr>
            <w:r>
              <w:rPr>
                <w:sz w:val="20"/>
                <w:szCs w:val="20"/>
              </w:rPr>
              <w:t xml:space="preserve">0.009</w:t>
            </w:r>
          </w:p>
        </w:tc>
        <w:tc>
          <w:tcPr/>
          <w:p>
            <w:pPr>
              <w:spacing w:before="0" w:after="0" w:line="240" w:lineRule="auto"/>
              <w:jc w:val="left"/>
            </w:pPr>
            <w:r>
              <w:rPr>
                <w:sz w:val="20"/>
                <w:szCs w:val="20"/>
              </w:rPr>
              <w:t xml:space="preserve">0.144</w:t>
            </w:r>
          </w:p>
        </w:tc>
        <w:tc>
          <w:tcPr/>
          <w:p>
            <w:pPr>
              <w:spacing w:before="0" w:after="0" w:line="240" w:lineRule="auto"/>
              <w:jc w:val="left"/>
            </w:pPr>
            <w:r>
              <w:rPr>
                <w:sz w:val="20"/>
                <w:szCs w:val="20"/>
              </w:rPr>
              <w:t xml:space="preserve">0.045</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0.0022 [0.0011, 0.0032]</w:t>
            </w:r>
          </w:p>
        </w:tc>
        <w:tc>
          <w:tcPr/>
          <w:p>
            <w:pPr>
              <w:spacing w:before="0" w:after="0" w:line="240" w:lineRule="auto"/>
              <w:jc w:val="left"/>
            </w:pPr>
            <w:r>
              <w:rPr>
                <w:sz w:val="20"/>
                <w:szCs w:val="20"/>
              </w:rPr>
              <w:t xml:space="preserve">&lt; 0.005</w:t>
            </w:r>
          </w:p>
        </w:tc>
        <w:tc>
          <w:tcPr/>
          <w:p>
            <w:pPr>
              <w:spacing w:before="0" w:after="0" w:line="240" w:lineRule="auto"/>
              <w:jc w:val="left"/>
            </w:pPr>
            <w:r>
              <w:rPr>
                <w:sz w:val="20"/>
                <w:szCs w:val="20"/>
              </w:rPr>
              <w:t xml:space="preserve">&lt; 0.001</w:t>
            </w:r>
          </w:p>
        </w:tc>
        <w:tc>
          <w:tcPr/>
          <w:p>
            <w:pPr>
              <w:spacing w:before="0" w:after="0" w:line="240" w:lineRule="auto"/>
              <w:jc w:val="left"/>
            </w:pPr>
            <w:r>
              <w:rPr>
                <w:sz w:val="20"/>
                <w:szCs w:val="20"/>
              </w:rPr>
              <w:t xml:space="preserve">0.002</w:t>
            </w:r>
          </w:p>
        </w:tc>
        <w:tc>
          <w:tcPr/>
          <w:p>
            <w:pPr>
              <w:spacing w:before="0" w:after="0" w:line="240" w:lineRule="auto"/>
              <w:jc w:val="left"/>
            </w:pPr>
            <w:r>
              <w:rPr>
                <w:sz w:val="20"/>
                <w:szCs w:val="20"/>
              </w:rPr>
              <w:t xml:space="preserve">&lt; 0.001</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−0.0001 [−0.0007, 0.0007]</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0.863</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0.007</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0.0017 [−0.0045, 0.0078]</w:t>
            </w:r>
          </w:p>
        </w:tc>
        <w:tc>
          <w:tcPr/>
          <w:p>
            <w:pPr>
              <w:spacing w:before="0" w:after="0" w:line="240" w:lineRule="auto"/>
              <w:jc w:val="left"/>
            </w:pPr>
            <w:r>
              <w:rPr>
                <w:sz w:val="20"/>
                <w:szCs w:val="20"/>
              </w:rPr>
              <w:t xml:space="preserve">0.520</w:t>
            </w:r>
          </w:p>
        </w:tc>
        <w:tc>
          <w:tcPr/>
          <w:p>
            <w:pPr>
              <w:spacing w:before="0" w:after="0" w:line="240" w:lineRule="auto"/>
              <w:jc w:val="left"/>
            </w:pPr>
            <w:r>
              <w:rPr>
                <w:sz w:val="20"/>
                <w:szCs w:val="20"/>
              </w:rPr>
              <w:t xml:space="preserve">0.603</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0.0024 [0.0006, 0.0041]</w:t>
            </w:r>
          </w:p>
        </w:tc>
        <w:tc>
          <w:tcPr/>
          <w:p>
            <w:pPr>
              <w:spacing w:before="0" w:after="0" w:line="240" w:lineRule="auto"/>
              <w:jc w:val="left"/>
            </w:pPr>
            <w:r>
              <w:rPr>
                <w:sz w:val="20"/>
                <w:szCs w:val="20"/>
              </w:rPr>
              <w:t xml:space="preserve">0.012</w:t>
            </w:r>
          </w:p>
        </w:tc>
        <w:tc>
          <w:tcPr/>
          <w:p>
            <w:pPr>
              <w:spacing w:before="0" w:after="0" w:line="240" w:lineRule="auto"/>
              <w:jc w:val="left"/>
            </w:pPr>
            <w:r>
              <w:rPr>
                <w:sz w:val="20"/>
                <w:szCs w:val="20"/>
              </w:rPr>
              <w:t xml:space="preserve">0.006</w:t>
            </w:r>
          </w:p>
        </w:tc>
        <w:tc>
          <w:tcPr/>
          <w:p>
            <w:pPr>
              <w:spacing w:before="0" w:after="0" w:line="240" w:lineRule="auto"/>
              <w:jc w:val="left"/>
            </w:pPr>
            <w:r>
              <w:rPr>
                <w:sz w:val="20"/>
                <w:szCs w:val="20"/>
              </w:rPr>
              <w:t xml:space="preserve">0.101</w:t>
            </w:r>
          </w:p>
        </w:tc>
        <w:tc>
          <w:tcPr/>
          <w:p>
            <w:pPr>
              <w:spacing w:before="0" w:after="0" w:line="240" w:lineRule="auto"/>
              <w:jc w:val="left"/>
            </w:pPr>
            <w:r>
              <w:rPr>
                <w:sz w:val="20"/>
                <w:szCs w:val="20"/>
              </w:rPr>
              <w:t xml:space="preserve">0.039</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0.0019 [0.0007, 0.0032]</w:t>
            </w:r>
          </w:p>
        </w:tc>
        <w:tc>
          <w:tcPr/>
          <w:p>
            <w:pPr>
              <w:spacing w:before="0" w:after="0" w:line="240" w:lineRule="auto"/>
              <w:jc w:val="left"/>
            </w:pPr>
            <w:r>
              <w:rPr>
                <w:sz w:val="20"/>
                <w:szCs w:val="20"/>
              </w:rPr>
              <w:t xml:space="preserve">0.012</w:t>
            </w:r>
          </w:p>
        </w:tc>
        <w:tc>
          <w:tcPr/>
          <w:p>
            <w:pPr>
              <w:spacing w:before="0" w:after="0" w:line="240" w:lineRule="auto"/>
              <w:jc w:val="left"/>
            </w:pPr>
            <w:r>
              <w:rPr>
                <w:sz w:val="20"/>
                <w:szCs w:val="20"/>
              </w:rPr>
              <w:t xml:space="preserve">0.006</w:t>
            </w:r>
          </w:p>
        </w:tc>
        <w:tc>
          <w:tcPr/>
          <w:p>
            <w:pPr>
              <w:spacing w:before="0" w:after="0" w:line="240" w:lineRule="auto"/>
              <w:jc w:val="left"/>
            </w:pPr>
            <w:r>
              <w:rPr>
                <w:sz w:val="20"/>
                <w:szCs w:val="20"/>
              </w:rPr>
              <w:t xml:space="preserve">0.101</w:t>
            </w:r>
          </w:p>
        </w:tc>
        <w:tc>
          <w:tcPr/>
          <w:p>
            <w:pPr>
              <w:spacing w:before="0" w:after="0" w:line="240" w:lineRule="auto"/>
              <w:jc w:val="left"/>
            </w:pPr>
            <w:r>
              <w:rPr>
                <w:sz w:val="20"/>
                <w:szCs w:val="20"/>
              </w:rPr>
              <w:t xml:space="preserve">0.039</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0.0001 [−0.0007, 0.0009]</w:t>
            </w:r>
          </w:p>
        </w:tc>
        <w:tc>
          <w:tcPr/>
          <w:p>
            <w:pPr>
              <w:spacing w:before="0" w:after="0" w:line="240" w:lineRule="auto"/>
              <w:jc w:val="left"/>
            </w:pPr>
            <w:r>
              <w:rPr>
                <w:sz w:val="20"/>
                <w:szCs w:val="20"/>
              </w:rPr>
              <w:t xml:space="preserve">0.652</w:t>
            </w:r>
          </w:p>
        </w:tc>
        <w:tc>
          <w:tcPr/>
          <w:p>
            <w:pPr>
              <w:spacing w:before="0" w:after="0" w:line="240" w:lineRule="auto"/>
              <w:jc w:val="left"/>
            </w:pPr>
            <w:r>
              <w:rPr>
                <w:sz w:val="20"/>
                <w:szCs w:val="20"/>
              </w:rPr>
              <w:t xml:space="preserve">0.884</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0.012</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0.0020 [−0.0035, 0.0089]</w:t>
            </w:r>
          </w:p>
        </w:tc>
        <w:tc>
          <w:tcPr/>
          <w:p>
            <w:pPr>
              <w:spacing w:before="0" w:after="0" w:line="240" w:lineRule="auto"/>
              <w:jc w:val="left"/>
            </w:pPr>
            <w:r>
              <w:rPr>
                <w:sz w:val="20"/>
                <w:szCs w:val="20"/>
              </w:rPr>
              <w:t xml:space="preserve">0.392</w:t>
            </w:r>
          </w:p>
        </w:tc>
        <w:tc>
          <w:tcPr/>
          <w:p>
            <w:pPr>
              <w:spacing w:before="0" w:after="0" w:line="240" w:lineRule="auto"/>
              <w:jc w:val="left"/>
            </w:pPr>
            <w:r>
              <w:rPr>
                <w:sz w:val="20"/>
                <w:szCs w:val="20"/>
              </w:rPr>
              <w:t xml:space="preserve">0.552</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0.0003 [−0.0026, 0.0029]</w:t>
            </w:r>
          </w:p>
        </w:tc>
        <w:tc>
          <w:tcPr/>
          <w:p>
            <w:pPr>
              <w:spacing w:before="0" w:after="0" w:line="240" w:lineRule="auto"/>
              <w:jc w:val="left"/>
            </w:pPr>
            <w:r>
              <w:rPr>
                <w:sz w:val="20"/>
                <w:szCs w:val="20"/>
              </w:rPr>
              <w:t xml:space="preserve">0.852</w:t>
            </w:r>
          </w:p>
        </w:tc>
        <w:tc>
          <w:tcPr/>
          <w:p>
            <w:pPr>
              <w:spacing w:before="0" w:after="0" w:line="240" w:lineRule="auto"/>
              <w:jc w:val="left"/>
            </w:pPr>
            <w:r>
              <w:rPr>
                <w:sz w:val="20"/>
                <w:szCs w:val="20"/>
              </w:rPr>
              <w:t xml:space="preserve">0.807</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0.0002 [−0.0018, 0.0021]</w:t>
            </w:r>
          </w:p>
        </w:tc>
        <w:tc>
          <w:tcPr/>
          <w:p>
            <w:pPr>
              <w:spacing w:before="0" w:after="0" w:line="240" w:lineRule="auto"/>
              <w:jc w:val="left"/>
            </w:pPr>
            <w:r>
              <w:rPr>
                <w:sz w:val="20"/>
                <w:szCs w:val="20"/>
              </w:rPr>
              <w:t xml:space="preserve">0.800</w:t>
            </w:r>
          </w:p>
        </w:tc>
        <w:tc>
          <w:tcPr/>
          <w:p>
            <w:pPr>
              <w:spacing w:before="0" w:after="0" w:line="240" w:lineRule="auto"/>
              <w:jc w:val="left"/>
            </w:pPr>
            <w:r>
              <w:rPr>
                <w:sz w:val="20"/>
                <w:szCs w:val="20"/>
              </w:rPr>
              <w:t xml:space="preserve">0.856</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−0.0004 [−0.0018, 0.0007]</w:t>
            </w:r>
          </w:p>
        </w:tc>
        <w:tc>
          <w:tcPr/>
          <w:p>
            <w:pPr>
              <w:spacing w:before="0" w:after="0" w:line="240" w:lineRule="auto"/>
              <w:jc w:val="left"/>
            </w:pPr>
            <w:r>
              <w:rPr>
                <w:sz w:val="20"/>
                <w:szCs w:val="20"/>
              </w:rPr>
              <w:t xml:space="preserve">0.628</w:t>
            </w:r>
          </w:p>
        </w:tc>
        <w:tc>
          <w:tcPr/>
          <w:p>
            <w:pPr>
              <w:spacing w:before="0" w:after="0" w:line="240" w:lineRule="auto"/>
              <w:jc w:val="left"/>
            </w:pPr>
            <w:r>
              <w:rPr>
                <w:sz w:val="20"/>
                <w:szCs w:val="20"/>
              </w:rPr>
              <w:t xml:space="preserve">0.541</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0.142</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−0.0020 [−0.0124, 0.0067]</w:t>
            </w:r>
          </w:p>
        </w:tc>
        <w:tc>
          <w:tcPr/>
          <w:p>
            <w:pPr>
              <w:spacing w:before="0" w:after="0" w:line="240" w:lineRule="auto"/>
              <w:jc w:val="left"/>
            </w:pPr>
            <w:r>
              <w:rPr>
                <w:sz w:val="20"/>
                <w:szCs w:val="20"/>
              </w:rPr>
              <w:t xml:space="preserve">0.760</w:t>
            </w:r>
          </w:p>
        </w:tc>
        <w:tc>
          <w:tcPr/>
          <w:p>
            <w:pPr>
              <w:spacing w:before="0" w:after="0" w:line="240" w:lineRule="auto"/>
              <w:jc w:val="left"/>
            </w:pPr>
            <w:r>
              <w:rPr>
                <w:sz w:val="20"/>
                <w:szCs w:val="20"/>
              </w:rPr>
              <w:t xml:space="preserve">0.667</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bl>
    <w:p>
      <w:pPr>
        <w:pStyle w:val="Compact"/>
      </w:pPr>
      <w:r>
        <w:rPr>
          <w:sz w:val="20"/>
          <w:szCs w:val="20"/>
        </w:rPr>
        <w:t xml:space="preserve">Notes: Slopes β of Eq. (13) over s ≤ s</w:t>
      </w:r>
      <w:r>
        <w:rPr>
          <w:vertAlign w:val="subscript"/>
          <w:sz w:val="20"/>
          <w:szCs w:val="20"/>
        </w:rPr>
        <w:t xml:space="preserve">rel</w:t>
      </w:r>
      <w:r>
        <w:rPr>
          <w:sz w:val="20"/>
          <w:szCs w:val="20"/>
        </w:rPr>
        <w:t xml:space="preserve">. Holm, 19 tests: studentized p adjusted over the original 19 tests, which include three statistical proxies at M30 (Table S8); H2 family: the eight broad-market tests; TOST: equivalence to zero with a margin of 0.001.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Positive slopes appear only for broad-market pairs at intraday frequencies. In the H2 family, four slopes survive Holm adjustment (VN100–VNINDEX at H1; VN30–VNINDEX at H1; VN100–VNINDEX at M30; VN30–VNINDEX at M30), with estimates of 0.0019–0.0024, a rise of about 0.01 across the reliable range. None is significant at 1D or H4, so H2 is supported on the full data. Over the original 19 tests, Holm keeps one studentized slope and Benjamini–Hochberg four, and with percentile p-values none survives (smallest Benjamini–Hochberg-adjusted p = 0.057). The VN30–VN100 slope is equivalent to zero at M30 and H1 (TOST p = 0.007, 0.012), and the test is inconclusive elsewhere.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not significant at any frequency.</w:t>
      </w:r>
    </w:p>
    <w:p>
      <w:pPr>
        <w:pStyle w:val="BodyText"/>
        <w:spacing w:before="0" w:after="120" w:line="300" w:lineRule="auto"/>
        <w:jc w:val="both"/>
      </w:pPr>
      <w:r>
        <w:rPr>
          <w:rFonts w:ascii="Times New Roman" w:hAnsi="Times New Roman" w:cs="Times New Roman" w:eastAsia="Times New Roman"/>
          <w:sz w:val="24"/>
          <w:szCs w:val="24"/>
        </w:rPr>
        <w:t xml:space="preserve">Eq. (14) explains the flat nested slope: the damping factor is 0.106–0.112, at M30 and H1 the κ channel partly offsets the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the implied slope differs from the observed one by at most 0.8 × 10⁻⁵ (Table S13). A flat nested coefficient therefore says little about the tiers: a purged slope of 0.01 per unit of ln s, five times the broad-market slopes, would move the nested slope by about 0.001, the TOST margin.</w:t>
      </w:r>
    </w:p>
    <w:p>
      <w:pPr>
        <w:pStyle w:val="BodyText"/>
        <w:spacing w:before="0" w:after="120" w:line="300" w:lineRule="auto"/>
        <w:jc w:val="both"/>
      </w:pPr>
      <w:r>
        <w:rPr>
          <w:rFonts w:ascii="Times New Roman" w:hAnsi="Times New Roman" w:cs="Times New Roman" w:eastAsia="Times New Roman"/>
          <w:sz w:val="24"/>
          <w:szCs w:val="24"/>
        </w:rPr>
        <w:t xml:space="preserve">The auction bars drive the intraday result. The first bar of each day holds the overnight return and the opening auction, where intraday volatility peaks (Andersen and Bollerslev 1997). It accounts for 10% of M30 bars but carries 37% of squared VN30 returns. The last bar holds the closing auction (Table S7). Without the opening bar, the H1 broad-market slopes fall to 0.0003 and −0.0005, and at M30 only VN30–VNINDEX stays significant (0.0020, p = 0.031). Without both auction bars, the M30 slopes are −0.00002 and −0.0002. Within the same replicates, the broad-market slopes exceed the VN30–VN100 slope at M30 and H1 (differences 0.0018–0.0024, p ≤ 0.003), but the differences vanish without the auction bars. The three-pair gap does not change (0.107 [0.094, 0.127] at M30 without the opening bar), and the slope intervals are stable across block lengths (Table S15). Horizon dependence is thus a property of the bars containing the overnight return and the call auctions, not of continuous trading. It is consistent with the Epps (1979) mechanism if the auctions are where prices of less liquid constituents catch up.</w:t>
      </w:r>
    </w:p>
    <w:p>
      <w:pPr>
        <w:pStyle w:val="heading20"/>
        <w:numPr>
          <w:ilvl w:val="0"/>
          <w:numId w:val="0"/>
        </w:numPr>
      </w:pPr>
      <w:r>
        <w:rPr>
          <w:rFonts w:ascii="Times New Roman" w:hAnsi="Times New Roman" w:cs="Times New Roman" w:eastAsia="Times New Roman"/>
          <w:b/>
          <w:sz w:val="24"/>
          <w:szCs w:val="24"/>
        </w:rPr>
        <w:t xml:space="preserve">5.5 Crisis dependence (H3)</w:t>
      </w:r>
    </w:p>
    <w:p>
      <w:pPr>
        <w:pStyle w:val="p1a"/>
        <w:spacing w:before="0" w:after="120" w:line="300" w:lineRule="auto"/>
        <w:jc w:val="both"/>
      </w:pPr>
      <w:r>
        <w:rPr>
          <w:rFonts w:ascii="Times New Roman" w:hAnsi="Times New Roman" w:cs="Times New Roman" w:eastAsia="Times New Roman"/>
          <w:sz w:val="24"/>
          <w:szCs w:val="24"/>
        </w:rPr>
        <w:t xml:space="preserve">Table 7 presents the Forbes–Rigobon and single-factor tests under three regime definitions.</w:t>
      </w:r>
    </w:p>
    <w:p>
      <w:pPr>
        <w:pStyle w:val="tablecaption0"/>
      </w:pPr>
      <w:r>
        <w:rPr>
          <w:bCs/>
          <w:b/>
        </w:rPr>
        <w:t xml:space="preserve">Table 7</w:t>
      </w:r>
      <w:r>
        <w:t xml:space="preserve"> </w:t>
      </w:r>
      <w:r>
        <w:t xml:space="preserve">Crisis dependence between P</w:t>
      </w:r>
      <w:r>
        <w:rPr>
          <w:vertAlign w:val="subscript"/>
        </w:rPr>
        <w:t xml:space="preserve">cap</w:t>
      </w:r>
      <w:r>
        <w:t xml:space="preserve"> </w:t>
      </w:r>
      <w:r>
        <w:t xml:space="preserve">and VN30: adjusted correlation and factor-model tests</w:t>
      </w:r>
    </w:p>
    <w:tbl>
      <w:tblPr>
        <w:tblStyle w:val="TableGrid"/>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spacing w:before="0" w:after="0" w:line="240" w:lineRule="auto"/>
              <w:jc w:val="left"/>
            </w:pPr>
            <w:r>
              <w:rPr>
                <w:sz w:val="20"/>
                <w:szCs w:val="20"/>
              </w:rPr>
              <w:t xml:space="preserve">Regime definition</w:t>
            </w:r>
          </w:p>
        </w:tc>
        <w:tc>
          <w:tcPr/>
          <w:p>
            <w:pPr>
              <w:spacing w:before="0" w:after="0" w:line="240" w:lineRule="auto"/>
              <w:jc w:val="left"/>
            </w:pPr>
            <w:r>
              <w:rPr>
                <w:sz w:val="20"/>
                <w:szCs w:val="20"/>
              </w:rPr>
              <w:t xml:space="preserve">ρ</w:t>
            </w:r>
            <w:r>
              <w:rPr>
                <w:vertAlign w:val="subscript"/>
                <w:sz w:val="20"/>
                <w:szCs w:val="20"/>
              </w:rPr>
              <w:t xml:space="preserve">low</w:t>
            </w:r>
          </w:p>
        </w:tc>
        <w:tc>
          <w:tcPr/>
          <w:p>
            <w:pPr>
              <w:spacing w:before="0" w:after="0" w:line="240" w:lineRule="auto"/>
              <w:jc w:val="left"/>
            </w:pPr>
            <w:r>
              <w:rPr>
                <w:sz w:val="20"/>
                <w:szCs w:val="20"/>
              </w:rPr>
              <w:t xml:space="preserve">ρ</w:t>
            </w:r>
            <w:r>
              <w:rPr>
                <w:vertAlign w:val="subscript"/>
                <w:sz w:val="20"/>
                <w:szCs w:val="20"/>
              </w:rPr>
              <w:t xml:space="preserve">high</w:t>
            </w:r>
          </w:p>
        </w:tc>
        <w:tc>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p>
            <w:pPr>
              <w:spacing w:before="0" w:after="0" w:line="240" w:lineRule="auto"/>
              <w:jc w:val="left"/>
            </w:pPr>
            <w:r>
              <w:rPr>
                <w:sz w:val="20"/>
                <w:szCs w:val="20"/>
              </w:rPr>
              <w:t xml:space="preserve">p (FR)</w:t>
            </w:r>
          </w:p>
        </w:tc>
        <w:tc>
          <w:tcPr/>
          <w:p>
            <w:pPr>
              <w:spacing w:before="0" w:after="0" w:line="240" w:lineRule="auto"/>
              <w:jc w:val="left"/>
            </w:pPr>
            <w:r>
              <w:rPr>
                <w:sz w:val="20"/>
                <w:szCs w:val="20"/>
              </w:rPr>
              <w:t xml:space="preserve">β_low</w:t>
            </w:r>
          </w:p>
        </w:tc>
        <w:tc>
          <w:tcPr/>
          <w:p>
            <w:pPr>
              <w:spacing w:before="0" w:after="0" w:line="240" w:lineRule="auto"/>
              <w:jc w:val="left"/>
            </w:pPr>
            <w:r>
              <w:rPr>
                <w:sz w:val="20"/>
                <w:szCs w:val="20"/>
              </w:rPr>
              <w:t xml:space="preserve">β_high</w:t>
            </w:r>
          </w:p>
        </w:tc>
        <w:tc>
          <w:tcPr/>
          <w:p>
            <w:pPr>
              <w:spacing w:before="0" w:after="0" w:line="240" w:lineRule="auto"/>
              <w:jc w:val="left"/>
            </w:pPr>
            <w:r>
              <w:rPr>
                <w:sz w:val="20"/>
                <w:szCs w:val="20"/>
              </w:rPr>
              <w:t xml:space="preserve">Δβ [95% CI]</w:t>
            </w:r>
          </w:p>
        </w:tc>
        <w:tc>
          <w:tcPr/>
          <w:p>
            <w:pPr>
              <w:spacing w:before="0" w:after="0" w:line="240" w:lineRule="auto"/>
              <w:jc w:val="left"/>
            </w:pPr>
            <w:r>
              <w:rPr>
                <w:sz w:val="20"/>
                <w:szCs w:val="20"/>
              </w:rPr>
              <w:t xml:space="preserve">Residual variance ratio [95% CI]</w:t>
            </w:r>
          </w:p>
        </w:tc>
      </w:tr>
      <w:tr>
        <w:tc>
          <w:tcPr/>
          <w:p>
            <w:pPr>
              <w:spacing w:before="0" w:after="0" w:line="240" w:lineRule="auto"/>
              <w:jc w:val="left"/>
            </w:pPr>
            <w:r>
              <w:rPr>
                <w:sz w:val="20"/>
                <w:szCs w:val="20"/>
              </w:rPr>
              <w:t xml:space="preserve">Chronological episodes</w:t>
            </w:r>
          </w:p>
        </w:tc>
        <w:tc>
          <w:tcPr/>
          <w:p>
            <w:pPr>
              <w:spacing w:before="0" w:after="0" w:line="240" w:lineRule="auto"/>
              <w:jc w:val="left"/>
            </w:pPr>
            <w:r>
              <w:rPr>
                <w:sz w:val="20"/>
                <w:szCs w:val="20"/>
              </w:rPr>
              <w:t xml:space="preserve">0.847</w:t>
            </w:r>
          </w:p>
        </w:tc>
        <w:tc>
          <w:tcPr/>
          <w:p>
            <w:pPr>
              <w:spacing w:before="0" w:after="0" w:line="240" w:lineRule="auto"/>
              <w:jc w:val="left"/>
            </w:pPr>
            <w:r>
              <w:rPr>
                <w:sz w:val="20"/>
                <w:szCs w:val="20"/>
              </w:rPr>
              <w:t xml:space="preserve">0.924</w:t>
            </w:r>
          </w:p>
        </w:tc>
        <w:tc>
          <w:tcPr/>
          <w:p>
            <w:pPr>
              <w:spacing w:before="0" w:after="0" w:line="240" w:lineRule="auto"/>
              <w:jc w:val="left"/>
            </w:pPr>
            <w:r>
              <w:rPr>
                <w:sz w:val="20"/>
                <w:szCs w:val="20"/>
              </w:rPr>
              <w:t xml:space="preserve">−0.044 [−0.082, 0.001]</w:t>
            </w:r>
          </w:p>
        </w:tc>
        <w:tc>
          <w:tcPr/>
          <w:p>
            <w:pPr>
              <w:spacing w:before="0" w:after="0" w:line="240" w:lineRule="auto"/>
              <w:jc w:val="left"/>
            </w:pPr>
            <w:r>
              <w:rPr>
                <w:sz w:val="20"/>
                <w:szCs w:val="20"/>
              </w:rPr>
              <w:t xml:space="preserve">0.985</w:t>
            </w:r>
          </w:p>
        </w:tc>
        <w:tc>
          <w:tcPr/>
          <w:p>
            <w:pPr>
              <w:spacing w:before="0" w:after="0" w:line="240" w:lineRule="auto"/>
              <w:jc w:val="left"/>
            </w:pPr>
            <w:r>
              <w:rPr>
                <w:sz w:val="20"/>
                <w:szCs w:val="20"/>
              </w:rPr>
              <w:t xml:space="preserve">0.919</w:t>
            </w:r>
          </w:p>
        </w:tc>
        <w:tc>
          <w:tcPr/>
          <w:p>
            <w:pPr>
              <w:spacing w:before="0" w:after="0" w:line="240" w:lineRule="auto"/>
              <w:jc w:val="left"/>
            </w:pPr>
            <w:r>
              <w:rPr>
                <w:sz w:val="20"/>
                <w:szCs w:val="20"/>
              </w:rPr>
              <w:t xml:space="preserve">0.927</w:t>
            </w:r>
          </w:p>
        </w:tc>
        <w:tc>
          <w:tcPr/>
          <w:p>
            <w:pPr>
              <w:spacing w:before="0" w:after="0" w:line="240" w:lineRule="auto"/>
              <w:jc w:val="left"/>
            </w:pPr>
            <w:r>
              <w:rPr>
                <w:sz w:val="20"/>
                <w:szCs w:val="20"/>
              </w:rPr>
              <w:t xml:space="preserve">0.008 [−0.128, 0.140]</w:t>
            </w:r>
          </w:p>
        </w:tc>
        <w:tc>
          <w:tcPr/>
          <w:p>
            <w:pPr>
              <w:spacing w:before="0" w:after="0" w:line="240" w:lineRule="auto"/>
              <w:jc w:val="left"/>
            </w:pPr>
            <w:r>
              <w:rPr>
                <w:sz w:val="20"/>
                <w:szCs w:val="20"/>
              </w:rPr>
              <w:t xml:space="preserve">1.42 [0.91, 2.15]</w:t>
            </w:r>
          </w:p>
        </w:tc>
      </w:tr>
      <w:tr>
        <w:tc>
          <w:tcPr/>
          <w:p>
            <w:pPr>
              <w:spacing w:before="0" w:after="0" w:line="240" w:lineRule="auto"/>
              <w:jc w:val="left"/>
            </w:pPr>
            <w:r>
              <w:rPr>
                <w:sz w:val="20"/>
                <w:szCs w:val="20"/>
              </w:rPr>
              <w:t xml:space="preserve">VNINDEX volatility quartiles</w:t>
            </w:r>
          </w:p>
        </w:tc>
        <w:tc>
          <w:tcPr/>
          <w:p>
            <w:pPr>
              <w:spacing w:before="0" w:after="0" w:line="240" w:lineRule="auto"/>
              <w:jc w:val="left"/>
            </w:pPr>
            <w:r>
              <w:rPr>
                <w:sz w:val="20"/>
                <w:szCs w:val="20"/>
              </w:rPr>
              <w:t xml:space="preserve">0.727</w:t>
            </w:r>
          </w:p>
        </w:tc>
        <w:tc>
          <w:tcPr/>
          <w:p>
            <w:pPr>
              <w:spacing w:before="0" w:after="0" w:line="240" w:lineRule="auto"/>
              <w:jc w:val="left"/>
            </w:pPr>
            <w:r>
              <w:rPr>
                <w:sz w:val="20"/>
                <w:szCs w:val="20"/>
              </w:rPr>
              <w:t xml:space="preserve">0.928</w:t>
            </w:r>
          </w:p>
        </w:tc>
        <w:tc>
          <w:tcPr/>
          <w:p>
            <w:pPr>
              <w:spacing w:before="0" w:after="0" w:line="240" w:lineRule="auto"/>
              <w:jc w:val="left"/>
            </w:pPr>
            <w:r>
              <w:rPr>
                <w:sz w:val="20"/>
                <w:szCs w:val="20"/>
              </w:rPr>
              <w:t xml:space="preserve">−0.066 [−0.132, 0.008]</w:t>
            </w:r>
          </w:p>
        </w:tc>
        <w:tc>
          <w:tcPr/>
          <w:p>
            <w:pPr>
              <w:spacing w:before="0" w:after="0" w:line="240" w:lineRule="auto"/>
              <w:jc w:val="left"/>
            </w:pPr>
            <w:r>
              <w:rPr>
                <w:sz w:val="20"/>
                <w:szCs w:val="20"/>
              </w:rPr>
              <w:t xml:space="preserve">0.974</w:t>
            </w:r>
          </w:p>
        </w:tc>
        <w:tc>
          <w:tcPr/>
          <w:p>
            <w:pPr>
              <w:spacing w:before="0" w:after="0" w:line="240" w:lineRule="auto"/>
              <w:jc w:val="left"/>
            </w:pPr>
            <w:r>
              <w:rPr>
                <w:sz w:val="20"/>
                <w:szCs w:val="20"/>
              </w:rPr>
              <w:t xml:space="preserve">0.716</w:t>
            </w:r>
          </w:p>
        </w:tc>
        <w:tc>
          <w:tcPr/>
          <w:p>
            <w:pPr>
              <w:spacing w:before="0" w:after="0" w:line="240" w:lineRule="auto"/>
              <w:jc w:val="left"/>
            </w:pPr>
            <w:r>
              <w:rPr>
                <w:sz w:val="20"/>
                <w:szCs w:val="20"/>
              </w:rPr>
              <w:t xml:space="preserve">0.956</w:t>
            </w:r>
          </w:p>
        </w:tc>
        <w:tc>
          <w:tcPr/>
          <w:p>
            <w:pPr>
              <w:spacing w:before="0" w:after="0" w:line="240" w:lineRule="auto"/>
              <w:jc w:val="left"/>
            </w:pPr>
            <w:r>
              <w:rPr>
                <w:sz w:val="20"/>
                <w:szCs w:val="20"/>
              </w:rPr>
              <w:t xml:space="preserve">0.240 [0.143, 0.332]</w:t>
            </w:r>
          </w:p>
        </w:tc>
        <w:tc>
          <w:tcPr/>
          <w:p>
            <w:pPr>
              <w:spacing w:before="0" w:after="0" w:line="240" w:lineRule="auto"/>
              <w:jc w:val="left"/>
            </w:pPr>
            <w:r>
              <w:rPr>
                <w:sz w:val="20"/>
                <w:szCs w:val="20"/>
              </w:rPr>
              <w:t xml:space="preserve">2.57 [1.75, 3.66]</w:t>
            </w:r>
          </w:p>
        </w:tc>
      </w:tr>
      <w:tr>
        <w:tc>
          <w:tcPr/>
          <w:p>
            <w:pPr>
              <w:spacing w:before="0" w:after="0" w:line="240" w:lineRule="auto"/>
              <w:jc w:val="left"/>
            </w:pPr>
            <w:r>
              <w:rPr>
                <w:sz w:val="20"/>
                <w:szCs w:val="20"/>
              </w:rPr>
              <w:t xml:space="preserve">VN30 volatility quartiles</w:t>
            </w:r>
          </w:p>
        </w:tc>
        <w:tc>
          <w:tcPr/>
          <w:p>
            <w:pPr>
              <w:spacing w:before="0" w:after="0" w:line="240" w:lineRule="auto"/>
              <w:jc w:val="left"/>
            </w:pPr>
            <w:r>
              <w:rPr>
                <w:sz w:val="20"/>
                <w:szCs w:val="20"/>
              </w:rPr>
              <w:t xml:space="preserve">0.744</w:t>
            </w:r>
          </w:p>
        </w:tc>
        <w:tc>
          <w:tcPr/>
          <w:p>
            <w:pPr>
              <w:spacing w:before="0" w:after="0" w:line="240" w:lineRule="auto"/>
              <w:jc w:val="left"/>
            </w:pPr>
            <w:r>
              <w:rPr>
                <w:sz w:val="20"/>
                <w:szCs w:val="20"/>
              </w:rPr>
              <w:t xml:space="preserve">0.932</w:t>
            </w:r>
          </w:p>
        </w:tc>
        <w:tc>
          <w:tcPr/>
          <w:p>
            <w:pPr>
              <w:spacing w:before="0" w:after="0" w:line="240" w:lineRule="auto"/>
              <w:jc w:val="left"/>
            </w:pPr>
            <w:r>
              <w:rPr>
                <w:sz w:val="20"/>
                <w:szCs w:val="20"/>
              </w:rPr>
              <w:t xml:space="preserve">−0.087 [−0.144, −0.018]</w:t>
            </w:r>
          </w:p>
        </w:tc>
        <w:tc>
          <w:tcPr/>
          <w:p>
            <w:pPr>
              <w:spacing w:before="0" w:after="0" w:line="240" w:lineRule="auto"/>
              <w:jc w:val="left"/>
            </w:pPr>
            <w:r>
              <w:rPr>
                <w:sz w:val="20"/>
                <w:szCs w:val="20"/>
              </w:rPr>
              <w:t xml:space="preserve">0.998</w:t>
            </w:r>
          </w:p>
        </w:tc>
        <w:tc>
          <w:tcPr/>
          <w:p>
            <w:pPr>
              <w:spacing w:before="0" w:after="0" w:line="240" w:lineRule="auto"/>
              <w:jc w:val="left"/>
            </w:pPr>
            <w:r>
              <w:rPr>
                <w:sz w:val="20"/>
                <w:szCs w:val="20"/>
              </w:rPr>
              <w:t xml:space="preserve">0.737</w:t>
            </w:r>
          </w:p>
        </w:tc>
        <w:tc>
          <w:tcPr/>
          <w:p>
            <w:pPr>
              <w:spacing w:before="0" w:after="0" w:line="240" w:lineRule="auto"/>
              <w:jc w:val="left"/>
            </w:pPr>
            <w:r>
              <w:rPr>
                <w:sz w:val="20"/>
                <w:szCs w:val="20"/>
              </w:rPr>
              <w:t xml:space="preserve">0.948</w:t>
            </w:r>
          </w:p>
        </w:tc>
        <w:tc>
          <w:tcPr/>
          <w:p>
            <w:pPr>
              <w:spacing w:before="0" w:after="0" w:line="240" w:lineRule="auto"/>
              <w:jc w:val="left"/>
            </w:pPr>
            <w:r>
              <w:rPr>
                <w:sz w:val="20"/>
                <w:szCs w:val="20"/>
              </w:rPr>
              <w:t xml:space="preserve">0.210 [0.119, 0.306]</w:t>
            </w:r>
          </w:p>
        </w:tc>
        <w:tc>
          <w:tcPr/>
          <w:p>
            <w:pPr>
              <w:spacing w:before="0" w:after="0" w:line="240" w:lineRule="auto"/>
              <w:jc w:val="left"/>
            </w:pPr>
            <w:r>
              <w:rPr>
                <w:sz w:val="20"/>
                <w:szCs w:val="20"/>
              </w:rPr>
              <w:t xml:space="preserve">2.70 [1.92, 3.68]</w:t>
            </w:r>
          </w:p>
        </w:tc>
      </w:tr>
    </w:tbl>
    <w:p>
      <w:pPr>
        <w:pStyle w:val="Compact"/>
      </w:pPr>
      <w:r>
        <w:rPr>
          <w:sz w:val="20"/>
          <w:szCs w:val="20"/>
        </w:rPr>
        <w:t xml:space="preserve">Notes: Daily returns; ρ* from Eq. (15); p (FR): one-sided Forbes–Rigobon bootstrap p-value for H0: ρ* ≤ ρ</w:t>
      </w:r>
      <w:r>
        <w:rPr>
          <w:vertAlign w:val="subscript"/>
          <w:sz w:val="20"/>
          <w:szCs w:val="20"/>
        </w:rPr>
        <w:t xml:space="preserve">low</w:t>
      </w:r>
      <w:r>
        <w:rPr>
          <w:sz w:val="20"/>
          <w:szCs w:val="20"/>
        </w:rPr>
        <w:t xml:space="preserve">; β: OLS slope of P</w:t>
      </w:r>
      <w:r>
        <w:rPr>
          <w:vertAlign w:val="subscript"/>
          <w:sz w:val="20"/>
          <w:szCs w:val="20"/>
        </w:rPr>
        <w:t xml:space="preserve">cap</w:t>
      </w:r>
      <w:r>
        <w:rPr>
          <w:sz w:val="20"/>
          <w:szCs w:val="20"/>
        </w:rPr>
        <w:t xml:space="preserve"> </w:t>
      </w:r>
      <w:r>
        <w:rPr>
          <w:sz w:val="20"/>
          <w:szCs w:val="20"/>
        </w:rPr>
        <w:t xml:space="preserve">on VN30; residual variance ratio: crisis over calm.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raw correlation rises under every regime definition, from 0.847 to 0.924 chronologically and from 0.744 to 0.932 under VN30 quartiles. The adjusted crisis correlation, however, never exceeds its calm level (one-sided p = 0.974–0.998, and above 0.93 across weights; Table S10), and under VN30 quartiles it is significantly lower (−0.087, [−0.144, −0.018]).</w:t>
      </w:r>
    </w:p>
    <w:p>
      <w:pPr>
        <w:pStyle w:val="BodyText"/>
        <w:spacing w:before="0" w:after="120" w:line="300" w:lineRule="auto"/>
        <w:jc w:val="both"/>
      </w:pPr>
      <w:r>
        <w:rPr>
          <w:rFonts w:ascii="Times New Roman" w:hAnsi="Times New Roman" w:cs="Times New Roman" w:eastAsia="Times New Roman"/>
          <w:sz w:val="24"/>
          <w:szCs w:val="24"/>
        </w:rPr>
        <w:t xml:space="preserve">The factor model explains why. The residual variance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by a factor of 2.70 [1.92, 3.68] under VN30 quartiles (2.57 under VNINDEX quartiles), which violates the assumption behind Eq. (15) and pushes ρ* down (Corsetti et al. 2005). The loading rises from 0.737 to 0.948 under VN30 quartiles (Δβ = 0.210, [0.119, 0.306]) but not between chronological episodes (Δβ = 0.008, [−0.128, 0.140]), and adding 2021 as a crisis (789 days) changes neither result (Forbes–Rigobon p = 0.987; Δβ = −0.005, [−0.122, 0.124]). Under its decision rule, H3 is not supported: on high-VN30-volatility days, mid caps respond more strongly to large caps and also carry more mid-cap-specific risk. Because the lower-tail dependence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(0.75 at the 5% quantile) exceeds its Gaussian-copula value (0.62; Table S5), we cannot tell a structural shift from a stable nonlinear relation.</w:t>
      </w:r>
    </w:p>
    <w:p>
      <w:pPr>
        <w:pStyle w:val="heading20"/>
        <w:numPr>
          <w:ilvl w:val="0"/>
          <w:numId w:val="0"/>
        </w:numPr>
      </w:pPr>
      <w:r>
        <w:rPr>
          <w:rFonts w:ascii="Times New Roman" w:hAnsi="Times New Roman" w:cs="Times New Roman" w:eastAsia="Times New Roman"/>
          <w:b/>
          <w:sz w:val="24"/>
          <w:szCs w:val="24"/>
        </w:rPr>
        <w:t xml:space="preserve">5.6 Portfolio variance (E3, H4)</w:t>
      </w:r>
    </w:p>
    <w:p>
      <w:pPr>
        <w:pStyle w:val="p1a"/>
        <w:spacing w:before="0" w:after="120" w:line="300" w:lineRule="auto"/>
        <w:jc w:val="both"/>
      </w:pPr>
      <w:r>
        <w:rPr>
          <w:rFonts w:ascii="Times New Roman" w:hAnsi="Times New Roman" w:cs="Times New Roman" w:eastAsia="Times New Roman"/>
          <w:sz w:val="24"/>
          <w:szCs w:val="24"/>
        </w:rPr>
        <w:t xml:space="preserve">Table 8 reports the in-sample misstatement from a static correlation and the out-of-sample forecast comparison.</w:t>
      </w:r>
    </w:p>
    <w:p>
      <w:pPr>
        <w:pStyle w:val="tablecaption0"/>
      </w:pPr>
      <w:r>
        <w:rPr>
          <w:bCs/>
          <w:b/>
        </w:rPr>
        <w:t xml:space="preserve">Table 8</w:t>
      </w:r>
      <w:r>
        <w:t xml:space="preserve"> </w:t>
      </w:r>
      <w:r>
        <w:t xml:space="preserve">Portfolio variance: in-sample misstatement and out-of-sample forecast comparison</w:t>
      </w:r>
    </w:p>
    <w:tbl>
      <w:tblPr>
        <w:tblStyle w:val="TableGrid"/>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spacing w:before="0" w:after="0" w:line="240" w:lineRule="auto"/>
              <w:jc w:val="left"/>
            </w:pPr>
            <w:r>
              <w:rPr>
                <w:sz w:val="20"/>
                <w:szCs w:val="20"/>
              </w:rPr>
              <w:t xml:space="preserve">Regime or pair</w:t>
            </w:r>
          </w:p>
        </w:tc>
        <w:tc>
          <w:tcPr/>
          <w:p>
            <w:pPr>
              <w:spacing w:before="0" w:after="0" w:line="240" w:lineRule="auto"/>
              <w:jc w:val="left"/>
            </w:pPr>
            <w:r>
              <w:rPr>
                <w:sz w:val="20"/>
                <w:szCs w:val="20"/>
              </w:rPr>
              <w:t xml:space="preserve">Pair or static QLIKE</w:t>
            </w:r>
          </w:p>
        </w:tc>
        <w:tc>
          <w:tcPr/>
          <w:p>
            <w:pPr>
              <w:spacing w:before="0" w:after="0" w:line="240" w:lineRule="auto"/>
              <w:jc w:val="left"/>
            </w:pPr>
            <w:r>
              <w:rPr>
                <w:sz w:val="20"/>
                <w:szCs w:val="20"/>
              </w:rPr>
              <w:t xml:space="preserve">RE, % [95% CI] or EWMA QLIKE</w:t>
            </w:r>
          </w:p>
        </w:tc>
        <w:tc>
          <w:tcPr/>
          <w:p>
            <w:pPr>
              <w:spacing w:before="0" w:after="0" w:line="240" w:lineRule="auto"/>
              <w:jc w:val="left"/>
            </w:pPr>
            <w:r>
              <w:rPr>
                <w:sz w:val="20"/>
                <w:szCs w:val="20"/>
              </w:rPr>
              <w:t xml:space="preserve">Relative SE, % or regime QLIKE</w:t>
            </w:r>
          </w:p>
        </w:tc>
        <w:tc>
          <w:tcPr/>
          <w:p>
            <w:pPr>
              <w:spacing w:before="0" w:after="0" w:line="240" w:lineRule="auto"/>
              <w:jc w:val="left"/>
            </w:pPr>
            <w:r>
              <w:rPr>
                <w:sz w:val="20"/>
                <w:szCs w:val="20"/>
              </w:rPr>
              <w:t xml:space="preserve">RE/SE or DM, static vs EWMA</w:t>
            </w:r>
          </w:p>
        </w:tc>
        <w:tc>
          <w:tcPr/>
          <w:p>
            <w:pPr>
              <w:spacing w:before="0" w:after="0" w:line="240" w:lineRule="auto"/>
              <w:jc w:val="left"/>
            </w:pPr>
            <w:r>
              <w:rPr>
                <w:sz w:val="20"/>
                <w:szCs w:val="20"/>
              </w:rPr>
              <w:t xml:space="preserve">DM, static vs regime</w:t>
            </w:r>
          </w:p>
        </w:tc>
      </w:tr>
      <w:tr>
        <w:tc>
          <w:tcPr/>
          <w:p>
            <w:pPr>
              <w:spacing w:before="0" w:after="0" w:line="240" w:lineRule="auto"/>
              <w:jc w:val="left"/>
            </w:pPr>
            <w:r>
              <w:rPr>
                <w:iCs/>
                <w:i/>
                <w:sz w:val="20"/>
                <w:szCs w:val="20"/>
              </w:rPr>
              <w:t xml:space="preserve">Panel A: in-sample misstatement (E3)</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Chronological, calm</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2.23 [0.71, 3.98]</w:t>
            </w:r>
          </w:p>
        </w:tc>
        <w:tc>
          <w:tcPr/>
          <w:p>
            <w:pPr>
              <w:spacing w:before="0" w:after="0" w:line="240" w:lineRule="auto"/>
              <w:jc w:val="left"/>
            </w:pPr>
            <w:r>
              <w:rPr>
                <w:sz w:val="20"/>
                <w:szCs w:val="20"/>
              </w:rPr>
              <w:t xml:space="preserve">15.6</w:t>
            </w:r>
          </w:p>
        </w:tc>
        <w:tc>
          <w:tcPr/>
          <w:p>
            <w:pPr>
              <w:spacing w:before="0" w:after="0" w:line="240" w:lineRule="auto"/>
              <w:jc w:val="left"/>
            </w:pPr>
            <w:r>
              <w:rPr>
                <w:sz w:val="20"/>
                <w:szCs w:val="20"/>
              </w:rPr>
              <w:t xml:space="preserve">0.14</w:t>
            </w:r>
          </w:p>
        </w:tc>
        <w:tc>
          <w:tcPr/>
          <w:p>
            <w:pPr>
              <w:spacing w:before="0" w:after="0" w:line="240" w:lineRule="auto"/>
            </w:pPr>
          </w:p>
        </w:tc>
      </w:tr>
      <w:tr>
        <w:tc>
          <w:tcPr/>
          <w:p>
            <w:pPr>
              <w:spacing w:before="0" w:after="0" w:line="240" w:lineRule="auto"/>
              <w:jc w:val="left"/>
            </w:pPr>
            <w:r>
              <w:rPr>
                <w:sz w:val="20"/>
                <w:szCs w:val="20"/>
              </w:rPr>
              <w:t xml:space="preserve">Chronological, calm</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0.28 [0.11, 0.45]</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0.02</w:t>
            </w:r>
          </w:p>
        </w:tc>
        <w:tc>
          <w:tcPr/>
          <w:p>
            <w:pPr>
              <w:spacing w:before="0" w:after="0" w:line="240" w:lineRule="auto"/>
            </w:pPr>
          </w:p>
        </w:tc>
      </w:tr>
      <w:tr>
        <w:tc>
          <w:tcPr/>
          <w:p>
            <w:pPr>
              <w:spacing w:before="0" w:after="0" w:line="240" w:lineRule="auto"/>
              <w:jc w:val="left"/>
            </w:pPr>
            <w:r>
              <w:rPr>
                <w:sz w:val="20"/>
                <w:szCs w:val="20"/>
              </w:rPr>
              <w:t xml:space="preserve">Chronological, crisis</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−1.84 [−3.01, −0.82]</w:t>
            </w:r>
          </w:p>
        </w:tc>
        <w:tc>
          <w:tcPr/>
          <w:p>
            <w:pPr>
              <w:spacing w:before="0" w:after="0" w:line="240" w:lineRule="auto"/>
              <w:jc w:val="left"/>
            </w:pPr>
            <w:r>
              <w:rPr>
                <w:sz w:val="20"/>
                <w:szCs w:val="20"/>
              </w:rPr>
              <w:t xml:space="preserve">14.3</w:t>
            </w:r>
          </w:p>
        </w:tc>
        <w:tc>
          <w:tcPr/>
          <w:p>
            <w:pPr>
              <w:spacing w:before="0" w:after="0" w:line="240" w:lineRule="auto"/>
              <w:jc w:val="left"/>
            </w:pPr>
            <w:r>
              <w:rPr>
                <w:sz w:val="20"/>
                <w:szCs w:val="20"/>
              </w:rPr>
              <w:t xml:space="preserve">0.13</w:t>
            </w:r>
          </w:p>
        </w:tc>
        <w:tc>
          <w:tcPr/>
          <w:p>
            <w:pPr>
              <w:spacing w:before="0" w:after="0" w:line="240" w:lineRule="auto"/>
            </w:pPr>
          </w:p>
        </w:tc>
      </w:tr>
      <w:tr>
        <w:tc>
          <w:tcPr/>
          <w:p>
            <w:pPr>
              <w:spacing w:before="0" w:after="0" w:line="240" w:lineRule="auto"/>
              <w:jc w:val="left"/>
            </w:pPr>
            <w:r>
              <w:rPr>
                <w:sz w:val="20"/>
                <w:szCs w:val="20"/>
              </w:rPr>
              <w:t xml:space="preserve">Chronological, crisis</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−0.19 [−0.33, −0.08]</w:t>
            </w:r>
          </w:p>
        </w:tc>
        <w:tc>
          <w:tcPr/>
          <w:p>
            <w:pPr>
              <w:spacing w:before="0" w:after="0" w:line="240" w:lineRule="auto"/>
              <w:jc w:val="left"/>
            </w:pPr>
            <w:r>
              <w:rPr>
                <w:sz w:val="20"/>
                <w:szCs w:val="20"/>
              </w:rPr>
              <w:t xml:space="preserve">14.8</w:t>
            </w:r>
          </w:p>
        </w:tc>
        <w:tc>
          <w:tcPr/>
          <w:p>
            <w:pPr>
              <w:spacing w:before="0" w:after="0" w:line="240" w:lineRule="auto"/>
              <w:jc w:val="left"/>
            </w:pPr>
            <w:r>
              <w:rPr>
                <w:sz w:val="20"/>
                <w:szCs w:val="20"/>
              </w:rPr>
              <w:t xml:space="preserve">0.01</w:t>
            </w:r>
          </w:p>
        </w:tc>
        <w:tc>
          <w:tcPr/>
          <w:p>
            <w:pPr>
              <w:spacing w:before="0" w:after="0" w:line="240" w:lineRule="auto"/>
            </w:pPr>
          </w:p>
        </w:tc>
      </w:tr>
      <w:tr>
        <w:tc>
          <w:tcPr/>
          <w:p>
            <w:pPr>
              <w:spacing w:before="0" w:after="0" w:line="240" w:lineRule="auto"/>
              <w:jc w:val="left"/>
            </w:pPr>
            <w:r>
              <w:rPr>
                <w:sz w:val="20"/>
                <w:szCs w:val="20"/>
              </w:rPr>
              <w:t xml:space="preserve">VNINDEX quartiles, calm</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9.38 [6.28, 13.27]</w:t>
            </w:r>
          </w:p>
        </w:tc>
        <w:tc>
          <w:tcPr/>
          <w:p>
            <w:pPr>
              <w:spacing w:before="0" w:after="0" w:line="240" w:lineRule="auto"/>
              <w:jc w:val="left"/>
            </w:pPr>
            <w:r>
              <w:rPr>
                <w:sz w:val="20"/>
                <w:szCs w:val="20"/>
              </w:rPr>
              <w:t xml:space="preserve">6.3</w:t>
            </w:r>
          </w:p>
        </w:tc>
        <w:tc>
          <w:tcPr/>
          <w:p>
            <w:pPr>
              <w:spacing w:before="0" w:after="0" w:line="240" w:lineRule="auto"/>
              <w:jc w:val="left"/>
            </w:pPr>
            <w:r>
              <w:rPr>
                <w:sz w:val="20"/>
                <w:szCs w:val="20"/>
              </w:rPr>
              <w:t xml:space="preserve">1.50</w:t>
            </w:r>
          </w:p>
        </w:tc>
        <w:tc>
          <w:tcPr/>
          <w:p>
            <w:pPr>
              <w:spacing w:before="0" w:after="0" w:line="240" w:lineRule="auto"/>
            </w:pPr>
          </w:p>
        </w:tc>
      </w:tr>
      <w:tr>
        <w:tc>
          <w:tcPr/>
          <w:p>
            <w:pPr>
              <w:spacing w:before="0" w:after="0" w:line="240" w:lineRule="auto"/>
              <w:jc w:val="left"/>
            </w:pPr>
            <w:r>
              <w:rPr>
                <w:sz w:val="20"/>
                <w:szCs w:val="20"/>
              </w:rPr>
              <w:t xml:space="preserve">VNINDEX quartiles, calm</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0.77 [0.49, 1.14]</w:t>
            </w:r>
          </w:p>
        </w:tc>
        <w:tc>
          <w:tcPr/>
          <w:p>
            <w:pPr>
              <w:spacing w:before="0" w:after="0" w:line="240" w:lineRule="auto"/>
              <w:jc w:val="left"/>
            </w:pPr>
            <w:r>
              <w:rPr>
                <w:sz w:val="20"/>
                <w:szCs w:val="20"/>
              </w:rPr>
              <w:t xml:space="preserve">5.3</w:t>
            </w:r>
          </w:p>
        </w:tc>
        <w:tc>
          <w:tcPr/>
          <w:p>
            <w:pPr>
              <w:spacing w:before="0" w:after="0" w:line="240" w:lineRule="auto"/>
              <w:jc w:val="left"/>
            </w:pPr>
            <w:r>
              <w:rPr>
                <w:sz w:val="20"/>
                <w:szCs w:val="20"/>
              </w:rPr>
              <w:t xml:space="preserve">0.14</w:t>
            </w:r>
          </w:p>
        </w:tc>
        <w:tc>
          <w:tcPr/>
          <w:p>
            <w:pPr>
              <w:spacing w:before="0" w:after="0" w:line="240" w:lineRule="auto"/>
            </w:pPr>
          </w:p>
        </w:tc>
      </w:tr>
      <w:tr>
        <w:tc>
          <w:tcPr/>
          <w:p>
            <w:pPr>
              <w:spacing w:before="0" w:after="0" w:line="240" w:lineRule="auto"/>
              <w:jc w:val="left"/>
            </w:pPr>
            <w:r>
              <w:rPr>
                <w:sz w:val="20"/>
                <w:szCs w:val="20"/>
              </w:rPr>
              <w:t xml:space="preserve">VNINDEX quartiles, crisis</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−2.07 [−2.88, −1.40]</w:t>
            </w:r>
          </w:p>
        </w:tc>
        <w:tc>
          <w:tcPr/>
          <w:p>
            <w:pPr>
              <w:spacing w:before="0" w:after="0" w:line="240" w:lineRule="auto"/>
              <w:jc w:val="left"/>
            </w:pPr>
            <w:r>
              <w:rPr>
                <w:sz w:val="20"/>
                <w:szCs w:val="20"/>
              </w:rPr>
              <w:t xml:space="preserve">8.8</w:t>
            </w:r>
          </w:p>
        </w:tc>
        <w:tc>
          <w:tcPr/>
          <w:p>
            <w:pPr>
              <w:spacing w:before="0" w:after="0" w:line="240" w:lineRule="auto"/>
              <w:jc w:val="left"/>
            </w:pPr>
            <w:r>
              <w:rPr>
                <w:sz w:val="20"/>
                <w:szCs w:val="20"/>
              </w:rPr>
              <w:t xml:space="preserve">0.23</w:t>
            </w:r>
          </w:p>
        </w:tc>
        <w:tc>
          <w:tcPr/>
          <w:p>
            <w:pPr>
              <w:spacing w:before="0" w:after="0" w:line="240" w:lineRule="auto"/>
            </w:pPr>
          </w:p>
        </w:tc>
      </w:tr>
      <w:tr>
        <w:tc>
          <w:tcPr/>
          <w:p>
            <w:pPr>
              <w:spacing w:before="0" w:after="0" w:line="240" w:lineRule="auto"/>
              <w:jc w:val="left"/>
            </w:pPr>
            <w:r>
              <w:rPr>
                <w:sz w:val="20"/>
                <w:szCs w:val="20"/>
              </w:rPr>
              <w:t xml:space="preserve">VNINDEX quartiles, crisis</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−0.20 [−0.30, −0.13]</w:t>
            </w:r>
          </w:p>
        </w:tc>
        <w:tc>
          <w:tcPr/>
          <w:p>
            <w:pPr>
              <w:spacing w:before="0" w:after="0" w:line="240" w:lineRule="auto"/>
              <w:jc w:val="left"/>
            </w:pPr>
            <w:r>
              <w:rPr>
                <w:sz w:val="20"/>
                <w:szCs w:val="20"/>
              </w:rPr>
              <w:t xml:space="preserve">8.9</w:t>
            </w:r>
          </w:p>
        </w:tc>
        <w:tc>
          <w:tcPr/>
          <w:p>
            <w:pPr>
              <w:spacing w:before="0" w:after="0" w:line="240" w:lineRule="auto"/>
              <w:jc w:val="left"/>
            </w:pPr>
            <w:r>
              <w:rPr>
                <w:sz w:val="20"/>
                <w:szCs w:val="20"/>
              </w:rPr>
              <w:t xml:space="preserve">0.02</w:t>
            </w:r>
          </w:p>
        </w:tc>
        <w:tc>
          <w:tcPr/>
          <w:p>
            <w:pPr>
              <w:spacing w:before="0" w:after="0" w:line="240" w:lineRule="auto"/>
            </w:pPr>
          </w:p>
        </w:tc>
      </w:tr>
      <w:tr>
        <w:tc>
          <w:tcPr/>
          <w:p>
            <w:pPr>
              <w:spacing w:before="0" w:after="0" w:line="240" w:lineRule="auto"/>
              <w:jc w:val="left"/>
            </w:pPr>
            <w:r>
              <w:rPr>
                <w:iCs/>
                <w:i/>
                <w:sz w:val="20"/>
                <w:szCs w:val="20"/>
              </w:rPr>
              <w:t xml:space="preserve">Panel B: out-of-sample, 2023–2025 (H4)</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−7.7771</w:t>
            </w:r>
          </w:p>
        </w:tc>
        <w:tc>
          <w:tcPr/>
          <w:p>
            <w:pPr>
              <w:spacing w:before="0" w:after="0" w:line="240" w:lineRule="auto"/>
              <w:jc w:val="left"/>
            </w:pPr>
            <w:r>
              <w:rPr>
                <w:sz w:val="20"/>
                <w:szCs w:val="20"/>
              </w:rPr>
              <w:t xml:space="preserve">−7.7434</w:t>
            </w:r>
          </w:p>
        </w:tc>
        <w:tc>
          <w:tcPr/>
          <w:p>
            <w:pPr>
              <w:spacing w:before="0" w:after="0" w:line="240" w:lineRule="auto"/>
              <w:jc w:val="left"/>
            </w:pPr>
            <w:r>
              <w:rPr>
                <w:sz w:val="20"/>
                <w:szCs w:val="20"/>
              </w:rPr>
              <w:t xml:space="preserve">−7.7644</w:t>
            </w:r>
          </w:p>
        </w:tc>
        <w:tc>
          <w:tcPr/>
          <w:p>
            <w:pPr>
              <w:spacing w:before="0" w:after="0" w:line="240" w:lineRule="auto"/>
              <w:jc w:val="left"/>
            </w:pPr>
            <w:r>
              <w:rPr>
                <w:sz w:val="20"/>
                <w:szCs w:val="20"/>
              </w:rPr>
              <w:t xml:space="preserve">−1.69 (0.091)</w:t>
            </w:r>
          </w:p>
        </w:tc>
        <w:tc>
          <w:tcPr/>
          <w:p>
            <w:pPr>
              <w:spacing w:before="0" w:after="0" w:line="240" w:lineRule="auto"/>
              <w:jc w:val="left"/>
            </w:pPr>
            <w:r>
              <w:rPr>
                <w:sz w:val="20"/>
                <w:szCs w:val="20"/>
              </w:rPr>
              <w:t xml:space="preserve">−1.34 (0.179)</w:t>
            </w:r>
          </w:p>
        </w:tc>
      </w:tr>
      <w:tr>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−7.8357</w:t>
            </w:r>
          </w:p>
        </w:tc>
        <w:tc>
          <w:tcPr/>
          <w:p>
            <w:pPr>
              <w:spacing w:before="0" w:after="0" w:line="240" w:lineRule="auto"/>
              <w:jc w:val="left"/>
            </w:pPr>
            <w:r>
              <w:rPr>
                <w:sz w:val="20"/>
                <w:szCs w:val="20"/>
              </w:rPr>
              <w:t xml:space="preserve">−7.8315</w:t>
            </w:r>
          </w:p>
        </w:tc>
        <w:tc>
          <w:tcPr/>
          <w:p>
            <w:pPr>
              <w:spacing w:before="0" w:after="0" w:line="240" w:lineRule="auto"/>
              <w:jc w:val="left"/>
            </w:pPr>
            <w:r>
              <w:rPr>
                <w:sz w:val="20"/>
                <w:szCs w:val="20"/>
              </w:rPr>
              <w:t xml:space="preserve">−7.8346</w:t>
            </w:r>
          </w:p>
        </w:tc>
        <w:tc>
          <w:tcPr/>
          <w:p>
            <w:pPr>
              <w:spacing w:before="0" w:after="0" w:line="240" w:lineRule="auto"/>
              <w:jc w:val="left"/>
            </w:pPr>
            <w:r>
              <w:rPr>
                <w:sz w:val="20"/>
                <w:szCs w:val="20"/>
              </w:rPr>
              <w:t xml:space="preserve">−1.74 (0.081)</w:t>
            </w:r>
          </w:p>
        </w:tc>
        <w:tc>
          <w:tcPr/>
          <w:p>
            <w:pPr>
              <w:spacing w:before="0" w:after="0" w:line="240" w:lineRule="auto"/>
              <w:jc w:val="left"/>
            </w:pPr>
            <w:r>
              <w:rPr>
                <w:sz w:val="20"/>
                <w:szCs w:val="20"/>
              </w:rPr>
              <w:t xml:space="preserve">−1.45 (0.146)</w:t>
            </w:r>
          </w:p>
        </w:tc>
      </w:tr>
      <w:tr>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−7.9298</w:t>
            </w:r>
          </w:p>
        </w:tc>
        <w:tc>
          <w:tcPr/>
          <w:p>
            <w:pPr>
              <w:spacing w:before="0" w:after="0" w:line="240" w:lineRule="auto"/>
              <w:jc w:val="left"/>
            </w:pPr>
            <w:r>
              <w:rPr>
                <w:sz w:val="20"/>
                <w:szCs w:val="20"/>
              </w:rPr>
              <w:t xml:space="preserve">−7.9258</w:t>
            </w:r>
          </w:p>
        </w:tc>
        <w:tc>
          <w:tcPr/>
          <w:p>
            <w:pPr>
              <w:spacing w:before="0" w:after="0" w:line="240" w:lineRule="auto"/>
              <w:jc w:val="left"/>
            </w:pPr>
            <w:r>
              <w:rPr>
                <w:sz w:val="20"/>
                <w:szCs w:val="20"/>
              </w:rPr>
              <w:t xml:space="preserve">−7.9252</w:t>
            </w:r>
          </w:p>
        </w:tc>
        <w:tc>
          <w:tcPr/>
          <w:p>
            <w:pPr>
              <w:spacing w:before="0" w:after="0" w:line="240" w:lineRule="auto"/>
              <w:jc w:val="left"/>
            </w:pPr>
            <w:r>
              <w:rPr>
                <w:sz w:val="20"/>
                <w:szCs w:val="20"/>
              </w:rPr>
              <w:t xml:space="preserve">−1.82 (0.069)</w:t>
            </w:r>
          </w:p>
        </w:tc>
        <w:tc>
          <w:tcPr/>
          <w:p>
            <w:pPr>
              <w:spacing w:before="0" w:after="0" w:line="240" w:lineRule="auto"/>
              <w:jc w:val="left"/>
            </w:pPr>
            <w:r>
              <w:rPr>
                <w:sz w:val="20"/>
                <w:szCs w:val="20"/>
              </w:rPr>
              <w:t xml:space="preserve">−1.44 (0.150)</w:t>
            </w:r>
          </w:p>
        </w:tc>
      </w:tr>
      <w:tr>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−7.8904</w:t>
            </w:r>
          </w:p>
        </w:tc>
        <w:tc>
          <w:tcPr/>
          <w:p>
            <w:pPr>
              <w:spacing w:before="0" w:after="0" w:line="240" w:lineRule="auto"/>
              <w:jc w:val="left"/>
            </w:pPr>
            <w:r>
              <w:rPr>
                <w:sz w:val="20"/>
                <w:szCs w:val="20"/>
              </w:rPr>
              <w:t xml:space="preserve">−7.8880</w:t>
            </w:r>
          </w:p>
        </w:tc>
        <w:tc>
          <w:tcPr/>
          <w:p>
            <w:pPr>
              <w:spacing w:before="0" w:after="0" w:line="240" w:lineRule="auto"/>
              <w:jc w:val="left"/>
            </w:pPr>
            <w:r>
              <w:rPr>
                <w:sz w:val="20"/>
                <w:szCs w:val="20"/>
              </w:rPr>
              <w:t xml:space="preserve">−7.8867</w:t>
            </w:r>
          </w:p>
        </w:tc>
        <w:tc>
          <w:tcPr/>
          <w:p>
            <w:pPr>
              <w:spacing w:before="0" w:after="0" w:line="240" w:lineRule="auto"/>
              <w:jc w:val="left"/>
            </w:pPr>
            <w:r>
              <w:rPr>
                <w:sz w:val="20"/>
                <w:szCs w:val="20"/>
              </w:rPr>
              <w:t xml:space="preserve">−1.64 (0.100)</w:t>
            </w:r>
          </w:p>
        </w:tc>
        <w:tc>
          <w:tcPr/>
          <w:p>
            <w:pPr>
              <w:spacing w:before="0" w:after="0" w:line="240" w:lineRule="auto"/>
              <w:jc w:val="left"/>
            </w:pPr>
            <w:r>
              <w:rPr>
                <w:sz w:val="20"/>
                <w:szCs w:val="20"/>
              </w:rPr>
              <w:t xml:space="preserve">−1.43 (0.153)</w:t>
            </w:r>
          </w:p>
        </w:tc>
      </w:tr>
    </w:tbl>
    <w:p>
      <w:pPr>
        <w:pStyle w:val="Compact"/>
      </w:pPr>
      <w:r>
        <w:rPr>
          <w:sz w:val="20"/>
          <w:szCs w:val="20"/>
        </w:rPr>
        <w:t xml:space="preserve">Notes: Panel A: RE of Eq. (16) for an equally weighted position; relative SE: bootstrap standard error of the regime portfolio variance. Panel B: mean QLIKE over 735 evaluation days; DM: Diebold–Mariano t-statistic (p) on the QLIKE difference, negative when the static correlation has the lower loss.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In sample,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in chronological calm periods and 9.38% in the low-volatility quartile, and understates it by 1.84% and 2.07% in turbulent regimes. Any pooled correlation produces this sign pattern. For nested pairs, the misstatement is at most 2.35% (Table S14). Relative to sampling error, the magnitudes are small: |RE| is 0.13–1.50 standard errors of the regime variance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and at most 0.43 for nested pairs. Out of sample, the static correlation has the lowest mean QLIKE for every pair, and all Diebold–Mariano statistics are negative (p = 0.069–0.179). H4 is not supported: regime variation in correlations is real in sample but too small or too poorly timed to exploit.</w:t>
      </w:r>
    </w:p>
    <w:p>
      <w:pPr>
        <w:pStyle w:val="heading20"/>
        <w:numPr>
          <w:ilvl w:val="0"/>
          <w:numId w:val="0"/>
        </w:numPr>
      </w:pPr>
      <w:r>
        <w:rPr>
          <w:rFonts w:ascii="Times New Roman" w:hAnsi="Times New Roman" w:cs="Times New Roman" w:eastAsia="Times New Roman"/>
          <w:b/>
          <w:sz w:val="24"/>
          <w:szCs w:val="24"/>
        </w:rPr>
        <w:t xml:space="preserve">5.7 Further robustness</w:t>
      </w:r>
    </w:p>
    <w:p>
      <w:pPr>
        <w:pStyle w:val="p1a"/>
        <w:spacing w:before="0" w:after="120" w:line="300" w:lineRule="auto"/>
        <w:jc w:val="both"/>
      </w:pPr>
      <w:r>
        <w:rPr>
          <w:rFonts w:ascii="Times New Roman" w:hAnsi="Times New Roman" w:cs="Times New Roman" w:eastAsia="Times New Roman"/>
          <w:sz w:val="24"/>
          <w:szCs w:val="24"/>
        </w:rPr>
        <w:t xml:space="preserve">None of the further checks changes the conclusions. DMCA (Kristoufek 2014) satisfies the same identity, so it checks only the detrending; it gives a purged coefficient of 0.882–0.891 and a three-pair gap of 0.086–0.096 (Table S4). The daily three-pair gap interval stays within 0.070–0.119 for blocks of 5–60 days (Table S6), and the daily VN30–VNINDEX average is 0.9665, 0.9663 and 0.9667 for detrending orders 1–3. Proxies that replace the capitalization weight, such as the VN30–VN100 correlation (0.9865–0.9885), are unstable (Table S8), and shuffled surrogates attribute most of the multifractal range to fat tails (Fig. S1). Lead–lag, hedge-effectiveness and episode statistics are in Tables S9, S11 and S12.</w:t>
      </w:r>
    </w:p>
    <w:p>
      <w:pPr>
        <w:pStyle w:val="heading20"/>
        <w:numPr>
          <w:ilvl w:val="0"/>
          <w:numId w:val="0"/>
        </w:numPr>
      </w:pPr>
      <w:r>
        <w:rPr>
          <w:rFonts w:ascii="Times New Roman" w:hAnsi="Times New Roman" w:cs="Times New Roman" w:eastAsia="Times New Roman"/>
          <w:b/>
          <w:sz w:val="24"/>
          <w:szCs w:val="24"/>
        </w:rPr>
        <w:t xml:space="preserve">5.8 Summary</w:t>
      </w:r>
    </w:p>
    <w:p>
      <w:pPr>
        <w:pStyle w:val="p1a"/>
        <w:spacing w:before="0" w:after="120" w:line="300" w:lineRule="auto"/>
        <w:jc w:val="both"/>
      </w:pPr>
      <w:r>
        <w:rPr>
          <w:rFonts w:ascii="Times New Roman" w:hAnsi="Times New Roman" w:cs="Times New Roman" w:eastAsia="Times New Roman"/>
          <w:sz w:val="24"/>
          <w:szCs w:val="24"/>
        </w:rPr>
        <w:t xml:space="preserve">Table 9 summarizes the estimands and hypotheses.</w:t>
      </w:r>
    </w:p>
    <w:p>
      <w:pPr>
        <w:pStyle w:val="tablecaption0"/>
      </w:pPr>
      <w:r>
        <w:rPr>
          <w:bCs/>
          <w:b/>
        </w:rPr>
        <w:t xml:space="preserve">Table 9</w:t>
      </w:r>
      <w:r>
        <w:t xml:space="preserve"> </w:t>
      </w:r>
      <w:r>
        <w:t xml:space="preserve">Summary of estimands and hypothesis tests</w:t>
      </w:r>
    </w:p>
    <w:tbl>
      <w:tblPr>
        <w:tblStyle w:val="TableGrid"/>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spacing w:before="0" w:after="0" w:line="240" w:lineRule="auto"/>
              <w:jc w:val="left"/>
            </w:pPr>
            <w:r>
              <w:rPr>
                <w:sz w:val="20"/>
                <w:szCs w:val="20"/>
              </w:rPr>
              <w:t xml:space="preserve">Item</w:t>
            </w:r>
          </w:p>
        </w:tc>
        <w:tc>
          <w:tcPr/>
          <w:p>
            <w:pPr>
              <w:spacing w:before="0" w:after="0" w:line="240" w:lineRule="auto"/>
              <w:jc w:val="left"/>
            </w:pPr>
            <w:r>
              <w:rPr>
                <w:sz w:val="20"/>
                <w:szCs w:val="20"/>
              </w:rPr>
              <w:t xml:space="preserve">Statistic</w:t>
            </w:r>
          </w:p>
        </w:tc>
        <w:tc>
          <w:tcPr/>
          <w:p>
            <w:pPr>
              <w:spacing w:before="0" w:after="0" w:line="240" w:lineRule="auto"/>
              <w:jc w:val="left"/>
            </w:pPr>
            <w:r>
              <w:rPr>
                <w:sz w:val="20"/>
                <w:szCs w:val="20"/>
              </w:rPr>
              <w:t xml:space="preserve">Evidence</w:t>
            </w:r>
          </w:p>
        </w:tc>
        <w:tc>
          <w:tcPr/>
          <w:p>
            <w:pPr>
              <w:spacing w:before="0" w:after="0" w:line="240" w:lineRule="auto"/>
              <w:jc w:val="left"/>
            </w:pPr>
            <w:r>
              <w:rPr>
                <w:sz w:val="20"/>
                <w:szCs w:val="20"/>
              </w:rPr>
              <w:t xml:space="preserve">Outcome</w:t>
            </w:r>
          </w:p>
        </w:tc>
        <w:tc>
          <w:tcPr/>
          <w:p>
            <w:pPr>
              <w:spacing w:before="0" w:after="0" w:line="240" w:lineRule="auto"/>
              <w:jc w:val="left"/>
            </w:pPr>
            <w:r>
              <w:rPr>
                <w:sz w:val="20"/>
                <w:szCs w:val="20"/>
              </w:rPr>
              <w:t xml:space="preserve">Comment</w:t>
            </w:r>
          </w:p>
        </w:tc>
      </w:tr>
      <w:tr>
        <w:tc>
          <w:tcPr/>
          <w:p>
            <w:pPr>
              <w:spacing w:before="0" w:after="0" w:line="240" w:lineRule="auto"/>
              <w:jc w:val="left"/>
            </w:pPr>
            <w:r>
              <w:rPr>
                <w:sz w:val="20"/>
                <w:szCs w:val="20"/>
              </w:rPr>
              <w:t xml:space="preserve">E1 Benchmark and attribution</w:t>
            </w:r>
          </w:p>
        </w:tc>
        <w:tc>
          <w:tcPr/>
          <w:p>
            <w:pPr>
              <w:spacing w:before="0" w:after="0" w:line="240" w:lineRule="auto"/>
              <w:jc w:val="left"/>
            </w:pPr>
            <w:r>
              <w:rPr>
                <w:sz w:val="20"/>
                <w:szCs w:val="20"/>
              </w:rPr>
              <w:t xml:space="preserve">ρ̲; Shapley share</w:t>
            </w:r>
          </w:p>
        </w:tc>
        <w:tc>
          <w:tcPr/>
          <w:p>
            <w:pPr>
              <w:spacing w:before="0" w:after="0" w:line="240" w:lineRule="auto"/>
              <w:jc w:val="left"/>
            </w:pPr>
            <w:r>
              <w:rPr>
                <w:sz w:val="20"/>
                <w:szCs w:val="20"/>
              </w:rPr>
              <w:t xml:space="preserve">ρ̲ 0.893–0.900; Shapley 0.505–0.508</w:t>
            </w:r>
          </w:p>
        </w:tc>
        <w:tc>
          <w:tcPr/>
          <w:p>
            <w:pPr>
              <w:spacing w:before="0" w:after="0" w:line="240" w:lineRule="auto"/>
              <w:jc w:val="left"/>
            </w:pPr>
            <w:r>
              <w:rPr>
                <w:sz w:val="20"/>
                <w:szCs w:val="20"/>
              </w:rPr>
              <w:t xml:space="preserve">Estimated (not a test)</w:t>
            </w:r>
          </w:p>
        </w:tc>
        <w:tc>
          <w:tcPr/>
          <w:p>
            <w:pPr>
              <w:spacing w:before="0" w:after="0" w:line="240" w:lineRule="auto"/>
              <w:jc w:val="left"/>
            </w:pPr>
            <w:r>
              <w:rPr>
                <w:sz w:val="20"/>
                <w:szCs w:val="20"/>
              </w:rPr>
              <w:t xml:space="preserve">Attribution depends mainly on the weight</w:t>
            </w:r>
          </w:p>
        </w:tc>
      </w:tr>
      <w:tr>
        <w:tc>
          <w:tcPr/>
          <w:p>
            <w:pPr>
              <w:spacing w:before="0" w:after="0" w:line="240" w:lineRule="auto"/>
              <w:jc w:val="left"/>
            </w:pPr>
            <w:r>
              <w:rPr>
                <w:sz w:val="20"/>
                <w:szCs w:val="20"/>
              </w:rPr>
              <w:t xml:space="preserve">E2 Sensitivity</w:t>
            </w:r>
          </w:p>
        </w:tc>
        <w:tc>
          <w:tcPr/>
          <w:p>
            <w:pPr>
              <w:spacing w:before="0" w:after="0" w:line="240" w:lineRule="auto"/>
              <w:jc w:val="left"/>
            </w:pPr>
            <w:r>
              <w:rPr>
                <w:sz w:val="20"/>
                <w:szCs w:val="20"/>
              </w:rPr>
              <w:t xml:space="preserve">Eq. (10)</w:t>
            </w:r>
          </w:p>
        </w:tc>
        <w:tc>
          <w:tcPr/>
          <w:p>
            <w:pPr>
              <w:spacing w:before="0" w:after="0" w:line="240" w:lineRule="auto"/>
              <w:jc w:val="left"/>
            </w:pPr>
            <w:r>
              <w:rPr>
                <w:sz w:val="20"/>
                <w:szCs w:val="20"/>
              </w:rPr>
              <w:t xml:space="preserve">0.106–0.112; with weight uncertainty 0.07–0.17</w:t>
            </w:r>
          </w:p>
        </w:tc>
        <w:tc>
          <w:tcPr/>
          <w:p>
            <w:pPr>
              <w:spacing w:before="0" w:after="0" w:line="240" w:lineRule="auto"/>
              <w:jc w:val="left"/>
            </w:pPr>
            <w:r>
              <w:rPr>
                <w:sz w:val="20"/>
                <w:szCs w:val="20"/>
              </w:rPr>
              <w:t xml:space="preserve">Estimated (not a test)</w:t>
            </w:r>
          </w:p>
        </w:tc>
        <w:tc>
          <w:tcPr/>
          <w:p>
            <w:pPr>
              <w:spacing w:before="0" w:after="0" w:line="240" w:lineRule="auto"/>
              <w:jc w:val="left"/>
            </w:pPr>
            <w:r>
              <w:rPr>
                <w:sz w:val="20"/>
                <w:szCs w:val="20"/>
              </w:rPr>
              <w:t xml:space="preserve">Damping factor of about ten</w:t>
            </w:r>
          </w:p>
        </w:tc>
      </w:tr>
      <w:tr>
        <w:tc>
          <w:tcPr/>
          <w:p>
            <w:pPr>
              <w:spacing w:before="0" w:after="0" w:line="240" w:lineRule="auto"/>
              <w:jc w:val="left"/>
            </w:pPr>
            <w:r>
              <w:rPr>
                <w:sz w:val="20"/>
                <w:szCs w:val="20"/>
              </w:rPr>
              <w:t xml:space="preserve">E3 In-sample misstatement</w:t>
            </w:r>
          </w:p>
        </w:tc>
        <w:tc>
          <w:tcPr/>
          <w:p>
            <w:pPr>
              <w:spacing w:before="0" w:after="0" w:line="240" w:lineRule="auto"/>
              <w:jc w:val="left"/>
            </w:pPr>
            <w:r>
              <w:rPr>
                <w:sz w:val="20"/>
                <w:szCs w:val="20"/>
              </w:rPr>
              <w:t xml:space="preserve">RE, Eq. (16)</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–VN30 −2.1% to 9.4%; mostly below one SE</w:t>
            </w:r>
          </w:p>
        </w:tc>
        <w:tc>
          <w:tcPr/>
          <w:p>
            <w:pPr>
              <w:spacing w:before="0" w:after="0" w:line="240" w:lineRule="auto"/>
              <w:jc w:val="left"/>
            </w:pPr>
            <w:r>
              <w:rPr>
                <w:sz w:val="20"/>
                <w:szCs w:val="20"/>
              </w:rPr>
              <w:t xml:space="preserve">Estimated (not a test)</w:t>
            </w:r>
          </w:p>
        </w:tc>
        <w:tc>
          <w:tcPr/>
          <w:p>
            <w:pPr>
              <w:spacing w:before="0" w:after="0" w:line="240" w:lineRule="auto"/>
              <w:jc w:val="left"/>
            </w:pPr>
            <w:r>
              <w:rPr>
                <w:sz w:val="20"/>
                <w:szCs w:val="20"/>
              </w:rPr>
              <w:t xml:space="preserve">Sign pattern expected from pooling</w:t>
            </w:r>
          </w:p>
        </w:tc>
      </w:tr>
      <w:tr>
        <w:tc>
          <w:tcPr/>
          <w:p>
            <w:pPr>
              <w:spacing w:before="0" w:after="0" w:line="240" w:lineRule="auto"/>
              <w:jc w:val="left"/>
            </w:pPr>
            <w:r>
              <w:rPr>
                <w:sz w:val="20"/>
                <w:szCs w:val="20"/>
              </w:rPr>
              <w:t xml:space="preserve">H1 Material overlap gap</w:t>
            </w:r>
          </w:p>
        </w:tc>
        <w:tc>
          <w:tcPr/>
          <w:p>
            <w:pPr>
              <w:spacing w:before="0" w:after="0" w:line="240" w:lineRule="auto"/>
              <w:jc w:val="left"/>
            </w:pPr>
            <w:r>
              <w:rPr>
                <w:sz w:val="20"/>
                <w:szCs w:val="20"/>
              </w:rPr>
              <w:t xml:space="preserve">Like-for-like gap; lower CI &gt; 0.05</w:t>
            </w:r>
          </w:p>
        </w:tc>
        <w:tc>
          <w:tcPr/>
          <w:p>
            <w:pPr>
              <w:spacing w:before="0" w:after="0" w:line="240" w:lineRule="auto"/>
              <w:jc w:val="left"/>
            </w:pPr>
            <w:r>
              <w:rPr>
                <w:sz w:val="20"/>
                <w:szCs w:val="20"/>
              </w:rPr>
              <w:t xml:space="preserve">Gap 0.099–0.104; lower CI ≥ 0.084</w:t>
            </w:r>
          </w:p>
        </w:tc>
        <w:tc>
          <w:tcPr/>
          <w:p>
            <w:pPr>
              <w:spacing w:before="0" w:after="0" w:line="240" w:lineRule="auto"/>
              <w:jc w:val="left"/>
            </w:pPr>
            <w:r>
              <w:rPr>
                <w:sz w:val="20"/>
                <w:szCs w:val="20"/>
              </w:rPr>
              <w:t xml:space="preserve">Supported</w:t>
            </w:r>
          </w:p>
        </w:tc>
        <w:tc>
          <w:tcPr/>
          <w:p>
            <w:pPr>
              <w:spacing w:before="0" w:after="0" w:line="240" w:lineRule="auto"/>
              <w:jc w:val="left"/>
            </w:pPr>
            <w:r>
              <w:rPr>
                <w:sz w:val="20"/>
                <w:szCs w:val="20"/>
              </w:rPr>
              <w:t xml:space="preserve">Holds under weight uncertainty</w:t>
            </w:r>
          </w:p>
        </w:tc>
      </w:tr>
      <w:tr>
        <w:tc>
          <w:tcPr/>
          <w:p>
            <w:pPr>
              <w:spacing w:before="0" w:after="0" w:line="240" w:lineRule="auto"/>
              <w:jc w:val="left"/>
            </w:pPr>
            <w:r>
              <w:rPr>
                <w:sz w:val="20"/>
                <w:szCs w:val="20"/>
              </w:rPr>
              <w:t xml:space="preserve">H2 Horizon dependence</w:t>
            </w:r>
          </w:p>
        </w:tc>
        <w:tc>
          <w:tcPr/>
          <w:p>
            <w:pPr>
              <w:spacing w:before="0" w:after="0" w:line="240" w:lineRule="auto"/>
              <w:jc w:val="left"/>
            </w:pPr>
            <w:r>
              <w:rPr>
                <w:sz w:val="20"/>
                <w:szCs w:val="20"/>
              </w:rPr>
              <w:t xml:space="preserve">Studentized slopes; Holm (H2 family); TOST</w:t>
            </w:r>
          </w:p>
        </w:tc>
        <w:tc>
          <w:tcPr/>
          <w:p>
            <w:pPr>
              <w:spacing w:before="0" w:after="0" w:line="240" w:lineRule="auto"/>
              <w:jc w:val="left"/>
            </w:pPr>
            <w:r>
              <w:rPr>
                <w:sz w:val="20"/>
                <w:szCs w:val="20"/>
              </w:rPr>
              <w:t xml:space="preserve">4 of 8 broad-market slopes significant, all intraday; VN30–VN100 equivalent to zero at M30, H1</w:t>
            </w:r>
          </w:p>
        </w:tc>
        <w:tc>
          <w:tcPr/>
          <w:p>
            <w:pPr>
              <w:spacing w:before="0" w:after="0" w:line="240" w:lineRule="auto"/>
              <w:jc w:val="left"/>
            </w:pPr>
            <w:r>
              <w:rPr>
                <w:sz w:val="20"/>
                <w:szCs w:val="20"/>
              </w:rPr>
              <w:t xml:space="preserve">Supported</w:t>
            </w:r>
          </w:p>
        </w:tc>
        <w:tc>
          <w:tcPr/>
          <w:p>
            <w:pPr>
              <w:spacing w:before="0" w:after="0" w:line="240" w:lineRule="auto"/>
              <w:jc w:val="left"/>
            </w:pPr>
            <w:r>
              <w:rPr>
                <w:sz w:val="20"/>
                <w:szCs w:val="20"/>
              </w:rPr>
              <w:t xml:space="preserve">Not robust: vanishes without the auction bars</w:t>
            </w:r>
          </w:p>
        </w:tc>
      </w:tr>
      <w:tr>
        <w:tc>
          <w:tcPr/>
          <w:p>
            <w:pPr>
              <w:spacing w:before="0" w:after="0" w:line="240" w:lineRule="auto"/>
              <w:jc w:val="left"/>
            </w:pPr>
            <w:r>
              <w:rPr>
                <w:sz w:val="20"/>
                <w:szCs w:val="20"/>
              </w:rPr>
              <w:t xml:space="preserve">H3 Contagion</w:t>
            </w:r>
          </w:p>
        </w:tc>
        <w:tc>
          <w:tcPr/>
          <w:p>
            <w:pPr>
              <w:spacing w:before="0" w:after="0" w:line="240" w:lineRule="auto"/>
              <w:jc w:val="left"/>
            </w:pPr>
            <w:r>
              <w:rPr>
                <w:sz w:val="20"/>
                <w:szCs w:val="20"/>
              </w:rPr>
              <w:t xml:space="preserve">FR adjustment and Δβ, VN30 regimes</w:t>
            </w:r>
          </w:p>
        </w:tc>
        <w:tc>
          <w:tcPr/>
          <w:p>
            <w:pPr>
              <w:spacing w:before="0" w:after="0" w:line="240" w:lineRule="auto"/>
              <w:jc w:val="left"/>
            </w:pPr>
            <w:r>
              <w:rPr>
                <w:sz w:val="20"/>
                <w:szCs w:val="20"/>
              </w:rPr>
              <w:t xml:space="preserve">FR p = 0.998; Δβ = 0.210, p &lt; 0.001</w:t>
            </w:r>
          </w:p>
        </w:tc>
        <w:tc>
          <w:tcPr/>
          <w:p>
            <w:pPr>
              <w:spacing w:before="0" w:after="0" w:line="240" w:lineRule="auto"/>
              <w:jc w:val="left"/>
            </w:pPr>
            <w:r>
              <w:rPr>
                <w:sz w:val="20"/>
                <w:szCs w:val="20"/>
              </w:rPr>
              <w:t xml:space="preserve">Not supported</w:t>
            </w:r>
          </w:p>
        </w:tc>
        <w:tc>
          <w:tcPr/>
          <w:p>
            <w:pPr>
              <w:spacing w:before="0" w:after="0" w:line="240" w:lineRule="auto"/>
              <w:jc w:val="left"/>
            </w:pPr>
            <w:r>
              <w:rPr>
                <w:sz w:val="20"/>
                <w:szCs w:val="20"/>
              </w:rPr>
              <w:t xml:space="preserve">Loading rises on high-volatility days; residual variance rises too</w:t>
            </w:r>
          </w:p>
        </w:tc>
      </w:tr>
      <w:tr>
        <w:tc>
          <w:tcPr/>
          <w:p>
            <w:pPr>
              <w:spacing w:before="0" w:after="0" w:line="240" w:lineRule="auto"/>
              <w:jc w:val="left"/>
            </w:pPr>
            <w:r>
              <w:rPr>
                <w:sz w:val="20"/>
                <w:szCs w:val="20"/>
              </w:rPr>
              <w:t xml:space="preserve">H4 Value of regime conditioning</w:t>
            </w:r>
          </w:p>
        </w:tc>
        <w:tc>
          <w:tcPr/>
          <w:p>
            <w:pPr>
              <w:spacing w:before="0" w:after="0" w:line="240" w:lineRule="auto"/>
              <w:jc w:val="left"/>
            </w:pPr>
            <w:r>
              <w:rPr>
                <w:sz w:val="20"/>
                <w:szCs w:val="20"/>
              </w:rPr>
              <w:t xml:space="preserve">QLIKE; Diebold–Mariano</w:t>
            </w:r>
          </w:p>
        </w:tc>
        <w:tc>
          <w:tcPr/>
          <w:p>
            <w:pPr>
              <w:spacing w:before="0" w:after="0" w:line="240" w:lineRule="auto"/>
              <w:jc w:val="left"/>
            </w:pPr>
            <w:r>
              <w:rPr>
                <w:sz w:val="20"/>
                <w:szCs w:val="20"/>
              </w:rPr>
              <w:t xml:space="preserve">Static lowest for all pairs; p 0.07–0.18</w:t>
            </w:r>
          </w:p>
        </w:tc>
        <w:tc>
          <w:tcPr/>
          <w:p>
            <w:pPr>
              <w:spacing w:before="0" w:after="0" w:line="240" w:lineRule="auto"/>
              <w:jc w:val="left"/>
            </w:pPr>
            <w:r>
              <w:rPr>
                <w:sz w:val="20"/>
                <w:szCs w:val="20"/>
              </w:rPr>
              <w:t xml:space="preserve">Not supported</w:t>
            </w:r>
          </w:p>
        </w:tc>
        <w:tc>
          <w:tcPr/>
          <w:p>
            <w:pPr>
              <w:spacing w:before="0" w:after="0" w:line="240" w:lineRule="auto"/>
              <w:jc w:val="left"/>
            </w:pPr>
            <w:r>
              <w:rPr>
                <w:sz w:val="20"/>
                <w:szCs w:val="20"/>
              </w:rPr>
              <w:t xml:space="preserve">Static correlation has the lowest loss</w:t>
            </w:r>
          </w:p>
        </w:tc>
      </w:tr>
    </w:tbl>
    <w:p>
      <w:pPr>
        <w:pStyle w:val="Compact"/>
      </w:pPr>
      <w:r>
        <w:rPr>
          <w:sz w:val="20"/>
          <w:szCs w:val="20"/>
        </w:rPr>
        <w:t xml:space="preserve">Notes: Decision rules for H1–H4 in Section 2.7; all tests at the 5% level.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One mechanism drives the nested results. A child’s variation enters every covariance and both standard deviations of a nested pair, and Lemma 1 pins the coefficient near a benchmark set by weight and relative amplitude. With VN30 at 68% of VN100, the benchmark is near 0.90 and the bound near 0.87, so the observed 0.99 says little about how mid caps move with large caps. Changes in the purged coefficient reach it damped by a factor of about ten.</w:t>
      </w:r>
    </w:p>
    <w:p>
      <w:pPr>
        <w:pStyle w:val="BodyText"/>
        <w:spacing w:before="0" w:after="120" w:line="300" w:lineRule="auto"/>
        <w:jc w:val="both"/>
      </w:pPr>
      <w:r>
        <w:rPr>
          <w:rFonts w:ascii="Times New Roman" w:hAnsi="Times New Roman" w:cs="Times New Roman" w:eastAsia="Times New Roman"/>
          <w:sz w:val="24"/>
          <w:szCs w:val="24"/>
        </w:rPr>
        <w:t xml:space="preserve">The purged series has the features the size literature predicts. Daily VN30 returns lead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returns (cross-autocorrelation 0.084, [0.028, 0.136]) while the reverse is negligible (0.007), an asymmetry of 0.076 [0.048, 0.102] in line with Lo and MacKinlay (1990) and Hou (2007); at intraday frequencies the lead is symmetric (Table S9). The auction-bar horizon dependence of broad-market pairs fits the Epps (1979) effect for small, less liquid stocks (Chen et al. 2021; Tran and Tran 2025), which index-level data cannot separate from gradual diffusion (Hong and Stein 1999). The higher loading on high-volatility days has several candidate sources that our data cannot rank: herding (Nguyen et al. 2023) and sector connectedness (Bui et al. 2022), limit hits under the ±7% band, margin calls and foreign flows concentrated in large caps with room under ownership limits. The rise in residual variance shows that crises also bring mid-cap-specific shocks, which the Forbes–Rigobon correction misreads as lower dependence.</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Users who judge diversification between tiers from nested index correlations should first decompose them. Box 1 does this from published series and the index weight. Its key outputs are the purged coefficient and the sensitivity, whose inverse of about 10 shows how ill-conditioned the index-level number is: an error of 0.001 in the nested coefficient becomes about 0.01 in the purged one. Holdings-based risk models are not affected. For hedging, a minimum-variance VN30 hedge removes a share ρ² of mid-cap variance (Ederington 1979), 0.79 [0.75, 0.82] over the full sample but 0.53 [0.45, 0.61] in the low-volatility quartile and 0.86 in the high-volatility quartile (Table S11). A holder of the VNMIDCAP exchange-traded fund who hedges with VN30 futures keeps about a fifth of the variance on average and about half in calm markets. A mid-cap derivative would remove this basis risk; we do not study whether such a contract would be viable. The case for regime-conditioned tier correlations is not supported: their in-sample gain is mostly within sampling error and vanishes out of sample. For users of index-level data, the error that matters is reading a nested correlation as evidence of diversification.</w:t>
      </w:r>
    </w:p>
    <w:p>
      <w:pPr>
        <w:pStyle w:val="heading20"/>
        <w:numPr>
          <w:ilvl w:val="0"/>
          <w:numId w:val="0"/>
        </w:numPr>
      </w:pPr>
      <w:r>
        <w:rPr>
          <w:rFonts w:ascii="Times New Roman" w:hAnsi="Times New Roman" w:cs="Times New Roman" w:eastAsia="Times New Roman"/>
          <w:b/>
          <w:sz w:val="24"/>
          <w:szCs w:val="24"/>
        </w:rPr>
        <w:t xml:space="preserve">6.3 Transferability and limitations</w:t>
      </w:r>
    </w:p>
    <w:p>
      <w:pPr>
        <w:pStyle w:val="p1a"/>
        <w:spacing w:before="0" w:after="120" w:line="300" w:lineRule="auto"/>
        <w:jc w:val="both"/>
      </w:pPr>
      <w:r>
        <w:rPr>
          <w:rFonts w:ascii="Times New Roman" w:hAnsi="Times New Roman" w:cs="Times New Roman" w:eastAsia="Times New Roman"/>
          <w:sz w:val="24"/>
          <w:szCs w:val="24"/>
        </w:rPr>
        <w:t xml:space="preserve">Lemma 1 applies to any child contained in its parent with a known weight under one weighting scheme. Fig. 4 shows benchmarks above 0.7 whenever the child holds half of the parent and the remainder is no more volatile, so large mechanical components should be common in families such as SET50 within SET100 or IDX30 within LQ45; we did not compute them because we could not verify their weights. With partial overlap, the shared constituents form a third component, and Eq. (7) does not apply directly. We did not decompose the broad-market pairs: VNINDEX uses full capitalization and VN100 free-float capitalization, so VN100 is not a fixed-weight component of VNINDEX. The mismatch term of Eq. (12) cannot be bounded without constituent data, and the three-pair gap is therefore descriptive for these pairs.</w:t>
      </w:r>
    </w:p>
    <w:p>
      <w:pPr>
        <w:pStyle w:val="BodyText"/>
        <w:spacing w:before="0" w:after="120" w:line="300" w:lineRule="auto"/>
        <w:jc w:val="both"/>
      </w:pPr>
      <w:r>
        <w:rPr>
          <w:rFonts w:ascii="Times New Roman" w:hAnsi="Times New Roman" w:cs="Times New Roman" w:eastAsia="Times New Roman"/>
          <w:sz w:val="24"/>
          <w:szCs w:val="24"/>
        </w:rPr>
        <w:t xml:space="preserve">The evidence comes from one exchange and three indices, so the magnitudes should not be generalized beyond the HOSE. The purged series rests on one factsheet weight; a weight path from semi-annual reviews would narrow the attribution intervals, which weight error dominates. We could 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index or the FUEDCMID net asset value, so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overlap-purged rather than economic. Index-level prices cannot separate microstructure from diffusion, crisis evidence depends on the regime definition, and the out-of-sample period covers three years. The FTSE Russell reclassification from September 2026 offers a test: if foreign inflows raise the large-cap weight or lower the volatility of the remaining constituents relative to large caps, Eq. (8) predicts a higher benchmark.</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component fixed by construction. Extending the part–whole identity to scale-wise detrended coefficients yields a benchmark, a lower bound, a sensitivity and an order-free attribution, all computable from index-level inputs. On the HOSE, the VN30–VN100 coefficient moves by only about 0.11 per unit change in the purged coefficient, and removing the overlap lowers the correlation with large caps by about 0.10. The purged series shows a large-to-small lead, horizon effects confined to the auction bars, a higher mid-cap loading together with more mid-cap-specific risk on volatile days, and no out-of-sample gain from regime-conditioned correlations. Users of index-level data should decompose nested correlations before reading them as evidence about diversification between tiers.</w:t>
      </w:r>
    </w:p>
    <w:p>
      <w:pPr>
        <w:pStyle w:val="p1a"/>
        <w:spacing w:before="0" w:after="120" w:line="300" w:lineRule="auto"/>
        <w:jc w:val="both"/>
      </w:pPr>
      <w:r>
        <w:rPr>
          <w:rFonts w:ascii="Times New Roman" w:hAnsi="Times New Roman" w:cs="Times New Roman" w:eastAsia="Times New Roman"/>
          <w:bCs/>
          <w:b/>
          <w:sz w:val="24"/>
          <w:szCs w:val="24"/>
        </w:rPr>
        <w:t xml:space="preserve">Ethical standards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study uses only publicly available historical index price data from the Ho Chi Minh City Stock Exchange; it involves no human participants or personal data, therefore required no ethical approval, and complies with the current laws of Vietnam.</w:t>
      </w:r>
    </w:p>
    <w:p>
      <w:pPr>
        <w:pStyle w:val="p1a"/>
        <w:spacing w:before="0" w:after="120" w:line="300" w:lineRule="auto"/>
        <w:jc w:val="both"/>
      </w:pPr>
      <w:r>
        <w:rPr>
          <w:rFonts w:ascii="Times New Roman" w:hAnsi="Times New Roman" w:cs="Times New Roman" w:eastAsia="Times New Roman"/>
          <w:bCs/>
          <w:b/>
          <w:sz w:val="24"/>
          <w:szCs w:val="24"/>
        </w:rPr>
        <w:t xml:space="preserve">Data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index price data were obtained from TradingView (exchange: HOSE) and are subject to the vendor’s terms of use; the merged dataset is available from the corresponding author upon reasonable request.</w:t>
      </w:r>
    </w:p>
    <w:p>
      <w:pPr>
        <w:pStyle w:val="p1a"/>
        <w:spacing w:before="0" w:after="120" w:line="300" w:lineRule="auto"/>
        <w:jc w:val="both"/>
      </w:pPr>
      <w:r>
        <w:rPr>
          <w:rFonts w:ascii="Times New Roman" w:hAnsi="Times New Roman" w:cs="Times New Roman" w:eastAsia="Times New Roman"/>
          <w:bCs/>
          <w:b/>
          <w:sz w:val="24"/>
          <w:szCs w:val="24"/>
        </w:rPr>
        <w:t xml:space="preserve">Code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 code that reproduces every table and figure, with a map from each reported number to its output file, is provided as Online Resource 1 and will be deposited in a public repository upon acceptance. Supplementary tables and figures are provided as Online Resource 2.</w:t>
      </w:r>
    </w:p>
    <w:p>
      <w:pPr>
        <w:pStyle w:val="p1a"/>
        <w:spacing w:before="0" w:after="120" w:line="300" w:lineRule="auto"/>
        <w:jc w:val="both"/>
      </w:pPr>
      <w:r>
        <w:rPr>
          <w:rFonts w:ascii="Times New Roman" w:hAnsi="Times New Roman" w:cs="Times New Roman" w:eastAsia="Times New Roman"/>
          <w:bCs/>
          <w:b/>
          <w:sz w:val="24"/>
          <w:szCs w:val="24"/>
        </w:rPr>
        <w:t xml:space="preserve">Funding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Funding information is provided on the separate title page in accordance with the journal’s double-blind review policy.</w:t>
      </w:r>
    </w:p>
    <w:p>
      <w:pPr>
        <w:pStyle w:val="p1a"/>
        <w:spacing w:before="0" w:after="120" w:line="300" w:lineRule="auto"/>
        <w:jc w:val="both"/>
      </w:pPr>
      <w:r>
        <w:rPr>
          <w:rFonts w:ascii="Times New Roman" w:hAnsi="Times New Roman" w:cs="Times New Roman" w:eastAsia="Times New Roman"/>
          <w:bCs/>
          <w:b/>
          <w:sz w:val="24"/>
          <w:szCs w:val="24"/>
        </w:rPr>
        <w:t xml:space="preserve">Conflict of interest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authors declare that they have no conflict of interest.</w:t>
      </w:r>
    </w:p>
    <w:p>
      <w:pPr>
        <w:pStyle w:val="p1a"/>
        <w:spacing w:before="0" w:after="120" w:line="300" w:lineRule="auto"/>
        <w:jc w:val="both"/>
      </w:pPr>
      <w:r>
        <w:rPr>
          <w:rFonts w:ascii="Times New Roman" w:hAnsi="Times New Roman" w:cs="Times New Roman" w:eastAsia="Times New Roman"/>
          <w:bCs/>
          <w:b/>
          <w:sz w:val="24"/>
          <w:szCs w:val="24"/>
        </w:rPr>
        <w:t xml:space="preserve">Declaration of generative AI 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During the preparation of this work the authors used Claude (Anthropic) for language editing, reference searching and verification, translation of the analysis code into R and drafting of revisions, and Gemini (Google) to improve the language and readability of the manuscript. After using these tools, the authors reviewed and edited the content as needed and take full responsibility for the content of the publication.</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 Asia-Pacific Journal of Business Administration, 5(3),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 Finance Research Letters, 38,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 Research in International Business and Finance, 58, 101435. https://doi.org/10.1016/j.ribaf.2021.101435</w:t>
      </w:r>
    </w:p>
    <w:p>
      <w:pPr>
        <w:pStyle w:val="referenceitem"/>
      </w:pPr>
      <w:r>
        <w:rPr>
          <w:rFonts w:ascii="Times New Roman" w:hAnsi="Times New Roman" w:cs="Times New Roman" w:eastAsia="Times New Roman"/>
          <w:sz w:val="22"/>
          <w:szCs w:val="22"/>
        </w:rPr>
        <w:t xml:space="preserve">Andersen, T. G., &amp; Bollerslev, T. (1997). Intraday periodicity and volatility persistence in financial markets. Journal of Empirical Finance, 4(2–3), 115–158. https://doi.org/10.1016/S0927-5398(97)00004-2</w:t>
      </w:r>
    </w:p>
    <w:p>
      <w:pPr>
        <w:pStyle w:val="referenceitem"/>
      </w:pPr>
      <w:r>
        <w:rPr>
          <w:rFonts w:ascii="Times New Roman" w:hAnsi="Times New Roman" w:cs="Times New Roman" w:eastAsia="Times New Roman"/>
          <w:sz w:val="22"/>
          <w:szCs w:val="22"/>
        </w:rPr>
        <w:t xml:space="preserve">Ang, A., &amp; Chen, J. (2002). Asymmetric correlations of equity portfolios. Journal of Financial Economics, 63(3),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 Journal of Financial Economics, 75(2),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 Journal of the Royal Statistical Society: Series B (Methodological), 57(1),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 International Review of Financial Analysis, 81,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 Cogent Economics &amp; Finance, 10(1),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 Physica A: Statistical Mechanics and its Applications, 583, 126329. https://doi.org/10.1016/j.physa.2021.126329</w:t>
      </w:r>
    </w:p>
    <w:p>
      <w:pPr>
        <w:pStyle w:val="referenceitem"/>
      </w:pPr>
      <w:r>
        <w:rPr>
          <w:rFonts w:ascii="Times New Roman" w:hAnsi="Times New Roman" w:cs="Times New Roman" w:eastAsia="Times New Roman"/>
          <w:sz w:val="22"/>
          <w:szCs w:val="22"/>
        </w:rPr>
        <w:t xml:space="preserve">Chen, H., Singal, V., &amp; Whitelaw, R. F. (2016). Comovement revisited. Journal of Financial Economics, 121(3), 624–644. https://doi.org/10.1016/j.jfineco.2016.05.007</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 Pacific-Basin Finance Journal, 67,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 Heliyon, 10(17), e36537. https://doi.org/10.1016/j.heliyon.2024.e36537</w:t>
      </w:r>
    </w:p>
    <w:p>
      <w:pPr>
        <w:pStyle w:val="referenceitem"/>
      </w:pPr>
      <w:r>
        <w:rPr>
          <w:rFonts w:ascii="Times New Roman" w:hAnsi="Times New Roman" w:cs="Times New Roman" w:eastAsia="Times New Roman"/>
          <w:sz w:val="22"/>
          <w:szCs w:val="22"/>
        </w:rPr>
        <w:t xml:space="preserve">Cohen, J. (1988). Statistical power analysis for the behavioral sciences (2nd ed.). Lawrence Erlbaum Associates. https://doi.org/10.4324/9780203771587</w:t>
      </w:r>
    </w:p>
    <w:p>
      <w:pPr>
        <w:pStyle w:val="referenceitem"/>
      </w:pPr>
      <w:r>
        <w:rPr>
          <w:rFonts w:ascii="Times New Roman" w:hAnsi="Times New Roman" w:cs="Times New Roman" w:eastAsia="Times New Roman"/>
          <w:sz w:val="22"/>
          <w:szCs w:val="22"/>
        </w:rPr>
        <w:t xml:space="preserve">Corsetti, G., Pericoli, M., &amp; Sbracia, M. (2005).</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Some contagion, some interdependence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More pitfalls in tests of financial contagion. Journal of International Money and Finance, 24(8), 1177–1199. https://doi.org/10.1016/j.jimonfin.2005.08.012</w:t>
      </w:r>
    </w:p>
    <w:p>
      <w:pPr>
        <w:pStyle w:val="referenceitem"/>
      </w:pPr>
      <w:r>
        <w:rPr>
          <w:rFonts w:ascii="Times New Roman" w:hAnsi="Times New Roman" w:cs="Times New Roman" w:eastAsia="Times New Roman"/>
          <w:sz w:val="22"/>
          <w:szCs w:val="22"/>
        </w:rPr>
        <w:t xml:space="preserve">Cremers, K. J. M., &amp; Petajisto, A. (2009). How active is your fund manager? A new measure that predicts performance. The Review of Financial Studies, 22(9), 3329–3365. https://doi.org/10.1093/rfs/hhp057</w:t>
      </w:r>
    </w:p>
    <w:p>
      <w:pPr>
        <w:pStyle w:val="referenceitem"/>
      </w:pPr>
      <w:r>
        <w:rPr>
          <w:rFonts w:ascii="Times New Roman" w:hAnsi="Times New Roman" w:cs="Times New Roman" w:eastAsia="Times New Roman"/>
          <w:sz w:val="22"/>
          <w:szCs w:val="22"/>
        </w:rPr>
        <w:t xml:space="preserve">Cureton, E. E. (1966). Corrected item-test correlations. Psychometrika, 31(1), 93–96. https://doi.org/10.1007/BF02289461</w:t>
      </w:r>
    </w:p>
    <w:p>
      <w:pPr>
        <w:pStyle w:val="referenceitem"/>
      </w:pPr>
      <w:r>
        <w:rPr>
          <w:rFonts w:ascii="Times New Roman" w:hAnsi="Times New Roman" w:cs="Times New Roman" w:eastAsia="Times New Roman"/>
          <w:sz w:val="22"/>
          <w:szCs w:val="22"/>
        </w:rPr>
        <w:t xml:space="preserve">DeCoste, J. (2025). Comovement and S&amp;P 500 membership. Global Finance Journal, 65, 101110. https://doi.org/10.1016/j.gfj.2025.101110</w:t>
      </w:r>
    </w:p>
    <w:p>
      <w:pPr>
        <w:pStyle w:val="referenceitem"/>
      </w:pPr>
      <w:r>
        <w:rPr>
          <w:rFonts w:ascii="Times New Roman" w:hAnsi="Times New Roman" w:cs="Times New Roman" w:eastAsia="Times New Roman"/>
          <w:sz w:val="22"/>
          <w:szCs w:val="22"/>
        </w:rPr>
        <w:t xml:space="preserve">Diebold, F. X., &amp; Mariano, R. S. (1995). Comparing predictive accuracy. Journal of Business &amp; Economic Statistics, 13(3), 253–263. https://doi.org/10.1080/07350015.1995.10524599</w:t>
      </w:r>
    </w:p>
    <w:p>
      <w:pPr>
        <w:pStyle w:val="referenceitem"/>
      </w:pPr>
      <w:r>
        <w:rPr>
          <w:rFonts w:ascii="Times New Roman" w:hAnsi="Times New Roman" w:cs="Times New Roman" w:eastAsia="Times New Roman"/>
          <w:sz w:val="22"/>
          <w:szCs w:val="22"/>
        </w:rPr>
        <w:t xml:space="preserve">Ederington, L. H. (1979). The hedging performance of the new futures markets. The Journal of Finance, 34(1), 157–170. https://doi.org/10.1111/j.1540-6261.1979.tb02077.x</w:t>
      </w:r>
    </w:p>
    <w:p>
      <w:pPr>
        <w:pStyle w:val="referenceitem"/>
      </w:pPr>
      <w:r>
        <w:rPr>
          <w:rFonts w:ascii="Times New Roman" w:hAnsi="Times New Roman" w:cs="Times New Roman" w:eastAsia="Times New Roman"/>
          <w:sz w:val="22"/>
          <w:szCs w:val="22"/>
        </w:rPr>
        <w:t xml:space="preserve">Epps, T. W. (1979). Comovements in stock prices in the very short run. Journal of the American Statistical Association, 74(366),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 The Journal of Finance, 57(5), 2223–2261. https://doi.org/10.1111/0022-1082.00494</w:t>
      </w:r>
    </w:p>
    <w:p>
      <w:pPr>
        <w:pStyle w:val="referenceitem"/>
      </w:pPr>
      <w:r>
        <w:rPr>
          <w:rFonts w:ascii="Times New Roman" w:hAnsi="Times New Roman" w:cs="Times New Roman" w:eastAsia="Times New Roman"/>
          <w:sz w:val="22"/>
          <w:szCs w:val="22"/>
        </w:rPr>
        <w:t xml:space="preserve">FTSE Russell. (2025, October 7). FTSE Russell announces results of September 2025 semi-annual country classification review [Press release]. London Stock Exchange Group. https://www.lseg.com/en/media-centre/press-releases/ftse-russell/2025/ftse-russell-country-classification-september-2025</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 Chaos, Solitons &amp; Fractals, 145, 110731. https://doi.org/10.1016/j.chaos.2021.110731</w:t>
      </w:r>
    </w:p>
    <w:p>
      <w:pPr>
        <w:pStyle w:val="referenceitem"/>
      </w:pPr>
      <w:r>
        <w:rPr>
          <w:rFonts w:ascii="Times New Roman" w:hAnsi="Times New Roman" w:cs="Times New Roman" w:eastAsia="Times New Roman"/>
          <w:sz w:val="22"/>
          <w:szCs w:val="22"/>
        </w:rPr>
        <w:t xml:space="preserve">Government of Vietnam. (2020). Decree No. 155/2020/ND-CP of 31 December 2020 detailing and guiding the implementation of a number of articles of the Law on Securities. Hanoi.</w:t>
      </w:r>
    </w:p>
    <w:p>
      <w:pPr>
        <w:pStyle w:val="referenceitem"/>
      </w:pPr>
      <w:r>
        <w:rPr>
          <w:rFonts w:ascii="Times New Roman" w:hAnsi="Times New Roman" w:cs="Times New Roman" w:eastAsia="Times New Roman"/>
          <w:sz w:val="22"/>
          <w:szCs w:val="22"/>
        </w:rPr>
        <w:t xml:space="preserve">Government of Vietnam. (2025). Decree No. 245/2025/ND-CP of 11 September 2025 amending and supplementing a number of articles of Decree No. 155/2020/ND-CP. Hanoi.</w:t>
      </w:r>
    </w:p>
    <w:p>
      <w:pPr>
        <w:pStyle w:val="referenceitem"/>
      </w:pPr>
      <w:r>
        <w:rPr>
          <w:rFonts w:ascii="Times New Roman" w:hAnsi="Times New Roman" w:cs="Times New Roman" w:eastAsia="Times New Roman"/>
          <w:sz w:val="22"/>
          <w:szCs w:val="22"/>
        </w:rPr>
        <w:t xml:space="preserve">Greenwood, R. (2008). Excess comovement of stock returns: Evidence from cross-sectional variation in Nikkei 225 weights. The Review of Financial Studies, 21(3), 1153–1186. https://doi.org/10.1093/rfs/hhm052</w:t>
      </w:r>
    </w:p>
    <w:p>
      <w:pPr>
        <w:pStyle w:val="referenceitem"/>
      </w:pPr>
      <w:r>
        <w:rPr>
          <w:rFonts w:ascii="Times New Roman" w:hAnsi="Times New Roman" w:cs="Times New Roman" w:eastAsia="Times New Roman"/>
          <w:sz w:val="22"/>
          <w:szCs w:val="22"/>
        </w:rPr>
        <w:t xml:space="preserve">Greenwood, R., &amp; Sammon, M. (2025). The disappearing index effect. The Journal of Finance, 80(2),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 Physica A: Statistical Mechanics and its Applications, 574,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 International Review of Financial Analysis, 73, 101649. https://doi.org/10.1016/j.irfa.2020.101649</w:t>
      </w:r>
    </w:p>
    <w:p>
      <w:pPr>
        <w:pStyle w:val="referenceitem"/>
      </w:pPr>
      <w:r>
        <w:rPr>
          <w:rFonts w:ascii="Times New Roman" w:hAnsi="Times New Roman" w:cs="Times New Roman" w:eastAsia="Times New Roman"/>
          <w:sz w:val="22"/>
          <w:szCs w:val="22"/>
        </w:rPr>
        <w:t xml:space="preserve">Ho Chi Minh City Stock Exchange. (2022, September 29). Listing and official trading of DCVFMVNMIDCAP ETF fund certificates [Press release]. HOSE.</w:t>
      </w:r>
    </w:p>
    <w:p>
      <w:pPr>
        <w:pStyle w:val="referenceitem"/>
      </w:pPr>
      <w:r>
        <w:rPr>
          <w:rFonts w:ascii="Times New Roman" w:hAnsi="Times New Roman" w:cs="Times New Roman" w:eastAsia="Times New Roman"/>
          <w:sz w:val="22"/>
          <w:szCs w:val="22"/>
        </w:rPr>
        <w:t xml:space="preserve">Holm, S. (1979). A simple sequentially rejective multiple test procedure. Scandinavian Journal of Statistics, 6(2),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 The Journal of Finance, 54(6), 2143–2184. https://doi.org/10.1111/0022-1082.00184</w:t>
      </w:r>
    </w:p>
    <w:p>
      <w:pPr>
        <w:pStyle w:val="referenceitem"/>
      </w:pPr>
      <w:r>
        <w:rPr>
          <w:rFonts w:ascii="Times New Roman" w:hAnsi="Times New Roman" w:cs="Times New Roman" w:eastAsia="Times New Roman"/>
          <w:sz w:val="22"/>
          <w:szCs w:val="22"/>
        </w:rPr>
        <w:t xml:space="preserve">Hou, K. (2007). Industry information diffusion and the lead-lag effect in stock returns. The Review of Financial Studies, 20(4), 1113–1138. https://doi.org/10.1093/rfs/hhm003</w:t>
      </w:r>
    </w:p>
    <w:p>
      <w:pPr>
        <w:pStyle w:val="referenceitem"/>
      </w:pPr>
      <w:r>
        <w:rPr>
          <w:rFonts w:ascii="Times New Roman" w:hAnsi="Times New Roman" w:cs="Times New Roman" w:eastAsia="Times New Roman"/>
          <w:sz w:val="22"/>
          <w:szCs w:val="22"/>
        </w:rPr>
        <w:t xml:space="preserve">J.P. Morgan/Reuters. (1996). RiskMetrics: Technical document (4th ed.). Morgan Guaranty Trust Company.</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 Physical Review E, 84(1),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 Applied Economics Letters, 32(3),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 Physica A: Statistical Mechanics and its Applications, 316(1–4),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 Physica A: Statistical Mechanics and its Applications, 406,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 International Journal of Innovative Research and Scientific Studies, 8(4),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 Economic Modelling, 32,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 International Review of Financial Analysis, 83, 102330. https://doi.org/10.1016/j.irfa.2022.102330</w:t>
      </w:r>
    </w:p>
    <w:p>
      <w:pPr>
        <w:pStyle w:val="referenceitem"/>
      </w:pPr>
      <w:r>
        <w:rPr>
          <w:rFonts w:ascii="Times New Roman" w:hAnsi="Times New Roman" w:cs="Times New Roman" w:eastAsia="Times New Roman"/>
          <w:sz w:val="22"/>
          <w:szCs w:val="22"/>
        </w:rPr>
        <w:t xml:space="preserve">Lo, A. W., &amp; MacKinlay, A. C. (1990). When are contrarian profits due to stock market overreaction? The Review of Financial Studies, 3(2), 175–205. https://doi.org/10.1093/rfs/3.2.175</w:t>
      </w:r>
    </w:p>
    <w:p>
      <w:pPr>
        <w:pStyle w:val="referenceitem"/>
      </w:pPr>
      <w:r>
        <w:rPr>
          <w:rFonts w:ascii="Times New Roman" w:hAnsi="Times New Roman" w:cs="Times New Roman" w:eastAsia="Times New Roman"/>
          <w:sz w:val="22"/>
          <w:szCs w:val="22"/>
        </w:rPr>
        <w:t xml:space="preserve">Longin, F., &amp; Solnik, B. (2001). Extreme correlation of international equity markets. The Journal of Finance, 56(2), 649–676. https://doi.org/10.1111/0022-1082.00340</w:t>
      </w:r>
    </w:p>
    <w:p>
      <w:pPr>
        <w:pStyle w:val="referenceitem"/>
      </w:pPr>
      <w:r>
        <w:rPr>
          <w:rFonts w:ascii="Times New Roman" w:hAnsi="Times New Roman" w:cs="Times New Roman" w:eastAsia="Times New Roman"/>
          <w:sz w:val="22"/>
          <w:szCs w:val="22"/>
        </w:rPr>
        <w:t xml:space="preserve">Markowitz, H. (1952). Portfolio selection. The Journal of Finance, 7(1), 77–91. https://doi.org/10.1111/j.1540-6261.1952.tb01525.x</w:t>
      </w:r>
    </w:p>
    <w:p>
      <w:pPr>
        <w:pStyle w:val="referenceitem"/>
      </w:pPr>
      <w:r>
        <w:rPr>
          <w:rFonts w:ascii="Times New Roman" w:hAnsi="Times New Roman" w:cs="Times New Roman" w:eastAsia="Times New Roman"/>
          <w:sz w:val="22"/>
          <w:szCs w:val="22"/>
        </w:rPr>
        <w:t xml:space="preserve">Ministry of Finance of Vietnam. (2020). Circular No. 120/2020/TT-BTC of 31 December 2020 on trading of listed and registered shares, fund certificates, corporate bonds and covered warrants listed on the securities trading system. Hanoi.</w:t>
      </w:r>
    </w:p>
    <w:p>
      <w:pPr>
        <w:pStyle w:val="referenceitem"/>
      </w:pPr>
      <w:r>
        <w:rPr>
          <w:rFonts w:ascii="Times New Roman" w:hAnsi="Times New Roman" w:cs="Times New Roman" w:eastAsia="Times New Roman"/>
          <w:sz w:val="22"/>
          <w:szCs w:val="22"/>
        </w:rPr>
        <w:t xml:space="preserve">Newey, W. K., &amp; West, K. D. (1987). A simple, positive semi-definite, heteroskedasticity and autocorrelation consistent covariance matrix. Econometrica, 55(3), 703–708. https://doi.org/10.2307/1913610</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 Journal of Behavioral and Experimental Finance, 38,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 Finance Research Letters, 38,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 Physical Review E, 89(2), 022805. https://doi.org/10.1103/PhysRevE.89.022805</w:t>
      </w:r>
    </w:p>
    <w:p>
      <w:pPr>
        <w:pStyle w:val="referenceitem"/>
      </w:pPr>
      <w:r>
        <w:rPr>
          <w:rFonts w:ascii="Times New Roman" w:hAnsi="Times New Roman" w:cs="Times New Roman" w:eastAsia="Times New Roman"/>
          <w:sz w:val="22"/>
          <w:szCs w:val="22"/>
        </w:rPr>
        <w:t xml:space="preserve">Patton, A. J. (2011). Volatility forecast comparison using imperfect volatility proxies. Journal of Econometrics, 160(1), 246–256. https://doi.org/10.1016/j.jeconom.2010.03.034</w:t>
      </w:r>
    </w:p>
    <w:p>
      <w:pPr>
        <w:pStyle w:val="referenceitem"/>
      </w:pPr>
      <w:r>
        <w:rPr>
          <w:rFonts w:ascii="Times New Roman" w:hAnsi="Times New Roman" w:cs="Times New Roman" w:eastAsia="Times New Roman"/>
          <w:sz w:val="22"/>
          <w:szCs w:val="22"/>
        </w:rPr>
        <w:t xml:space="preserve">Pearson, K. (1897). Mathematical contributions to the theory of evolution.—On a form of spurious correlation which may arise when indices are used in the measurement of organs. Proceedings of the Royal Society of London, 60, 489–498. https://doi.org/10.1098/rspl.1896.0076</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 Physical Review E, 49(2),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 Physical Review E, 84(6),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 Physical Review Letters, 100(8),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 Journal of the American Statistical Association, 89(428), 1303–1313. https://doi.org/10.1080/01621459.1994.10476870</w:t>
      </w:r>
    </w:p>
    <w:p>
      <w:pPr>
        <w:pStyle w:val="referenceitem"/>
      </w:pPr>
      <w:r>
        <w:rPr>
          <w:rFonts w:ascii="Times New Roman" w:hAnsi="Times New Roman" w:cs="Times New Roman" w:eastAsia="Times New Roman"/>
          <w:sz w:val="22"/>
          <w:szCs w:val="22"/>
        </w:rPr>
        <w:t xml:space="preserve">Rigobon, R. (2003). Identification through heteroskedasticity. The Review of Economics and Statistics, 85(4), 777–792. https://doi.org/10.1162/003465303772815727</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 Sustainability, 15(5), 3945. https://doi.org/10.3390/su15053945</w:t>
      </w:r>
    </w:p>
    <w:p>
      <w:pPr>
        <w:pStyle w:val="referenceitem"/>
      </w:pPr>
      <w:r>
        <w:rPr>
          <w:rFonts w:ascii="Times New Roman" w:hAnsi="Times New Roman" w:cs="Times New Roman" w:eastAsia="Times New Roman"/>
          <w:sz w:val="22"/>
          <w:szCs w:val="22"/>
        </w:rPr>
        <w:t xml:space="preserve">Schuirmann, D. J. (1987). A comparison of the two one-sided tests procedure and the power approach for assessing the equivalence of average bioavailability. Journal of Pharmacokinetics and Biopharmaceutics, 15(6), 657–680. https://doi.org/10.1007/BF01068419</w:t>
      </w:r>
    </w:p>
    <w:p>
      <w:pPr>
        <w:pStyle w:val="referenceitem"/>
      </w:pPr>
      <w:r>
        <w:rPr>
          <w:rFonts w:ascii="Times New Roman" w:hAnsi="Times New Roman" w:cs="Times New Roman" w:eastAsia="Times New Roman"/>
          <w:sz w:val="22"/>
          <w:szCs w:val="22"/>
        </w:rPr>
        <w:t xml:space="preserve">Shapley, L. S. (1953). A value for n-person games. In H. W. Kuhn &amp; A. W. Tucker (Eds.), Contributions to the theory of games II (pp. 307–317). Princeton University Press. https://doi.org/10.1515/9781400881970-018</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 Empirical Economics, 60(3),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 VNU Journal of Economics and Business, 5(2), 51–59. https://doi.org/10.57110/vnu-jeb.v5i2.395</w:t>
      </w:r>
    </w:p>
    <w:p>
      <w:pPr>
        <w:pStyle w:val="referenceitem"/>
      </w:pPr>
      <w:r>
        <w:rPr>
          <w:rFonts w:ascii="Times New Roman" w:hAnsi="Times New Roman" w:cs="Times New Roman" w:eastAsia="Times New Roman"/>
          <w:sz w:val="22"/>
          <w:szCs w:val="22"/>
        </w:rPr>
        <w:t xml:space="preserve">Vietnam Securities Depository. (2015). Decision No. 211/QĐ-VSD of 18 December 2015 promulgating the Regulation on clearing and settlement of securities transactions. Hanoi.</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 Chaos, Solitons &amp; Fractals, 143,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 Physica A: Statistical Mechanics and its Applications, 390(4),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 Fractal and Fractional, 9(1),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 Physical Review E, 77(6), 066211. https://doi.org/10.1103/PhysRevE.77.066211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2026-10-10T08:07:47Z</dcterms:created>
  <dcterms:modified xsi:type="dcterms:W3CDTF">2026-10-10T08:07:47Z</dcterms:modified>
</cp:coreProperties>
</file>

<file path=docProps/custom.xml><?xml version="1.0" encoding="utf-8"?>
<Properties xmlns="http://schemas.openxmlformats.org/officeDocument/2006/custom-properties" xmlns:vt="http://schemas.openxmlformats.org/officeDocument/2006/docPropsVTypes"/>
</file>