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Constructed?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Van Trung</w:t>
      </w:r>
    </w:p>
    <w:p>
      <w:pPr>
        <w:pStyle w:val="Compact"/>
      </w:pPr>
      <w:r>
        <w:rPr>
          <w:sz w:val="20"/>
          <w:szCs w:val="20"/>
        </w:rPr>
        <w:t xml:space="preserve">National Economics University, Hanoi, Vietnam</w:t>
      </w:r>
    </w:p>
    <w:p>
      <w:pPr>
        <w:pStyle w:val="Compact"/>
      </w:pPr>
      <w:r>
        <w:rPr>
          <w:sz w:val="20"/>
          <w:szCs w:val="20"/>
        </w:rPr>
        <w:t xml:space="preserve">Email: kontrungcany@gmail.com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therefore,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therefore,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this problem; however,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this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the nested and purged coefficients is 0.099–0.104. Because κ hardly varies with the timescale (0.47–0.52), the Pearson version provides the same answer. Horizon dependence is confined to the auction bars of intraday broad-market pairs. Crisis evidence depends on whether contagion is measured by an adjusted correlation or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This evidence is contested: much of the post-inclusion rise also appears in matched stocks that were not added (Chen et al. 2016), and the S&amp;P 500 index effect has almost disappeared (Greenwood and Sammon 2025). Membership-based co-movement is therefore a weak guide, even where the indices do not overlap. Our concern is the arithmetic overlap, which raises correlations even if investors do not trade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the slow diffusion of industry information. Non-synchronous trading depresses short-horizon correlations (Epps 1979), an effect whose size depends on the sampling scheme (Chang et al. 2021), and gradual diffusion (Hong and Stein 1999) allows co-movement to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thus,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the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heteroscedasticity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index data. Multiscale studies of crises rarely use volatility-robust tests, and volatility-conditioned studies use one horizon and disjoint markets. To the best of our knowledge, no study has covered the Vietnamese index system at intraday and daily frequencies. We searched Google Scholar and publisher databases for 2021–2026, in addition to the classical sources cited in these works.</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is the sensitivity of the nested to the purged coefficient; and E3 is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therefore,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three chronological crisis episodes; dashed and dotted horizontal lines: 25th and 75th percentiles of rolling volatility. The 2021 and 2025 spikes are not shaded because their drawdowns are below 25% (Section 3.2). Source: Authors’ calculations based on the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the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therefore,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the VN30 and VN100 returns, respectively,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therefore,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therefore,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therefore, the overlap can only increase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requires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 drifts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the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heteroscedasticity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the coefficients at different scales come from the same series, all inference uses the stationary block bootstrap (Politis and Romano 1994) with mean blocks of approximately 20 trading days, recomputing every curve and statistic in each replicate. We use 499 replicates for the DCCA statistics in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95% percentile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increases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The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jointly resampling the full sample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for 2014–2022 and evaluate forecasts for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presents descriptive statistics and Table 3 presents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the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heteroscedasticity).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the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gray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the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and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approximately 0.09. Under weight uncertainty, the sensitivity interval is 0.07–0.17. With κ of 0.48–0.50, the remaining 32% of VN100 contributes approximately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is 0.895–0.900, because either factor alone produces a coefficient near 0.9. The Shapley split attributes 0.505–0.508 to overlap (intervals within 0.497–0.521). Weight uncertainty widens the Shapley intervals to 0.45–0.56 and the benchmark-first intervals to 0.83–0.95, against a sampling-only width of approximately 0.02; thus,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the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the Holm adjustment, with estimates of 0.0019–0.0024, a rise of approximately 0.01 across the reliable range. None is significant at 1D or H4; with the significant positive slopes at both frequencies that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intraday results.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results of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increases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this.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distinguish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presents the in-sample misstatement and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a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the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changed the conclusions. DMCA (Kristoufek 2014) satisfies the same identity, so it checks only the detrending, giving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the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the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that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therefore,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therefore,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it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 declares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Van Trung: Conceptualization, Data curation, Formal analysis, Investigation, Methodology, Software, Visualization, Writing – original draft, Writing – review &amp; editing.</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 used Claude (Anthropic) for language editing, reference searching and verification, translation of the analysis code into R and drafting of revisions, and Gemini (Google) to improve the language and readability of the manuscript. After using these tools, the author reviewed and edited the content as needed and takes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2026-10-13T08:29:35Z</dcterms:created>
  <dcterms:modified xsi:type="dcterms:W3CDTF">2026-10-13T08:29:35Z</dcterms:modified>
</cp:coreProperties>
</file>

<file path=docProps/custom.xml><?xml version="1.0" encoding="utf-8"?>
<Properties xmlns="http://schemas.openxmlformats.org/officeDocument/2006/custom-properties" xmlns:vt="http://schemas.openxmlformats.org/officeDocument/2006/docPropsVTypes"/>
</file>