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1a"/>
        <w:spacing w:before="0" w:after="120" w:line="300" w:lineRule="auto"/>
        <w:jc w:val="both"/>
      </w:pPr>
      <w:r>
        <w:rPr>
          <w:rFonts w:ascii="Times New Roman" w:hAnsi="Times New Roman" w:cs="Times New Roman" w:eastAsia="Times New Roman"/>
          <w:sz w:val="24"/>
          <w:szCs w:val="24"/>
        </w:rPr>
        <w:t xml:space="preserve">10 October 2026</w:t>
      </w:r>
    </w:p>
    <w:p>
      <w:pPr>
        <w:pStyle w:val="p1a"/>
        <w:spacing w:before="0" w:after="120" w:line="300" w:lineRule="auto"/>
        <w:jc w:val="both"/>
      </w:pPr>
      <w:r>
        <w:rPr>
          <w:rFonts w:ascii="Times New Roman" w:hAnsi="Times New Roman" w:cs="Times New Roman" w:eastAsia="Times New Roman"/>
          <w:sz w:val="24"/>
          <w:szCs w:val="24"/>
        </w:rPr>
        <w:t xml:space="preserve">The Editor-in-Chief</w:t>
      </w:r>
    </w:p>
    <w:p>
      <w:pPr>
        <w:pStyle w:val="p1a"/>
        <w:spacing w:before="0" w:after="120" w:line="300" w:lineRule="auto"/>
        <w:jc w:val="both"/>
      </w:pPr>
      <w:r>
        <w:rPr>
          <w:rFonts w:ascii="Times New Roman" w:hAnsi="Times New Roman" w:cs="Times New Roman" w:eastAsia="Times New Roman"/>
          <w:sz w:val="24"/>
          <w:szCs w:val="24"/>
        </w:rPr>
        <w:t xml:space="preserve">[JOURNAL NAME: to be completed by the authors]</w:t>
      </w:r>
    </w:p>
    <w:p>
      <w:pPr>
        <w:pStyle w:val="p1a"/>
        <w:spacing w:before="0" w:after="120" w:line="300" w:lineRule="auto"/>
        <w:jc w:val="both"/>
      </w:pPr>
      <w:r>
        <w:rPr>
          <w:rFonts w:ascii="Times New Roman" w:hAnsi="Times New Roman" w:cs="Times New Roman" w:eastAsia="Times New Roman"/>
          <w:bCs/>
          <w:b/>
          <w:sz w:val="24"/>
          <w:szCs w:val="24"/>
        </w:rPr>
        <w:t xml:space="preserve">Submission of manuscript:</w:t>
      </w:r>
      <w:r>
        <w:rPr>
          <w:rFonts w:ascii="Times New Roman" w:hAnsi="Times New Roman" w:cs="Times New Roman" w:eastAsia="Times New Roman"/>
          <w:bCs/>
          <w:b/>
          <w:sz w:val="24"/>
          <w:szCs w:val="24"/>
        </w:rPr>
        <w:t xml:space="preserve"> </w:t>
      </w:r>
      <w:r>
        <w:rPr>
          <w:rFonts w:ascii="Times New Roman" w:hAnsi="Times New Roman" w:cs="Times New Roman" w:eastAsia="Times New Roman"/>
          <w:bCs/>
          <w:b/>
          <w:sz w:val="24"/>
          <w:szCs w:val="24"/>
        </w:rPr>
        <w:t xml:space="preserve">“</w:t>
      </w:r>
      <w:r>
        <w:rPr>
          <w:rFonts w:ascii="Times New Roman" w:hAnsi="Times New Roman" w:cs="Times New Roman" w:eastAsia="Times New Roman"/>
          <w:bCs/>
          <w:b/>
          <w:sz w:val="24"/>
          <w:szCs w:val="24"/>
        </w:rPr>
        <w:t xml:space="preserve">How Much of a Nested Index Correlation Is Construction? A Scale-Wise Part–Whole Decomposition with Evidence from Vietnam</w:t>
      </w:r>
      <w:r>
        <w:rPr>
          <w:rFonts w:ascii="Times New Roman" w:hAnsi="Times New Roman" w:cs="Times New Roman" w:eastAsia="Times New Roman"/>
          <w:bCs/>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Dear Editor,</w:t>
      </w:r>
    </w:p>
    <w:p>
      <w:pPr>
        <w:pStyle w:val="p1a"/>
        <w:spacing w:before="0" w:after="120" w:line="300" w:lineRule="auto"/>
        <w:jc w:val="both"/>
      </w:pPr>
      <w:r>
        <w:rPr>
          <w:rFonts w:ascii="Times New Roman" w:hAnsi="Times New Roman" w:cs="Times New Roman" w:eastAsia="Times New Roman"/>
          <w:sz w:val="24"/>
          <w:szCs w:val="24"/>
        </w:rPr>
        <w:t xml:space="preserve">We submit the enclosed manuscript for consideration as an original research article in [JOURNAL NAME].</w:t>
      </w:r>
    </w:p>
    <w:p>
      <w:pPr>
        <w:pStyle w:val="p1a"/>
        <w:spacing w:before="0" w:after="120" w:line="300" w:lineRule="auto"/>
        <w:jc w:val="both"/>
      </w:pPr>
      <w:r>
        <w:rPr>
          <w:rFonts w:ascii="Times New Roman" w:hAnsi="Times New Roman" w:cs="Times New Roman" w:eastAsia="Times New Roman"/>
          <w:sz w:val="24"/>
          <w:szCs w:val="24"/>
        </w:rPr>
        <w:t xml:space="preserve">When one equity index contains another, part of their correlation is fixed by construction. The manuscript carries the classical part–whole correlation identity (Pearson 1897; Cureton 1966) over to detrended cross-correlation analysis and derives, at every timescale, a zero-correlation benchmark, an exact lower bound, the sensitivity of the nested coefficient to the overlap-purged coefficient and an order-free Shapley attribution. All of these can be computed from index-level inputs, and we provide a six-step recipe and a contour chart for other nested index families.</w:t>
      </w:r>
    </w:p>
    <w:p>
      <w:pPr>
        <w:pStyle w:val="p1a"/>
        <w:spacing w:before="0" w:after="120" w:line="300" w:lineRule="auto"/>
        <w:jc w:val="both"/>
      </w:pPr>
      <w:r>
        <w:rPr>
          <w:rFonts w:ascii="Times New Roman" w:hAnsi="Times New Roman" w:cs="Times New Roman" w:eastAsia="Times New Roman"/>
          <w:sz w:val="24"/>
          <w:szCs w:val="24"/>
        </w:rPr>
        <w:t xml:space="preserve">Applied to VN30, VN100 and VNINDEX on the Ho Chi Minh City Stock Exchange at 30-minute to daily frequencies, the VN30–VN100 coefficient responds to the purged coefficient with a slope of only 0.11–0.11. We then test four hypotheses with decision rules stated in advance of the reported tests: a material overlap gap (supported), intraday horizon dependence between tiers (partially supported), crisis contagion under Forbes–Rigobon and factor-model tests (mixed) and the out-of-sample value of regime-conditioned correlations (not supported). Inference uses a block bootstrap that also propagates uncertainty in the index weight, with multiplicity adjustment and equivalence tests. The R code that reproduces every number is provided as Online Resource 1, and further robustness checks are in Online Resource 2.</w:t>
      </w:r>
    </w:p>
    <w:p>
      <w:pPr>
        <w:pStyle w:val="p1a"/>
        <w:spacing w:before="0" w:after="120" w:line="300" w:lineRule="auto"/>
        <w:jc w:val="both"/>
      </w:pPr>
      <w:r>
        <w:rPr>
          <w:rFonts w:ascii="Times New Roman" w:hAnsi="Times New Roman" w:cs="Times New Roman" w:eastAsia="Times New Roman"/>
          <w:sz w:val="24"/>
          <w:szCs w:val="24"/>
        </w:rPr>
        <w:t xml:space="preserve">This manuscript is a substantially revised version of a manuscript declined by Asia-Pacific Financial Markets, whose editor found the earlier version to be mainly a statistical report. The revision positions the result against the part–whole literature, adds the analytical corollaries, hypotheses with explicit decision rules, volatility-robust contagion tests, an out-of-sample evaluation and a practitioner recipe. A response to the earlier comments is enclosed. The manuscript is not under consideration by another journal, and all authors approve its submission. The authors’ use of generative AI tools is described in the declaration placed before the references.</w:t>
      </w:r>
    </w:p>
    <w:p>
      <w:pPr>
        <w:pStyle w:val="p1a"/>
        <w:spacing w:before="0" w:after="120" w:line="300" w:lineRule="auto"/>
        <w:jc w:val="both"/>
      </w:pPr>
      <w:r>
        <w:rPr>
          <w:rFonts w:ascii="Times New Roman" w:hAnsi="Times New Roman" w:cs="Times New Roman" w:eastAsia="Times New Roman"/>
          <w:sz w:val="24"/>
          <w:szCs w:val="24"/>
        </w:rPr>
        <w:t xml:space="preserve">Sincerely,</w:t>
      </w:r>
    </w:p>
    <w:p>
      <w:pPr>
        <w:pStyle w:val="p1a"/>
        <w:spacing w:before="0" w:after="120" w:line="300" w:lineRule="auto"/>
        <w:jc w:val="both"/>
      </w:pPr>
      <w:r>
        <w:rPr>
          <w:rFonts w:ascii="Times New Roman" w:hAnsi="Times New Roman" w:cs="Times New Roman" w:eastAsia="Times New Roman"/>
          <w:sz w:val="24"/>
          <w:szCs w:val="24"/>
        </w:rPr>
        <w:t xml:space="preserve">Nguyen Van Trung (corresponding author), on behalf of all authors</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Academy of Policy and Development, Nam An Khanh Urban Area, Hoai Duc District, Hanoi, Vietnam</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 xml:space="preserve">Email: 15233582@st.neu.edu.vn; Tel: +84 355 347 831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2026-10-10T13:19:41Z</dcterms:created>
  <dcterms:modified xsi:type="dcterms:W3CDTF">2026-10-10T13:19:41Z</dcterms:modified>
</cp:coreProperties>
</file>

<file path=docProps/custom.xml><?xml version="1.0" encoding="utf-8"?>
<Properties xmlns="http://schemas.openxmlformats.org/officeDocument/2006/custom-properties" xmlns:vt="http://schemas.openxmlformats.org/officeDocument/2006/docPropsVTypes"/>
</file>