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148"/>
        <w:gridCol w:w="3439"/>
        <w:gridCol w:w="3772"/>
      </w:tblGrid>
      <w:tr>
        <w:trPr>
          <w:tblHeader w:val="true"/>
        </w:trPr>
        <w:tc>
          <w:tcPr>
            <w:tcW w:w="2148" w:type="dxa"/>
          </w:tcPr>
          <w:p>
            <w:pPr>
              <w:spacing w:before="0" w:after="0" w:line="240" w:lineRule="auto"/>
              <w:jc w:val="left"/>
            </w:pPr>
            <w:r>
              <w:rPr>
                <w:sz w:val="20"/>
                <w:szCs w:val="20"/>
              </w:rPr>
              <w:t xml:space="preserve">Step</w:t>
            </w:r>
          </w:p>
        </w:tc>
        <w:tc>
          <w:tcPr>
            <w:tcW w:w="3439" w:type="dxa"/>
          </w:tcPr>
          <w:p>
            <w:pPr>
              <w:spacing w:before="0" w:after="0" w:line="240" w:lineRule="auto"/>
              <w:jc w:val="left"/>
            </w:pPr>
            <w:r>
              <w:rPr>
                <w:sz w:val="20"/>
                <w:szCs w:val="20"/>
              </w:rPr>
              <w:t xml:space="preserve">Computation</w:t>
            </w:r>
          </w:p>
        </w:tc>
        <w:tc>
          <w:tcPr>
            <w:tcW w:w="3772" w:type="dxa"/>
          </w:tcPr>
          <w:p>
            <w:pPr>
              <w:spacing w:before="0" w:after="0" w:line="240" w:lineRule="auto"/>
              <w:jc w:val="left"/>
            </w:pPr>
            <w:r>
              <w:rPr>
                <w:sz w:val="20"/>
                <w:szCs w:val="20"/>
              </w:rPr>
              <w:t xml:space="preserve">VN30 in VN100, daily</w:t>
            </w:r>
          </w:p>
        </w:tc>
      </w:tr>
      <w:tr>
        <w:tc>
          <w:tcPr>
            <w:tcW w:w="2148" w:type="dxa"/>
          </w:tcPr>
          <w:p>
            <w:pPr>
              <w:spacing w:before="0" w:after="0" w:line="240" w:lineRule="auto"/>
              <w:jc w:val="left"/>
            </w:pPr>
            <w:r>
              <w:rPr>
                <w:sz w:val="20"/>
                <w:szCs w:val="20"/>
              </w:rPr>
              <w:t xml:space="preserve">1. Inputs</w:t>
            </w:r>
          </w:p>
        </w:tc>
        <w:tc>
          <w:tcPr>
            <w:tcW w:w="343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772"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148" w:type="dxa"/>
          </w:tcPr>
          <w:p>
            <w:pPr>
              <w:spacing w:before="0" w:after="0" w:line="240" w:lineRule="auto"/>
              <w:jc w:val="left"/>
            </w:pPr>
            <w:r>
              <w:rPr>
                <w:sz w:val="20"/>
                <w:szCs w:val="20"/>
              </w:rPr>
              <w:t xml:space="preserve">2. Remainder volatility</w:t>
            </w:r>
          </w:p>
        </w:tc>
        <w:tc>
          <w:tcPr>
            <w:tcW w:w="343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772"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148" w:type="dxa"/>
          </w:tcPr>
          <w:p>
            <w:pPr>
              <w:spacing w:before="0" w:after="0" w:line="240" w:lineRule="auto"/>
              <w:jc w:val="left"/>
            </w:pPr>
            <w:r>
              <w:rPr>
                <w:sz w:val="20"/>
                <w:szCs w:val="20"/>
              </w:rPr>
              <w:t xml:space="preserve">3. Relative amplitude</w:t>
            </w:r>
          </w:p>
        </w:tc>
        <w:tc>
          <w:tcPr>
            <w:tcW w:w="343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772" w:type="dxa"/>
          </w:tcPr>
          <w:p>
            <w:pPr>
              <w:spacing w:before="0" w:after="0" w:line="240" w:lineRule="auto"/>
              <w:jc w:val="left"/>
            </w:pPr>
            <w:r>
              <w:rPr>
                <w:sz w:val="20"/>
                <w:szCs w:val="20"/>
              </w:rPr>
              <w:t xml:space="preserve">κ = 0.475</w:t>
            </w:r>
          </w:p>
        </w:tc>
      </w:tr>
      <w:tr>
        <w:tc>
          <w:tcPr>
            <w:tcW w:w="2148" w:type="dxa"/>
          </w:tcPr>
          <w:p>
            <w:pPr>
              <w:spacing w:before="0" w:after="0" w:line="240" w:lineRule="auto"/>
              <w:jc w:val="left"/>
            </w:pPr>
            <w:r>
              <w:rPr>
                <w:sz w:val="20"/>
                <w:szCs w:val="20"/>
              </w:rPr>
              <w:t xml:space="preserve">4. Benchmark and bound</w:t>
            </w:r>
          </w:p>
        </w:tc>
        <w:tc>
          <w:tcPr>
            <w:tcW w:w="343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772" w:type="dxa"/>
          </w:tcPr>
          <w:p>
            <w:pPr>
              <w:spacing w:before="0" w:after="0" w:line="240" w:lineRule="auto"/>
              <w:jc w:val="left"/>
            </w:pPr>
            <w:r>
              <w:rPr>
                <w:sz w:val="20"/>
                <w:szCs w:val="20"/>
              </w:rPr>
              <w:t xml:space="preserve">ρ̲ = 0.903; bound 0.880</w:t>
            </w:r>
          </w:p>
        </w:tc>
      </w:tr>
      <w:tr>
        <w:tc>
          <w:tcPr>
            <w:tcW w:w="2148" w:type="dxa"/>
          </w:tcPr>
          <w:p>
            <w:pPr>
              <w:spacing w:before="0" w:after="0" w:line="240" w:lineRule="auto"/>
              <w:jc w:val="left"/>
            </w:pPr>
            <w:r>
              <w:rPr>
                <w:sz w:val="20"/>
                <w:szCs w:val="20"/>
              </w:rPr>
              <w:t xml:space="preserve">5. Purged coefficient</w:t>
            </w:r>
          </w:p>
        </w:tc>
        <w:tc>
          <w:tcPr>
            <w:tcW w:w="343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772"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148" w:type="dxa"/>
          </w:tcPr>
          <w:p>
            <w:pPr>
              <w:spacing w:before="0" w:after="0" w:line="240" w:lineRule="auto"/>
              <w:jc w:val="left"/>
            </w:pPr>
            <w:r>
              <w:rPr>
                <w:sz w:val="20"/>
                <w:szCs w:val="20"/>
              </w:rPr>
              <w:t xml:space="preserve">6. Sensitivity</w:t>
            </w:r>
          </w:p>
        </w:tc>
        <w:tc>
          <w:tcPr>
            <w:tcW w:w="3439" w:type="dxa"/>
          </w:tcPr>
          <w:p>
            <w:pPr>
              <w:spacing w:before="0" w:after="0" w:line="240" w:lineRule="auto"/>
              <w:jc w:val="left"/>
            </w:pPr>
            <w:r>
              <w:rPr>
                <w:sz w:val="20"/>
                <w:szCs w:val="20"/>
              </w:rPr>
              <w:t xml:space="preserve">Eq. (10)</w:t>
            </w:r>
          </w:p>
        </w:tc>
        <w:tc>
          <w:tcPr>
            <w:tcW w:w="3772"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15"/>
        <w:gridCol w:w="1760"/>
        <w:gridCol w:w="2499"/>
        <w:gridCol w:w="1328"/>
        <w:gridCol w:w="2059"/>
      </w:tblGrid>
      <w:tr>
        <w:trPr>
          <w:tblHeader w:val="true"/>
        </w:trPr>
        <w:tc>
          <w:tcPr>
            <w:tcW w:w="1715" w:type="dxa"/>
          </w:tcPr>
          <w:p>
            <w:pPr>
              <w:spacing w:before="0" w:after="0" w:line="240" w:lineRule="auto"/>
              <w:jc w:val="left"/>
            </w:pPr>
            <w:r>
              <w:rPr>
                <w:sz w:val="20"/>
                <w:szCs w:val="20"/>
              </w:rPr>
              <w:t xml:space="preserve">Item</w:t>
            </w:r>
          </w:p>
        </w:tc>
        <w:tc>
          <w:tcPr>
            <w:tcW w:w="1760" w:type="dxa"/>
          </w:tcPr>
          <w:p>
            <w:pPr>
              <w:spacing w:before="0" w:after="0" w:line="240" w:lineRule="auto"/>
              <w:jc w:val="left"/>
            </w:pPr>
            <w:r>
              <w:rPr>
                <w:sz w:val="20"/>
                <w:szCs w:val="20"/>
              </w:rPr>
              <w:t xml:space="preserve">Statistic</w:t>
            </w:r>
          </w:p>
        </w:tc>
        <w:tc>
          <w:tcPr>
            <w:tcW w:w="2499" w:type="dxa"/>
          </w:tcPr>
          <w:p>
            <w:pPr>
              <w:spacing w:before="0" w:after="0" w:line="240" w:lineRule="auto"/>
              <w:jc w:val="left"/>
            </w:pPr>
            <w:r>
              <w:rPr>
                <w:sz w:val="20"/>
                <w:szCs w:val="20"/>
              </w:rPr>
              <w:t xml:space="preserve">Evidence</w:t>
            </w:r>
          </w:p>
        </w:tc>
        <w:tc>
          <w:tcPr>
            <w:tcW w:w="1328" w:type="dxa"/>
          </w:tcPr>
          <w:p>
            <w:pPr>
              <w:spacing w:before="0" w:after="0" w:line="240" w:lineRule="auto"/>
              <w:jc w:val="left"/>
            </w:pPr>
            <w:r>
              <w:rPr>
                <w:sz w:val="20"/>
                <w:szCs w:val="20"/>
              </w:rPr>
              <w:t xml:space="preserve">Outcome</w:t>
            </w:r>
          </w:p>
        </w:tc>
        <w:tc>
          <w:tcPr>
            <w:tcW w:w="2059" w:type="dxa"/>
          </w:tcPr>
          <w:p>
            <w:pPr>
              <w:spacing w:before="0" w:after="0" w:line="240" w:lineRule="auto"/>
              <w:jc w:val="left"/>
            </w:pPr>
            <w:r>
              <w:rPr>
                <w:sz w:val="20"/>
                <w:szCs w:val="20"/>
              </w:rPr>
              <w:t xml:space="preserve">Comment</w:t>
            </w:r>
          </w:p>
        </w:tc>
      </w:tr>
      <w:tr>
        <w:tc>
          <w:tcPr>
            <w:tcW w:w="1715" w:type="dxa"/>
          </w:tcPr>
          <w:p>
            <w:pPr>
              <w:spacing w:before="0" w:after="0" w:line="240" w:lineRule="auto"/>
              <w:jc w:val="left"/>
            </w:pPr>
            <w:r>
              <w:rPr>
                <w:sz w:val="20"/>
                <w:szCs w:val="20"/>
              </w:rPr>
              <w:t xml:space="preserve">E1 Benchmark and attribution</w:t>
            </w:r>
          </w:p>
        </w:tc>
        <w:tc>
          <w:tcPr>
            <w:tcW w:w="1760" w:type="dxa"/>
          </w:tcPr>
          <w:p>
            <w:pPr>
              <w:spacing w:before="0" w:after="0" w:line="240" w:lineRule="auto"/>
              <w:jc w:val="left"/>
            </w:pPr>
            <w:r>
              <w:rPr>
                <w:sz w:val="20"/>
                <w:szCs w:val="20"/>
              </w:rPr>
              <w:t xml:space="preserve">ρ̲; Shapley share</w:t>
            </w:r>
          </w:p>
        </w:tc>
        <w:tc>
          <w:tcPr>
            <w:tcW w:w="2499" w:type="dxa"/>
          </w:tcPr>
          <w:p>
            <w:pPr>
              <w:spacing w:before="0" w:after="0" w:line="240" w:lineRule="auto"/>
              <w:jc w:val="left"/>
            </w:pPr>
            <w:r>
              <w:rPr>
                <w:sz w:val="20"/>
                <w:szCs w:val="20"/>
              </w:rPr>
              <w:t xml:space="preserve">ρ̲ 0.893–0.900; Shapley 0.505–0.508</w:t>
            </w:r>
          </w:p>
        </w:tc>
        <w:tc>
          <w:tcPr>
            <w:tcW w:w="1328" w:type="dxa"/>
          </w:tcPr>
          <w:p>
            <w:pPr>
              <w:spacing w:before="0" w:after="0" w:line="240" w:lineRule="auto"/>
              <w:jc w:val="left"/>
            </w:pPr>
            <w:r>
              <w:rPr>
                <w:sz w:val="20"/>
                <w:szCs w:val="20"/>
              </w:rPr>
              <w:t xml:space="preserve">Estimated (not a test)</w:t>
            </w:r>
          </w:p>
        </w:tc>
        <w:tc>
          <w:tcPr>
            <w:tcW w:w="2059" w:type="dxa"/>
          </w:tcPr>
          <w:p>
            <w:pPr>
              <w:spacing w:before="0" w:after="0" w:line="240" w:lineRule="auto"/>
              <w:jc w:val="left"/>
            </w:pPr>
            <w:r>
              <w:rPr>
                <w:sz w:val="20"/>
                <w:szCs w:val="20"/>
              </w:rPr>
              <w:t xml:space="preserve">Attribution depends mainly on the weight</w:t>
            </w:r>
          </w:p>
        </w:tc>
      </w:tr>
      <w:tr>
        <w:tc>
          <w:tcPr>
            <w:tcW w:w="1715" w:type="dxa"/>
          </w:tcPr>
          <w:p>
            <w:pPr>
              <w:spacing w:before="0" w:after="0" w:line="240" w:lineRule="auto"/>
              <w:jc w:val="left"/>
            </w:pPr>
            <w:r>
              <w:rPr>
                <w:sz w:val="20"/>
                <w:szCs w:val="20"/>
              </w:rPr>
              <w:t xml:space="preserve">E2 Sensitivity</w:t>
            </w:r>
          </w:p>
        </w:tc>
        <w:tc>
          <w:tcPr>
            <w:tcW w:w="1760" w:type="dxa"/>
          </w:tcPr>
          <w:p>
            <w:pPr>
              <w:spacing w:before="0" w:after="0" w:line="240" w:lineRule="auto"/>
              <w:jc w:val="left"/>
            </w:pPr>
            <w:r>
              <w:rPr>
                <w:sz w:val="20"/>
                <w:szCs w:val="20"/>
              </w:rPr>
              <w:t xml:space="preserve">Eq. (10)</w:t>
            </w:r>
          </w:p>
        </w:tc>
        <w:tc>
          <w:tcPr>
            <w:tcW w:w="2499" w:type="dxa"/>
          </w:tcPr>
          <w:p>
            <w:pPr>
              <w:spacing w:before="0" w:after="0" w:line="240" w:lineRule="auto"/>
              <w:jc w:val="left"/>
            </w:pPr>
            <w:r>
              <w:rPr>
                <w:sz w:val="20"/>
                <w:szCs w:val="20"/>
              </w:rPr>
              <w:t xml:space="preserve">0.106–0.112; with weight uncertainty 0.07–0.17</w:t>
            </w:r>
          </w:p>
        </w:tc>
        <w:tc>
          <w:tcPr>
            <w:tcW w:w="1328" w:type="dxa"/>
          </w:tcPr>
          <w:p>
            <w:pPr>
              <w:spacing w:before="0" w:after="0" w:line="240" w:lineRule="auto"/>
              <w:jc w:val="left"/>
            </w:pPr>
            <w:r>
              <w:rPr>
                <w:sz w:val="20"/>
                <w:szCs w:val="20"/>
              </w:rPr>
              <w:t xml:space="preserve">Estimated (not a test)</w:t>
            </w:r>
          </w:p>
        </w:tc>
        <w:tc>
          <w:tcPr>
            <w:tcW w:w="2059" w:type="dxa"/>
          </w:tcPr>
          <w:p>
            <w:pPr>
              <w:spacing w:before="0" w:after="0" w:line="240" w:lineRule="auto"/>
              <w:jc w:val="left"/>
            </w:pPr>
            <w:r>
              <w:rPr>
                <w:sz w:val="20"/>
                <w:szCs w:val="20"/>
              </w:rPr>
              <w:t xml:space="preserve">Damping factor of about ten</w:t>
            </w:r>
          </w:p>
        </w:tc>
      </w:tr>
      <w:tr>
        <w:tc>
          <w:tcPr>
            <w:tcW w:w="1715" w:type="dxa"/>
          </w:tcPr>
          <w:p>
            <w:pPr>
              <w:spacing w:before="0" w:after="0" w:line="240" w:lineRule="auto"/>
              <w:jc w:val="left"/>
            </w:pPr>
            <w:r>
              <w:rPr>
                <w:sz w:val="20"/>
                <w:szCs w:val="20"/>
              </w:rPr>
              <w:t xml:space="preserve">E3 In-sample misstatement</w:t>
            </w:r>
          </w:p>
        </w:tc>
        <w:tc>
          <w:tcPr>
            <w:tcW w:w="1760" w:type="dxa"/>
          </w:tcPr>
          <w:p>
            <w:pPr>
              <w:spacing w:before="0" w:after="0" w:line="240" w:lineRule="auto"/>
              <w:jc w:val="left"/>
            </w:pPr>
            <w:r>
              <w:rPr>
                <w:sz w:val="20"/>
                <w:szCs w:val="20"/>
              </w:rPr>
              <w:t xml:space="preserve">RE, Eq. (16)</w:t>
            </w:r>
          </w:p>
        </w:tc>
        <w:tc>
          <w:tcPr>
            <w:tcW w:w="249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8" w:type="dxa"/>
          </w:tcPr>
          <w:p>
            <w:pPr>
              <w:spacing w:before="0" w:after="0" w:line="240" w:lineRule="auto"/>
              <w:jc w:val="left"/>
            </w:pPr>
            <w:r>
              <w:rPr>
                <w:sz w:val="20"/>
                <w:szCs w:val="20"/>
              </w:rPr>
              <w:t xml:space="preserve">Estimated (not a test)</w:t>
            </w:r>
          </w:p>
        </w:tc>
        <w:tc>
          <w:tcPr>
            <w:tcW w:w="2059" w:type="dxa"/>
          </w:tcPr>
          <w:p>
            <w:pPr>
              <w:spacing w:before="0" w:after="0" w:line="240" w:lineRule="auto"/>
              <w:jc w:val="left"/>
            </w:pPr>
            <w:r>
              <w:rPr>
                <w:sz w:val="20"/>
                <w:szCs w:val="20"/>
              </w:rPr>
              <w:t xml:space="preserve">Sign pattern expected from pooling</w:t>
            </w:r>
          </w:p>
        </w:tc>
      </w:tr>
      <w:tr>
        <w:tc>
          <w:tcPr>
            <w:tcW w:w="1715" w:type="dxa"/>
          </w:tcPr>
          <w:p>
            <w:pPr>
              <w:spacing w:before="0" w:after="0" w:line="240" w:lineRule="auto"/>
              <w:jc w:val="left"/>
            </w:pPr>
            <w:r>
              <w:rPr>
                <w:sz w:val="20"/>
                <w:szCs w:val="20"/>
              </w:rPr>
              <w:t xml:space="preserve">H1 Material overlap gap</w:t>
            </w:r>
          </w:p>
        </w:tc>
        <w:tc>
          <w:tcPr>
            <w:tcW w:w="1760" w:type="dxa"/>
          </w:tcPr>
          <w:p>
            <w:pPr>
              <w:spacing w:before="0" w:after="0" w:line="240" w:lineRule="auto"/>
              <w:jc w:val="left"/>
            </w:pPr>
            <w:r>
              <w:rPr>
                <w:sz w:val="20"/>
                <w:szCs w:val="20"/>
              </w:rPr>
              <w:t xml:space="preserve">Like-for-like gap; lower CI &gt; 0.05</w:t>
            </w:r>
          </w:p>
        </w:tc>
        <w:tc>
          <w:tcPr>
            <w:tcW w:w="2499" w:type="dxa"/>
          </w:tcPr>
          <w:p>
            <w:pPr>
              <w:spacing w:before="0" w:after="0" w:line="240" w:lineRule="auto"/>
              <w:jc w:val="left"/>
            </w:pPr>
            <w:r>
              <w:rPr>
                <w:sz w:val="20"/>
                <w:szCs w:val="20"/>
              </w:rPr>
              <w:t xml:space="preserve">Gap 0.099–0.104; lower CI ≥ 0.084</w:t>
            </w:r>
          </w:p>
        </w:tc>
        <w:tc>
          <w:tcPr>
            <w:tcW w:w="1328" w:type="dxa"/>
          </w:tcPr>
          <w:p>
            <w:pPr>
              <w:spacing w:before="0" w:after="0" w:line="240" w:lineRule="auto"/>
              <w:jc w:val="left"/>
            </w:pPr>
            <w:r>
              <w:rPr>
                <w:sz w:val="20"/>
                <w:szCs w:val="20"/>
              </w:rPr>
              <w:t xml:space="preserve">Supported</w:t>
            </w:r>
          </w:p>
        </w:tc>
        <w:tc>
          <w:tcPr>
            <w:tcW w:w="2059" w:type="dxa"/>
          </w:tcPr>
          <w:p>
            <w:pPr>
              <w:spacing w:before="0" w:after="0" w:line="240" w:lineRule="auto"/>
              <w:jc w:val="left"/>
            </w:pPr>
            <w:r>
              <w:rPr>
                <w:sz w:val="20"/>
                <w:szCs w:val="20"/>
              </w:rPr>
              <w:t xml:space="preserve">Holds under weight uncertainty</w:t>
            </w:r>
          </w:p>
        </w:tc>
      </w:tr>
      <w:tr>
        <w:tc>
          <w:tcPr>
            <w:tcW w:w="1715" w:type="dxa"/>
          </w:tcPr>
          <w:p>
            <w:pPr>
              <w:spacing w:before="0" w:after="0" w:line="240" w:lineRule="auto"/>
              <w:jc w:val="left"/>
            </w:pPr>
            <w:r>
              <w:rPr>
                <w:sz w:val="20"/>
                <w:szCs w:val="20"/>
              </w:rPr>
              <w:t xml:space="preserve">H2 Horizon dependence</w:t>
            </w:r>
          </w:p>
        </w:tc>
        <w:tc>
          <w:tcPr>
            <w:tcW w:w="1760" w:type="dxa"/>
          </w:tcPr>
          <w:p>
            <w:pPr>
              <w:spacing w:before="0" w:after="0" w:line="240" w:lineRule="auto"/>
              <w:jc w:val="left"/>
            </w:pPr>
            <w:r>
              <w:rPr>
                <w:sz w:val="20"/>
                <w:szCs w:val="20"/>
              </w:rPr>
              <w:t xml:space="preserve">Studentized slopes; Holm (H2 family); TOST</w:t>
            </w:r>
          </w:p>
        </w:tc>
        <w:tc>
          <w:tcPr>
            <w:tcW w:w="2499" w:type="dxa"/>
          </w:tcPr>
          <w:p>
            <w:pPr>
              <w:spacing w:before="0" w:after="0" w:line="240" w:lineRule="auto"/>
              <w:jc w:val="left"/>
            </w:pPr>
            <w:r>
              <w:rPr>
                <w:sz w:val="20"/>
                <w:szCs w:val="20"/>
              </w:rPr>
              <w:t xml:space="preserve">4 of 8 broad-market slopes significant, all intraday; VN30–VN100 equivalent to zero at M30, H1</w:t>
            </w:r>
          </w:p>
        </w:tc>
        <w:tc>
          <w:tcPr>
            <w:tcW w:w="1328" w:type="dxa"/>
          </w:tcPr>
          <w:p>
            <w:pPr>
              <w:spacing w:before="0" w:after="0" w:line="240" w:lineRule="auto"/>
              <w:jc w:val="left"/>
            </w:pPr>
            <w:r>
              <w:rPr>
                <w:sz w:val="20"/>
                <w:szCs w:val="20"/>
              </w:rPr>
              <w:t xml:space="preserve">Supported</w:t>
            </w:r>
          </w:p>
        </w:tc>
        <w:tc>
          <w:tcPr>
            <w:tcW w:w="2059" w:type="dxa"/>
          </w:tcPr>
          <w:p>
            <w:pPr>
              <w:spacing w:before="0" w:after="0" w:line="240" w:lineRule="auto"/>
              <w:jc w:val="left"/>
            </w:pPr>
            <w:r>
              <w:rPr>
                <w:sz w:val="20"/>
                <w:szCs w:val="20"/>
              </w:rPr>
              <w:t xml:space="preserve">Not robust: vanishes without the auction bars</w:t>
            </w:r>
          </w:p>
        </w:tc>
      </w:tr>
      <w:tr>
        <w:tc>
          <w:tcPr>
            <w:tcW w:w="1715" w:type="dxa"/>
          </w:tcPr>
          <w:p>
            <w:pPr>
              <w:spacing w:before="0" w:after="0" w:line="240" w:lineRule="auto"/>
              <w:jc w:val="left"/>
            </w:pPr>
            <w:r>
              <w:rPr>
                <w:sz w:val="20"/>
                <w:szCs w:val="20"/>
              </w:rPr>
              <w:t xml:space="preserve">H3 Contagion</w:t>
            </w:r>
          </w:p>
        </w:tc>
        <w:tc>
          <w:tcPr>
            <w:tcW w:w="1760" w:type="dxa"/>
          </w:tcPr>
          <w:p>
            <w:pPr>
              <w:spacing w:before="0" w:after="0" w:line="240" w:lineRule="auto"/>
              <w:jc w:val="left"/>
            </w:pPr>
            <w:r>
              <w:rPr>
                <w:sz w:val="20"/>
                <w:szCs w:val="20"/>
              </w:rPr>
              <w:t xml:space="preserve">FR adjustment and Δβ, VN30 regimes</w:t>
            </w:r>
          </w:p>
        </w:tc>
        <w:tc>
          <w:tcPr>
            <w:tcW w:w="2499" w:type="dxa"/>
          </w:tcPr>
          <w:p>
            <w:pPr>
              <w:spacing w:before="0" w:after="0" w:line="240" w:lineRule="auto"/>
              <w:jc w:val="left"/>
            </w:pPr>
            <w:r>
              <w:rPr>
                <w:sz w:val="20"/>
                <w:szCs w:val="20"/>
              </w:rPr>
              <w:t xml:space="preserve">FR p = 0.998; Δβ = 0.210, p &lt; 0.001</w:t>
            </w:r>
          </w:p>
        </w:tc>
        <w:tc>
          <w:tcPr>
            <w:tcW w:w="1328" w:type="dxa"/>
          </w:tcPr>
          <w:p>
            <w:pPr>
              <w:spacing w:before="0" w:after="0" w:line="240" w:lineRule="auto"/>
              <w:jc w:val="left"/>
            </w:pPr>
            <w:r>
              <w:rPr>
                <w:sz w:val="20"/>
                <w:szCs w:val="20"/>
              </w:rPr>
              <w:t xml:space="preserve">Not supported</w:t>
            </w:r>
          </w:p>
        </w:tc>
        <w:tc>
          <w:tcPr>
            <w:tcW w:w="2059" w:type="dxa"/>
          </w:tcPr>
          <w:p>
            <w:pPr>
              <w:spacing w:before="0" w:after="0" w:line="240" w:lineRule="auto"/>
              <w:jc w:val="left"/>
            </w:pPr>
            <w:r>
              <w:rPr>
                <w:sz w:val="20"/>
                <w:szCs w:val="20"/>
              </w:rPr>
              <w:t xml:space="preserve">Loading rises on high-volatility days; residual variance rises too</w:t>
            </w:r>
          </w:p>
        </w:tc>
      </w:tr>
      <w:tr>
        <w:tc>
          <w:tcPr>
            <w:tcW w:w="1715" w:type="dxa"/>
          </w:tcPr>
          <w:p>
            <w:pPr>
              <w:spacing w:before="0" w:after="0" w:line="240" w:lineRule="auto"/>
              <w:jc w:val="left"/>
            </w:pPr>
            <w:r>
              <w:rPr>
                <w:sz w:val="20"/>
                <w:szCs w:val="20"/>
              </w:rPr>
              <w:t xml:space="preserve">H4 Value of regime conditioning</w:t>
            </w:r>
          </w:p>
        </w:tc>
        <w:tc>
          <w:tcPr>
            <w:tcW w:w="1760" w:type="dxa"/>
          </w:tcPr>
          <w:p>
            <w:pPr>
              <w:spacing w:before="0" w:after="0" w:line="240" w:lineRule="auto"/>
              <w:jc w:val="left"/>
            </w:pPr>
            <w:r>
              <w:rPr>
                <w:sz w:val="20"/>
                <w:szCs w:val="20"/>
              </w:rPr>
              <w:t xml:space="preserve">QLIKE; Diebold–Mariano</w:t>
            </w:r>
          </w:p>
        </w:tc>
        <w:tc>
          <w:tcPr>
            <w:tcW w:w="2499" w:type="dxa"/>
          </w:tcPr>
          <w:p>
            <w:pPr>
              <w:spacing w:before="0" w:after="0" w:line="240" w:lineRule="auto"/>
              <w:jc w:val="left"/>
            </w:pPr>
            <w:r>
              <w:rPr>
                <w:sz w:val="20"/>
                <w:szCs w:val="20"/>
              </w:rPr>
              <w:t xml:space="preserve">Static lowest for all pairs; p 0.07–0.18</w:t>
            </w:r>
          </w:p>
        </w:tc>
        <w:tc>
          <w:tcPr>
            <w:tcW w:w="1328" w:type="dxa"/>
          </w:tcPr>
          <w:p>
            <w:pPr>
              <w:spacing w:before="0" w:after="0" w:line="240" w:lineRule="auto"/>
              <w:jc w:val="left"/>
            </w:pPr>
            <w:r>
              <w:rPr>
                <w:sz w:val="20"/>
                <w:szCs w:val="20"/>
              </w:rPr>
              <w:t xml:space="preserve">Not supported</w:t>
            </w:r>
          </w:p>
        </w:tc>
        <w:tc>
          <w:tcPr>
            <w:tcW w:w="2059"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2026-10-10T13:19:39Z</dcterms:created>
  <dcterms:modified xsi:type="dcterms:W3CDTF">2026-10-10T13:19:39Z</dcterms:modified>
</cp:coreProperties>
</file>

<file path=docProps/custom.xml><?xml version="1.0" encoding="utf-8"?>
<Properties xmlns="http://schemas.openxmlformats.org/officeDocument/2006/custom-properties" xmlns:vt="http://schemas.openxmlformats.org/officeDocument/2006/docPropsVTypes"/>
</file>