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23.png" ContentType="image/png"/>
  <Override PartName="/word/media/rId26.png" ContentType="image/png"/>
  <Override PartName="/word/media/rId29.png" ContentType="image/png"/>
  <Override PartName="/word/media/image1.png" ContentType="image/png"/>
  <Override PartName="/word/media/image2.png" ContentType="image/png"/>
  <Override PartName="/word/media/image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rPr>
          <w:rFonts w:ascii="Times New Roman" w:hAnsi="Times New Roman" w:cs="Times New Roman" w:eastAsia="Times New Roman"/>
          <w:b/>
          <w:sz w:val="32"/>
          <w:szCs w:val="32"/>
        </w:rPr>
        <w:t xml:space="preserve">How Much of a Nested Index Correlation Is Construction? A Scale-Wise Part–Whole Decomposition with Evidence from Vietnam</w:t>
      </w:r>
    </w:p>
    <w:p>
      <w:pPr>
        <w:pStyle w:val="p1a"/>
        <w:spacing w:before="0" w:after="120" w:line="300" w:lineRule="auto"/>
        <w:jc w:val="both"/>
      </w:pPr>
      <w:r>
        <w:rPr>
          <w:rFonts w:ascii="Times New Roman" w:hAnsi="Times New Roman" w:cs="Times New Roman" w:eastAsia="Times New Roman"/>
          <w:sz w:val="24"/>
          <w:szCs w:val="24"/>
        </w:rPr>
        <w:t xml:space="preserve">Nguyen Thanh Binh</w:t>
      </w:r>
      <w:r>
        <w:rPr>
          <w:rFonts w:ascii="Times New Roman" w:hAnsi="Times New Roman" w:cs="Times New Roman" w:eastAsia="Times New Roman"/>
          <w:vertAlign w:val="superscript"/>
          <w:sz w:val="24"/>
          <w:szCs w:val="24"/>
        </w:rPr>
        <w:t xml:space="preserve">a</w:t>
      </w:r>
      <w:r>
        <w:rPr>
          <w:rFonts w:ascii="Times New Roman" w:hAnsi="Times New Roman" w:cs="Times New Roman" w:eastAsia="Times New Roman"/>
          <w:sz w:val="24"/>
          <w:szCs w:val="24"/>
        </w:rPr>
        <w:t xml:space="preserve">, Nguyen Van Trung</w:t>
      </w:r>
      <w:r>
        <w:rPr>
          <w:rFonts w:ascii="Times New Roman" w:hAnsi="Times New Roman" w:cs="Times New Roman" w:eastAsia="Times New Roman"/>
          <w:vertAlign w:val="superscript"/>
          <w:sz w:val="24"/>
          <w:szCs w:val="24"/>
        </w:rPr>
        <w:t xml:space="preserve">a,*</w:t>
      </w:r>
      <w:r>
        <w:rPr>
          <w:rFonts w:ascii="Times New Roman" w:hAnsi="Times New Roman" w:cs="Times New Roman" w:eastAsia="Times New Roman"/>
          <w:sz w:val="24"/>
          <w:szCs w:val="24"/>
        </w:rPr>
        <w:t xml:space="preserve">, Ha Hong Hanh</w:t>
      </w:r>
      <w:r>
        <w:rPr>
          <w:rFonts w:ascii="Times New Roman" w:hAnsi="Times New Roman" w:cs="Times New Roman" w:eastAsia="Times New Roman"/>
          <w:vertAlign w:val="superscript"/>
          <w:sz w:val="24"/>
          <w:szCs w:val="24"/>
        </w:rPr>
        <w:t xml:space="preserve">b</w:t>
      </w:r>
      <w:r>
        <w:rPr>
          <w:rFonts w:ascii="Times New Roman" w:hAnsi="Times New Roman" w:cs="Times New Roman" w:eastAsia="Times New Roman"/>
          <w:sz w:val="24"/>
          <w:szCs w:val="24"/>
        </w:rPr>
        <w:t xml:space="preserve">, Nguyen Bach Diep</w:t>
      </w:r>
      <w:r>
        <w:rPr>
          <w:rFonts w:ascii="Times New Roman" w:hAnsi="Times New Roman" w:cs="Times New Roman" w:eastAsia="Times New Roman"/>
          <w:vertAlign w:val="superscript"/>
          <w:sz w:val="24"/>
          <w:szCs w:val="24"/>
        </w:rPr>
        <w:t xml:space="preserve">a</w:t>
      </w:r>
    </w:p>
    <w:p>
      <w:pPr>
        <w:pStyle w:val="Compact"/>
      </w:pPr>
      <w:r>
        <w:rPr>
          <w:vertAlign w:val="superscript"/>
          <w:sz w:val="20"/>
          <w:szCs w:val="20"/>
        </w:rPr>
        <w:t xml:space="preserve">a</w:t>
      </w:r>
      <w:r>
        <w:rPr>
          <w:sz w:val="20"/>
          <w:szCs w:val="20"/>
        </w:rPr>
        <w:t xml:space="preserve"> </w:t>
      </w:r>
      <w:r>
        <w:rPr>
          <w:sz w:val="20"/>
          <w:szCs w:val="20"/>
        </w:rPr>
        <w:t xml:space="preserve">Academy of Policy and Development, Nam An Khanh Urban Area, Hoai Duc District, Hanoi, Vietnam</w:t>
      </w:r>
    </w:p>
    <w:p>
      <w:pPr>
        <w:pStyle w:val="Compact"/>
      </w:pPr>
      <w:r>
        <w:rPr>
          <w:vertAlign w:val="superscript"/>
          <w:sz w:val="20"/>
          <w:szCs w:val="20"/>
        </w:rPr>
        <w:t xml:space="preserve">b</w:t>
      </w:r>
      <w:r>
        <w:rPr>
          <w:sz w:val="20"/>
          <w:szCs w:val="20"/>
        </w:rPr>
        <w:t xml:space="preserve"> </w:t>
      </w:r>
      <w:r>
        <w:rPr>
          <w:sz w:val="20"/>
          <w:szCs w:val="20"/>
        </w:rPr>
        <w:t xml:space="preserve">School of Accounting and Auditing, National Economics University, Hanoi, Vietnam</w:t>
      </w:r>
    </w:p>
    <w:p>
      <w:pPr>
        <w:pStyle w:val="Compact"/>
      </w:pPr>
      <w:r>
        <w:rPr>
          <w:sz w:val="20"/>
          <w:szCs w:val="20"/>
        </w:rPr>
        <w:t xml:space="preserve">* Corresponding author: Nguyen Van Trung, Academy of Policy and Development, Hanoi, Vietnam. Email: 15233582@st.neu.edu.vn. Tel: +84 355 347 831.</w:t>
      </w:r>
    </w:p>
    <w:p>
      <w:pPr>
        <w:pStyle w:val="abstract0"/>
      </w:pPr>
      <w:r>
        <w:rPr>
          <w:rFonts w:ascii="Times New Roman" w:hAnsi="Times New Roman" w:cs="Times New Roman" w:eastAsia="Times New Roman"/>
          <w:bCs/>
          <w:b/>
          <w:sz w:val="22"/>
          <w:szCs w:val="22"/>
        </w:rPr>
        <w:t xml:space="preserve">Abstract</w:t>
      </w:r>
      <w:r>
        <w:rPr>
          <w:rFonts w:ascii="Times New Roman" w:hAnsi="Times New Roman" w:cs="Times New Roman" w:eastAsia="Times New Roman"/>
          <w:sz w:val="22"/>
          <w:szCs w:val="22"/>
        </w:rPr>
        <w:t xml:space="preserve"> </w:t>
      </w:r>
      <w:r>
        <w:rPr>
          <w:rFonts w:ascii="Times New Roman" w:hAnsi="Times New Roman" w:cs="Times New Roman" w:eastAsia="Times New Roman"/>
          <w:sz w:val="22"/>
          <w:szCs w:val="22"/>
        </w:rPr>
        <w:t xml:space="preserve">When one equity index contains another, part of their correlation is fixed by construction. We extend the classical part–whole correlation identity to detrended cross-correlation analysis (DCCA). At every timescale, the coefficient between a parent and a child index is then a closed-form function of the child’s weight, the relative amplitude of the remaining constituents and the overlap-purged coefficient between the child and those constituents. The identity yields a zero-correlation benchmark, an exact lower bound, the sensitivity of the nested coefficient to the purged coefficient and an order-free attribution, and it requires only index-level inputs. On the Ho Chi Minh City Stock Exchange (VN30 within VN100 within VNINDEX, 30-minute to daily data, 2014–2025), the VN30–VN100 coefficient moves by only about 0.11 per unit change in the purged coefficient. Purging the overlap lowers the correlation with large caps by about 0.10 at every frequency. The decomposition barely varies across scales and frequencies, so its Pearson version suffices in these data. The small intraday horizon dependence of broad-market pairs comes from the opening and closing auction bars. Evidence of crisis contagion depends on the test used, and regime-conditioned correlations do not improve out-of-sample portfolio variance forecasts. Correlations between nested indices therefore say little about diversification between size tiers unless the overlap is removed first.</w:t>
      </w:r>
    </w:p>
    <w:p>
      <w:pPr>
        <w:pStyle w:val="keywords"/>
      </w:pPr>
      <w:r>
        <w:rPr>
          <w:rFonts w:ascii="Times New Roman" w:hAnsi="Times New Roman" w:cs="Times New Roman" w:eastAsia="Times New Roman"/>
          <w:bCs/>
          <w:b/>
          <w:sz w:val="22"/>
          <w:szCs w:val="22"/>
        </w:rPr>
        <w:t xml:space="preserve">Keywords</w:t>
      </w:r>
      <w:r>
        <w:rPr>
          <w:rFonts w:ascii="Times New Roman" w:hAnsi="Times New Roman" w:cs="Times New Roman" w:eastAsia="Times New Roman"/>
          <w:sz w:val="22"/>
          <w:szCs w:val="22"/>
        </w:rPr>
        <w:t xml:space="preserve"> </w:t>
      </w:r>
      <w:r>
        <w:rPr>
          <w:rFonts w:ascii="Times New Roman" w:hAnsi="Times New Roman" w:cs="Times New Roman" w:eastAsia="Times New Roman"/>
          <w:sz w:val="22"/>
          <w:szCs w:val="22"/>
        </w:rPr>
        <w:t xml:space="preserve">constituent overlap; detrended cross-correlation; part–whole correlation; contagion; portfolio risk; Vietnam</w:t>
      </w:r>
    </w:p>
    <w:p>
      <w:pPr>
        <w:pStyle w:val="keywords"/>
      </w:pPr>
      <w:r>
        <w:rPr>
          <w:rFonts w:ascii="Times New Roman" w:hAnsi="Times New Roman" w:cs="Times New Roman" w:eastAsia="Times New Roman"/>
          <w:bCs/>
          <w:b/>
          <w:sz w:val="22"/>
          <w:szCs w:val="22"/>
        </w:rPr>
        <w:t xml:space="preserve">JEL Classification</w:t>
      </w:r>
      <w:r>
        <w:rPr>
          <w:rFonts w:ascii="Times New Roman" w:hAnsi="Times New Roman" w:cs="Times New Roman" w:eastAsia="Times New Roman"/>
          <w:sz w:val="22"/>
          <w:szCs w:val="22"/>
        </w:rPr>
        <w:t xml:space="preserve"> </w:t>
      </w:r>
      <w:r>
        <w:rPr>
          <w:rFonts w:ascii="Times New Roman" w:hAnsi="Times New Roman" w:cs="Times New Roman" w:eastAsia="Times New Roman"/>
          <w:sz w:val="22"/>
          <w:szCs w:val="22"/>
        </w:rPr>
        <w:t xml:space="preserve">C14; C58; G11; G15</w:t>
      </w:r>
    </w:p>
    <w:p>
      <w:pPr>
        <w:pStyle w:val="heading1"/>
        <w:numPr>
          <w:ilvl w:val="0"/>
          <w:numId w:val="0"/>
        </w:numPr>
      </w:pPr>
      <w:r>
        <w:rPr>
          <w:rFonts w:ascii="Times New Roman" w:hAnsi="Times New Roman" w:cs="Times New Roman" w:eastAsia="Times New Roman"/>
          <w:b/>
          <w:sz w:val="24"/>
          <w:szCs w:val="24"/>
        </w:rPr>
        <w:t xml:space="preserve">1 Introduction</w:t>
      </w:r>
    </w:p>
    <w:p>
      <w:pPr>
        <w:pStyle w:val="p1a"/>
        <w:spacing w:before="0" w:after="120" w:line="300" w:lineRule="auto"/>
        <w:jc w:val="both"/>
      </w:pPr>
      <w:r>
        <w:rPr>
          <w:rFonts w:ascii="Times New Roman" w:hAnsi="Times New Roman" w:cs="Times New Roman" w:eastAsia="Times New Roman"/>
          <w:sz w:val="24"/>
          <w:szCs w:val="24"/>
        </w:rPr>
        <w:t xml:space="preserve">Correlations between published equity indices are a convenient measure of how much one market segment diversifies another (Markowitz 1952). In nested index systems, these correlations have a problem unrelated to estimation error: the parent contains the child, so part of their correlation is fixed by construction. On the Ho Chi Minh City Stock Exchange (HOSE),</w:t>
      </w:r>
    </w:p>
    <w:p>
      <w:pPr>
        <w:pStyle w:val="BodyText"/>
        <w:spacing w:before="0" w:after="120" w:line="300" w:lineRule="auto"/>
      </w:pPr>
      <m:oMathPara>
        <m:oMathParaPr>
          <m:jc m:val="center"/>
        </m:oMathParaPr>
        <m:oMath>
          <m:r>
            <m:rPr>
              <m:sty m:val="p"/>
            </m:rPr>
            <m:t>V</m:t>
          </m:r>
          <m:r>
            <m:rPr>
              <m:sty m:val="p"/>
            </m:rPr>
            <m:t>N</m:t>
          </m:r>
          <m:r>
            <m:rPr>
              <m:sty m:val="p"/>
            </m:rPr>
            <m:t>30</m:t>
          </m:r>
          <m:r>
            <m:rPr>
              <m:sty m:val="p"/>
            </m:rPr>
            <m:t>⊂</m:t>
          </m:r>
          <m:r>
            <m:rPr>
              <m:sty m:val="p"/>
            </m:rPr>
            <m:t>V</m:t>
          </m:r>
          <m:r>
            <m:rPr>
              <m:sty m:val="p"/>
            </m:rPr>
            <m:t>N</m:t>
          </m:r>
          <m:r>
            <m:rPr>
              <m:sty m:val="p"/>
            </m:rPr>
            <m:t>100</m:t>
          </m:r>
          <m:r>
            <m:rPr>
              <m:sty m:val="p"/>
            </m:rPr>
            <m:t>⊂</m:t>
          </m:r>
          <m:r>
            <m:rPr>
              <m:sty m:val="p"/>
            </m:rPr>
            <m:t>V</m:t>
          </m:r>
          <m:r>
            <m:rPr>
              <m:sty m:val="p"/>
            </m:rPr>
            <m:t>N</m:t>
          </m:r>
          <m:r>
            <m:rPr>
              <m:sty m:val="p"/>
            </m:rPr>
            <m:t>I</m:t>
          </m:r>
          <m:r>
            <m:rPr>
              <m:sty m:val="p"/>
            </m:rPr>
            <m:t>N</m:t>
          </m:r>
          <m:r>
            <m:rPr>
              <m:sty m:val="p"/>
            </m:rPr>
            <m:t>D</m:t>
          </m:r>
          <m:r>
            <m:rPr>
              <m:sty m:val="p"/>
            </m:rPr>
            <m:t>E</m:t>
          </m:r>
          <m:r>
            <m:rPr>
              <m:sty m:val="p"/>
            </m:rPr>
            <m:t>X</m:t>
          </m:r>
          <m:r>
            <m:rPr>
              <m:sty m:val="p"/>
            </m:rPr>
            <m:t>.</m:t>
          </m:r>
          <m:r>
            <m:t>  </m:t>
          </m:r>
          <m:d>
            <m:dPr>
              <m:begChr m:val="("/>
              <m:endChr m:val=")"/>
              <m:sepChr m:val=""/>
              <m:grow/>
            </m:dPr>
            <m:e>
              <m:r>
                <m:t>1</m:t>
              </m:r>
            </m:e>
          </m:d>
        </m:oMath>
      </m:oMathPara>
    </w:p>
    <w:p>
      <w:pPr>
        <w:pStyle w:val="FirstParagraph"/>
        <w:spacing w:before="0" w:after="120" w:line="300" w:lineRule="auto"/>
        <w:jc w:val="both"/>
      </w:pPr>
      <w:r>
        <w:rPr>
          <w:rFonts w:ascii="Times New Roman" w:hAnsi="Times New Roman" w:cs="Times New Roman" w:eastAsia="Times New Roman"/>
          <w:sz w:val="24"/>
          <w:szCs w:val="24"/>
        </w:rPr>
        <w:t xml:space="preserve">The 30 largest firms hold about two-thirds of the free-float capitalization of VN100, and the daily VN30–VN100 correlation is 0.988. Read as a measure of how mid caps move with large caps, this number mixes economic linkage with the double counting of VN30 stocks on both sides. Holdings-based risk models avoid the problem; users of index-level data cannot. Index-level co-movement is easy to misread even without overlap (Chen et al. 2016). The arithmetic is old (Pearson 1897; Cureton 1966), but no version exists for the detrended, scale-dependent coefficients of the detrended cross-correlation analysis (DCCA) literature. That literature studies only pairs without shared constituents (Section 2).</w:t>
      </w:r>
    </w:p>
    <w:p>
      <w:pPr>
        <w:pStyle w:val="BodyText"/>
        <w:spacing w:before="0" w:after="120" w:line="300" w:lineRule="auto"/>
        <w:jc w:val="both"/>
      </w:pPr>
      <w:r>
        <w:rPr>
          <w:rFonts w:ascii="Times New Roman" w:hAnsi="Times New Roman" w:cs="Times New Roman" w:eastAsia="Times New Roman"/>
          <w:sz w:val="24"/>
          <w:szCs w:val="24"/>
        </w:rPr>
        <w:t xml:space="preserve">Our contribution is to build that version. Lemma 1 shows that, at every timescale, the DCCA coefficient of a nested pair is a known function of the child’s weight, the relative amplitude κ(s) of the remaining constituents and the overlap-purged coefficient between the child and those constituents. It yields a zero-correlation benchmark, an exact lower bound, the sensitivity of the nested coefficient to the purged one and an order-free attribution, all computable from index-level data (Section 4.2). We apply it to VN30, VN100 and VNINDEX at 30-minute to daily frequencies (2014–2025), with a block bootstrap that also draws the index weight. We then use the purged series to test hypotheses on horizon dependence, contagion and the value of regime-conditioned correlations.</w:t>
      </w:r>
    </w:p>
    <w:p>
      <w:pPr>
        <w:pStyle w:val="BodyText"/>
        <w:spacing w:before="0" w:after="120" w:line="300" w:lineRule="auto"/>
        <w:jc w:val="both"/>
      </w:pPr>
      <w:r>
        <w:rPr>
          <w:rFonts w:ascii="Times New Roman" w:hAnsi="Times New Roman" w:cs="Times New Roman" w:eastAsia="Times New Roman"/>
          <w:sz w:val="24"/>
          <w:szCs w:val="24"/>
        </w:rPr>
        <w:t xml:space="preserve">We report three main findings. The VN30–VN100 coefficient responds to the purged coefficient with a sensitivity of 0.106–0.112, and the like-for-like gap between nested and purged coefficients is 0.099–0.104. Because κ hardly varies with the timescale (0.47–0.52), the Pearson version gives the same answer. Horizon dependence is confined to intraday broad-market pairs and comes from the auction bars. Crisis evidence depends on whether contagion is measured by an adjusted correlation or a factor loading, and regime-conditioned correlations do not outperform a static one out of sample.</w:t>
      </w:r>
    </w:p>
    <w:p>
      <w:pPr>
        <w:pStyle w:val="BodyText"/>
        <w:spacing w:before="0" w:after="120" w:line="300" w:lineRule="auto"/>
        <w:jc w:val="both"/>
      </w:pPr>
      <w:r>
        <w:rPr>
          <w:rFonts w:ascii="Times New Roman" w:hAnsi="Times New Roman" w:cs="Times New Roman" w:eastAsia="Times New Roman"/>
          <w:sz w:val="24"/>
          <w:szCs w:val="24"/>
        </w:rPr>
        <w:t xml:space="preserve">Section 2 reviews the literature and states the hypotheses. Sections 3–5 present the data, methods and results, Section 6 discusses them and Section 7 concludes. Further checks are in Online Resource 2.</w:t>
      </w:r>
    </w:p>
    <w:p>
      <w:pPr>
        <w:pStyle w:val="heading1"/>
        <w:numPr>
          <w:ilvl w:val="0"/>
          <w:numId w:val="0"/>
        </w:numPr>
      </w:pPr>
      <w:r>
        <w:rPr>
          <w:rFonts w:ascii="Times New Roman" w:hAnsi="Times New Roman" w:cs="Times New Roman" w:eastAsia="Times New Roman"/>
          <w:b/>
          <w:sz w:val="24"/>
          <w:szCs w:val="24"/>
        </w:rPr>
        <w:t xml:space="preserve">2 Literature review and hypothesis development</w:t>
      </w:r>
    </w:p>
    <w:p>
      <w:pPr>
        <w:pStyle w:val="p1a"/>
        <w:spacing w:before="0" w:after="120" w:line="300" w:lineRule="auto"/>
        <w:jc w:val="both"/>
      </w:pPr>
      <w:r>
        <w:rPr>
          <w:rFonts w:ascii="Times New Roman" w:hAnsi="Times New Roman" w:cs="Times New Roman" w:eastAsia="Times New Roman"/>
          <w:sz w:val="24"/>
          <w:szCs w:val="24"/>
        </w:rPr>
        <w:t xml:space="preserve">Five literatures bear on nested index correlations: part–whole correlation, detrended cross-correlation, index membership, size-based lead–lag effects and contagion. We review what each establishes and leaves open, then state the gap, estimands and hypotheses.</w:t>
      </w:r>
    </w:p>
    <w:p>
      <w:pPr>
        <w:pStyle w:val="heading20"/>
        <w:numPr>
          <w:ilvl w:val="0"/>
          <w:numId w:val="0"/>
        </w:numPr>
      </w:pPr>
      <w:r>
        <w:rPr>
          <w:rFonts w:ascii="Times New Roman" w:hAnsi="Times New Roman" w:cs="Times New Roman" w:eastAsia="Times New Roman"/>
          <w:b/>
          <w:sz w:val="24"/>
          <w:szCs w:val="24"/>
        </w:rPr>
        <w:t xml:space="preserve">2.1 Part–whole correlation and holdings overlap</w:t>
      </w:r>
    </w:p>
    <w:p>
      <w:pPr>
        <w:pStyle w:val="p1a"/>
        <w:spacing w:before="0" w:after="120" w:line="300" w:lineRule="auto"/>
        <w:jc w:val="both"/>
      </w:pPr>
      <w:r>
        <w:rPr>
          <w:rFonts w:ascii="Times New Roman" w:hAnsi="Times New Roman" w:cs="Times New Roman" w:eastAsia="Times New Roman"/>
          <w:sz w:val="24"/>
          <w:szCs w:val="24"/>
        </w:rPr>
        <w:t xml:space="preserve">Pearson (1897) showed that ratios sharing a denominator correlate even when their numerators are independent. In psychometrics the same arithmetic inflates the correlation of an item with the total score that contains it, and Cureton (1966) gave a standard correction. Both results are static Pearson identities; neither measures the component at different timescales or attaches sampling uncertainty to it. Finance handles overlap through holdings: Active Share measures how far a fund departs from its benchmark holdings (Cremers and Petajisto 2009), holdings-based risk models estimate exposures from constituents, and membership studies build comparison portfolios from stocks outside the index (Barberis et al. 2005). Users who observe only index levels lack a return-based counterpart.</w:t>
      </w:r>
    </w:p>
    <w:p>
      <w:pPr>
        <w:pStyle w:val="heading20"/>
        <w:numPr>
          <w:ilvl w:val="0"/>
          <w:numId w:val="0"/>
        </w:numPr>
      </w:pPr>
      <w:r>
        <w:rPr>
          <w:rFonts w:ascii="Times New Roman" w:hAnsi="Times New Roman" w:cs="Times New Roman" w:eastAsia="Times New Roman"/>
          <w:b/>
          <w:sz w:val="24"/>
          <w:szCs w:val="24"/>
        </w:rPr>
        <w:t xml:space="preserve">2.2 Multiscale dependence and detrended cross-correlation</w:t>
      </w:r>
    </w:p>
    <w:p>
      <w:pPr>
        <w:pStyle w:val="p1a"/>
        <w:spacing w:before="0" w:after="120" w:line="300" w:lineRule="auto"/>
        <w:jc w:val="both"/>
      </w:pPr>
      <w:r>
        <w:rPr>
          <w:rFonts w:ascii="Times New Roman" w:hAnsi="Times New Roman" w:cs="Times New Roman" w:eastAsia="Times New Roman"/>
          <w:sz w:val="24"/>
          <w:szCs w:val="24"/>
        </w:rPr>
        <w:t xml:space="preserve">DCCA extends detrended fluctuation analysis (Peng et al. 1994; Kantelhardt et al. 2002) to pairs of nonstationary series (Podobnik and Stanley 2008). Zebende (2011) normalized it into a bounded coefficient, Podobnik et al. (2011) proposed tests and Zhou (2008) generalized it to multifractal moments (MF-DCCA). Variants use moving-average detrending (Jiang and Zhou 2011; Kristoufek 2014), sliding windows (Guedes et al. 2021) or partial correlations (Ge and Lin 2021), and Oświęcimka et al. (2014) show that absolute local covariances can create spurious multifractality. Applied work finds horizon-dependent stock–bond and cross-market dependence (Al Rababa’a et al. 2021; Ge and Lin 2021; Chen et al. 2024). Other studies use the coefficient to track contagion (Okorie and Lin 2021; Tilfani et al. 2021) or information flow (Zhou et al. 2025) and build scale-aware portfolios (Wang et al. 2021; Kakinaka et al. 2025). These studies treat the coefficient as a measure of economic dependence between disjoint assets. None of them analyzes nested pairs, where the detrended covariance inherits the part–whole arithmetic at every scale.</w:t>
      </w:r>
    </w:p>
    <w:p>
      <w:pPr>
        <w:pStyle w:val="heading20"/>
        <w:numPr>
          <w:ilvl w:val="0"/>
          <w:numId w:val="0"/>
        </w:numPr>
      </w:pPr>
      <w:r>
        <w:rPr>
          <w:rFonts w:ascii="Times New Roman" w:hAnsi="Times New Roman" w:cs="Times New Roman" w:eastAsia="Times New Roman"/>
          <w:b/>
          <w:sz w:val="24"/>
          <w:szCs w:val="24"/>
        </w:rPr>
        <w:t xml:space="preserve">2.3 Index membership and co-movement</w:t>
      </w:r>
    </w:p>
    <w:p>
      <w:pPr>
        <w:pStyle w:val="p1a"/>
        <w:spacing w:before="0" w:after="120" w:line="300" w:lineRule="auto"/>
        <w:jc w:val="both"/>
      </w:pPr>
      <w:r>
        <w:rPr>
          <w:rFonts w:ascii="Times New Roman" w:hAnsi="Times New Roman" w:cs="Times New Roman" w:eastAsia="Times New Roman"/>
          <w:sz w:val="24"/>
          <w:szCs w:val="24"/>
        </w:rPr>
        <w:t xml:space="preserve">Stocks added to the S&amp;P 500 co-move more with the index (Barberis et al. 2005), Nikkei 225 stocks with larger weights co-move more with other index stocks (Greenwood 2008), and regression-discontinuity and tracking-demand designs support the effect (Liao et al. 2022; DeCoste 2025). The evidence is contested: much of the post-inclusion rise also appears in matched stocks that were not added (Chen et al. 2016), and the S&amp;P 500 index effect has almost disappeared (Greenwood and Sammon 2025). Membership-based co-movement is therefore a weak guide even where indices do not overlap. Our concern is the arithmetic overlap, which raises correlations even if no investor trades differently.</w:t>
      </w:r>
    </w:p>
    <w:p>
      <w:pPr>
        <w:pStyle w:val="heading20"/>
        <w:numPr>
          <w:ilvl w:val="0"/>
          <w:numId w:val="0"/>
        </w:numPr>
      </w:pPr>
      <w:r>
        <w:rPr>
          <w:rFonts w:ascii="Times New Roman" w:hAnsi="Times New Roman" w:cs="Times New Roman" w:eastAsia="Times New Roman"/>
          <w:b/>
          <w:sz w:val="24"/>
          <w:szCs w:val="24"/>
        </w:rPr>
        <w:t xml:space="preserve">2.4 Size, lead–lag and horizon effects</w:t>
      </w:r>
    </w:p>
    <w:p>
      <w:pPr>
        <w:pStyle w:val="p1a"/>
        <w:spacing w:before="0" w:after="120" w:line="300" w:lineRule="auto"/>
        <w:jc w:val="both"/>
      </w:pPr>
      <w:r>
        <w:rPr>
          <w:rFonts w:ascii="Times New Roman" w:hAnsi="Times New Roman" w:cs="Times New Roman" w:eastAsia="Times New Roman"/>
          <w:sz w:val="24"/>
          <w:szCs w:val="24"/>
        </w:rPr>
        <w:t xml:space="preserve">Large-firm returns lead small-firm returns (Lo and MacKinlay 1990), a pattern Hou (2007) traces to slow diffusion of industry information. Non-synchronous trading depresses short-horizon correlations (Epps 1979), an effect whose size depends on the sampling scheme (Chang et al. 2021), and gradual diffusion (Hong and Stein 1999) lets co-movement build with the horizon. On the HOSE, small-firm liquidity fell after a market surveillance system was introduced (Chen et al. 2021), and price adjustment is delayed under retail-heavy trading (Tran and Tran 2025). Three forces raise all correlations at once: herding in stress (Nguyen et al. 2023), sector connectedness above 60% that rose to near 90% during COVID-19 (Bui et al. 2022) and nonlinear regional dependence (Le et al. 2025).</w:t>
      </w:r>
    </w:p>
    <w:p>
      <w:pPr>
        <w:pStyle w:val="heading20"/>
        <w:numPr>
          <w:ilvl w:val="0"/>
          <w:numId w:val="0"/>
        </w:numPr>
      </w:pPr>
      <w:r>
        <w:rPr>
          <w:rFonts w:ascii="Times New Roman" w:hAnsi="Times New Roman" w:cs="Times New Roman" w:eastAsia="Times New Roman"/>
          <w:b/>
          <w:sz w:val="24"/>
          <w:szCs w:val="24"/>
        </w:rPr>
        <w:t xml:space="preserve">2.5 Volatility, contagion and interdependence</w:t>
      </w:r>
    </w:p>
    <w:p>
      <w:pPr>
        <w:pStyle w:val="p1a"/>
        <w:spacing w:before="0" w:after="120" w:line="300" w:lineRule="auto"/>
        <w:jc w:val="both"/>
      </w:pPr>
      <w:r>
        <w:rPr>
          <w:rFonts w:ascii="Times New Roman" w:hAnsi="Times New Roman" w:cs="Times New Roman" w:eastAsia="Times New Roman"/>
          <w:sz w:val="24"/>
          <w:szCs w:val="24"/>
        </w:rPr>
        <w:t xml:space="preserve">Equity correlations rise in downturns (Longin and Solnik 2001; Ang and Chen 2002), but they also rise mechanically with the variance of the conditioning market, so a crisis increase may reflect interdependence rather than contagion (Forbes and Rigobon 2002). The correction can itself be biased toward no contagion because it restricts the variance of idiosyncratic shocks. Corsetti et al. (2005) propose testing for a change in the factor loading instead, and Rigobon (2003) identifies transmission from regime changes in variance. Studies without the correction report COVID-19 contagion (Akhtaruzzaman et al. 2021; Guo et al. 2021; Benkraiem et al. 2022). A DCCA test finds it for some commodity pairs but not others (Santana et al. 2023), and ASEAN integration varies with trade links and volatility (Abdul Karim and Xin Ning 2013; Lean and Teng 2013). No study applies volatility-robust tests to tiers of one market whose indices overlap.</w:t>
      </w:r>
    </w:p>
    <w:p>
      <w:pPr>
        <w:pStyle w:val="heading20"/>
        <w:numPr>
          <w:ilvl w:val="0"/>
          <w:numId w:val="0"/>
        </w:numPr>
      </w:pPr>
      <w:r>
        <w:rPr>
          <w:rFonts w:ascii="Times New Roman" w:hAnsi="Times New Roman" w:cs="Times New Roman" w:eastAsia="Times New Roman"/>
          <w:b/>
          <w:sz w:val="24"/>
          <w:szCs w:val="24"/>
        </w:rPr>
        <w:t xml:space="preserve">2.6 Research gap</w:t>
      </w:r>
    </w:p>
    <w:p>
      <w:pPr>
        <w:pStyle w:val="p1a"/>
        <w:spacing w:before="0" w:after="120" w:line="300" w:lineRule="auto"/>
        <w:jc w:val="both"/>
      </w:pPr>
      <w:r>
        <w:rPr>
          <w:rFonts w:ascii="Times New Roman" w:hAnsi="Times New Roman" w:cs="Times New Roman" w:eastAsia="Times New Roman"/>
          <w:sz w:val="24"/>
          <w:szCs w:val="24"/>
        </w:rPr>
        <w:t xml:space="preserve">Table 1 compares representative studies on the dimensions that matter here.</w:t>
      </w:r>
    </w:p>
    <w:p>
      <w:pPr>
        <w:pStyle w:val="tablecaption0"/>
      </w:pPr>
      <w:r>
        <w:rPr>
          <w:bCs/>
          <w:b/>
        </w:rPr>
        <w:t xml:space="preserve">Table 1</w:t>
      </w:r>
      <w:r>
        <w:t xml:space="preserve"> </w:t>
      </w:r>
      <w:r>
        <w:t xml:space="preserve">Prior studies of overlap, multiscale and crisis co-movement and the gap addressed here</w:t>
      </w:r>
    </w:p>
    <w:tbl>
      <w:tblPr>
        <w:tblStyle w:val="TableGrid"/>
        <w:tblW w:type="pct" w:w="5000"/>
        <w:tblLook w:firstRow="1" w:lastRow="0" w:firstColumn="0" w:lastColumn="0" w:noHBand="0" w:noVBand="0" w:val="0020"/>
        <w:jc w:val="start"/>
      </w:tblPr>
      <w:tblGrid>
        <w:gridCol w:w="1100"/>
        <w:gridCol w:w="1588"/>
        <w:gridCol w:w="1686"/>
        <w:gridCol w:w="1393"/>
        <w:gridCol w:w="710"/>
        <w:gridCol w:w="1198"/>
        <w:gridCol w:w="1686"/>
      </w:tblGrid>
      <w:tr>
        <w:trPr>
          <w:tblHeader w:val="true"/>
        </w:trPr>
        <w:tc>
          <w:tcPr>
            <w:tcW w:w="1100" w:type="dxa"/>
          </w:tcPr>
          <w:p>
            <w:pPr>
              <w:spacing w:before="0" w:after="0" w:line="240" w:lineRule="auto"/>
              <w:jc w:val="left"/>
            </w:pPr>
            <w:r>
              <w:rPr>
                <w:sz w:val="20"/>
                <w:szCs w:val="20"/>
              </w:rPr>
              <w:t xml:space="preserve">Study</w:t>
            </w:r>
          </w:p>
        </w:tc>
        <w:tc>
          <w:tcPr>
            <w:tcW w:w="1588" w:type="dxa"/>
          </w:tcPr>
          <w:p>
            <w:pPr>
              <w:spacing w:before="0" w:after="0" w:line="240" w:lineRule="auto"/>
              <w:jc w:val="left"/>
            </w:pPr>
            <w:r>
              <w:rPr>
                <w:sz w:val="20"/>
                <w:szCs w:val="20"/>
              </w:rPr>
              <w:t xml:space="preserve">Market and data</w:t>
            </w:r>
          </w:p>
        </w:tc>
        <w:tc>
          <w:tcPr>
            <w:tcW w:w="1686" w:type="dxa"/>
          </w:tcPr>
          <w:p>
            <w:pPr>
              <w:spacing w:before="0" w:after="0" w:line="240" w:lineRule="auto"/>
              <w:jc w:val="left"/>
            </w:pPr>
            <w:r>
              <w:rPr>
                <w:sz w:val="20"/>
                <w:szCs w:val="20"/>
              </w:rPr>
              <w:t xml:space="preserve">Method</w:t>
            </w:r>
          </w:p>
        </w:tc>
        <w:tc>
          <w:tcPr>
            <w:tcW w:w="1393" w:type="dxa"/>
          </w:tcPr>
          <w:p>
            <w:pPr>
              <w:spacing w:before="0" w:after="0" w:line="240" w:lineRule="auto"/>
              <w:jc w:val="left"/>
            </w:pPr>
            <w:r>
              <w:rPr>
                <w:sz w:val="20"/>
                <w:szCs w:val="20"/>
              </w:rPr>
              <w:t xml:space="preserve">Overlap treated?</w:t>
            </w:r>
          </w:p>
        </w:tc>
        <w:tc>
          <w:tcPr>
            <w:tcW w:w="710" w:type="dxa"/>
          </w:tcPr>
          <w:p>
            <w:pPr>
              <w:spacing w:before="0" w:after="0" w:line="240" w:lineRule="auto"/>
              <w:jc w:val="left"/>
            </w:pPr>
            <w:r>
              <w:rPr>
                <w:sz w:val="20"/>
                <w:szCs w:val="20"/>
              </w:rPr>
              <w:t xml:space="preserve">Scale-wise?</w:t>
            </w:r>
          </w:p>
        </w:tc>
        <w:tc>
          <w:tcPr>
            <w:tcW w:w="1198" w:type="dxa"/>
          </w:tcPr>
          <w:p>
            <w:pPr>
              <w:spacing w:before="0" w:after="0" w:line="240" w:lineRule="auto"/>
              <w:jc w:val="left"/>
            </w:pPr>
            <w:r>
              <w:rPr>
                <w:sz w:val="20"/>
                <w:szCs w:val="20"/>
              </w:rPr>
              <w:t xml:space="preserve">Volatility-robust test?</w:t>
            </w:r>
          </w:p>
        </w:tc>
        <w:tc>
          <w:tcPr>
            <w:tcW w:w="1686" w:type="dxa"/>
          </w:tcPr>
          <w:p>
            <w:pPr>
              <w:spacing w:before="0" w:after="0" w:line="240" w:lineRule="auto"/>
              <w:jc w:val="left"/>
            </w:pPr>
            <w:r>
              <w:rPr>
                <w:sz w:val="20"/>
                <w:szCs w:val="20"/>
              </w:rPr>
              <w:t xml:space="preserve">Main finding</w:t>
            </w:r>
          </w:p>
        </w:tc>
      </w:tr>
      <w:tr>
        <w:tc>
          <w:tcPr>
            <w:tcW w:w="1100" w:type="dxa"/>
          </w:tcPr>
          <w:p>
            <w:pPr>
              <w:spacing w:before="0" w:after="0" w:line="240" w:lineRule="auto"/>
              <w:jc w:val="left"/>
            </w:pPr>
            <w:r>
              <w:rPr>
                <w:sz w:val="20"/>
                <w:szCs w:val="20"/>
              </w:rPr>
              <w:t xml:space="preserve">Pearson (1897); Cureton (1966)</w:t>
            </w:r>
          </w:p>
        </w:tc>
        <w:tc>
          <w:tcPr>
            <w:tcW w:w="1588" w:type="dxa"/>
          </w:tcPr>
          <w:p>
            <w:pPr>
              <w:spacing w:before="0" w:after="0" w:line="240" w:lineRule="auto"/>
              <w:jc w:val="left"/>
            </w:pPr>
            <w:r>
              <w:rPr>
                <w:sz w:val="20"/>
                <w:szCs w:val="20"/>
              </w:rPr>
              <w:t xml:space="preserve">Ratios with a common component; test items</w:t>
            </w:r>
          </w:p>
        </w:tc>
        <w:tc>
          <w:tcPr>
            <w:tcW w:w="1686" w:type="dxa"/>
          </w:tcPr>
          <w:p>
            <w:pPr>
              <w:spacing w:before="0" w:after="0" w:line="240" w:lineRule="auto"/>
              <w:jc w:val="left"/>
            </w:pPr>
            <w:r>
              <w:rPr>
                <w:sz w:val="20"/>
                <w:szCs w:val="20"/>
              </w:rPr>
              <w:t xml:space="preserve">Pearson correlation</w:t>
            </w:r>
          </w:p>
        </w:tc>
        <w:tc>
          <w:tcPr>
            <w:tcW w:w="1393" w:type="dxa"/>
          </w:tcPr>
          <w:p>
            <w:pPr>
              <w:spacing w:before="0" w:after="0" w:line="240" w:lineRule="auto"/>
              <w:jc w:val="left"/>
            </w:pPr>
            <w:r>
              <w:rPr>
                <w:sz w:val="20"/>
                <w:szCs w:val="20"/>
              </w:rPr>
              <w:t xml:space="preserve">Yes (static)</w:t>
            </w:r>
          </w:p>
        </w:tc>
        <w:tc>
          <w:tcPr>
            <w:tcW w:w="710" w:type="dxa"/>
          </w:tcPr>
          <w:p>
            <w:pPr>
              <w:spacing w:before="0" w:after="0" w:line="240" w:lineRule="auto"/>
              <w:jc w:val="left"/>
            </w:pPr>
            <w:r>
              <w:rPr>
                <w:sz w:val="20"/>
                <w:szCs w:val="20"/>
              </w:rPr>
              <w:t xml:space="preserve">No</w:t>
            </w:r>
          </w:p>
        </w:tc>
        <w:tc>
          <w:tcPr>
            <w:tcW w:w="1198" w:type="dxa"/>
          </w:tcPr>
          <w:p>
            <w:pPr>
              <w:spacing w:before="0" w:after="0" w:line="240" w:lineRule="auto"/>
              <w:jc w:val="left"/>
            </w:pPr>
            <w:r>
              <w:rPr>
                <w:sz w:val="20"/>
                <w:szCs w:val="20"/>
              </w:rPr>
              <w:t xml:space="preserve">No</w:t>
            </w:r>
          </w:p>
        </w:tc>
        <w:tc>
          <w:tcPr>
            <w:tcW w:w="1686" w:type="dxa"/>
          </w:tcPr>
          <w:p>
            <w:pPr>
              <w:spacing w:before="0" w:after="0" w:line="240" w:lineRule="auto"/>
              <w:jc w:val="left"/>
            </w:pPr>
            <w:r>
              <w:rPr>
                <w:sz w:val="20"/>
                <w:szCs w:val="20"/>
              </w:rPr>
              <w:t xml:space="preserve">Correlation of a whole with its part is inflated</w:t>
            </w:r>
          </w:p>
        </w:tc>
      </w:tr>
      <w:tr>
        <w:tc>
          <w:tcPr>
            <w:tcW w:w="1100" w:type="dxa"/>
          </w:tcPr>
          <w:p>
            <w:pPr>
              <w:spacing w:before="0" w:after="0" w:line="240" w:lineRule="auto"/>
              <w:jc w:val="left"/>
            </w:pPr>
            <w:r>
              <w:rPr>
                <w:sz w:val="20"/>
                <w:szCs w:val="20"/>
              </w:rPr>
              <w:t xml:space="preserve">Cremers and Petajisto (2009)</w:t>
            </w:r>
          </w:p>
        </w:tc>
        <w:tc>
          <w:tcPr>
            <w:tcW w:w="1588" w:type="dxa"/>
          </w:tcPr>
          <w:p>
            <w:pPr>
              <w:spacing w:before="0" w:after="0" w:line="240" w:lineRule="auto"/>
              <w:jc w:val="left"/>
            </w:pPr>
            <w:r>
              <w:rPr>
                <w:sz w:val="20"/>
                <w:szCs w:val="20"/>
              </w:rPr>
              <w:t xml:space="preserve">US mutual funds</w:t>
            </w:r>
          </w:p>
        </w:tc>
        <w:tc>
          <w:tcPr>
            <w:tcW w:w="1686" w:type="dxa"/>
          </w:tcPr>
          <w:p>
            <w:pPr>
              <w:spacing w:before="0" w:after="0" w:line="240" w:lineRule="auto"/>
              <w:jc w:val="left"/>
            </w:pPr>
            <w:r>
              <w:rPr>
                <w:sz w:val="20"/>
                <w:szCs w:val="20"/>
              </w:rPr>
              <w:t xml:space="preserve">Holdings overlap (Active Share)</w:t>
            </w:r>
          </w:p>
        </w:tc>
        <w:tc>
          <w:tcPr>
            <w:tcW w:w="1393" w:type="dxa"/>
          </w:tcPr>
          <w:p>
            <w:pPr>
              <w:spacing w:before="0" w:after="0" w:line="240" w:lineRule="auto"/>
              <w:jc w:val="left"/>
            </w:pPr>
            <w:r>
              <w:rPr>
                <w:sz w:val="20"/>
                <w:szCs w:val="20"/>
              </w:rPr>
              <w:t xml:space="preserve">Yes (holdings)</w:t>
            </w:r>
          </w:p>
        </w:tc>
        <w:tc>
          <w:tcPr>
            <w:tcW w:w="710" w:type="dxa"/>
          </w:tcPr>
          <w:p>
            <w:pPr>
              <w:spacing w:before="0" w:after="0" w:line="240" w:lineRule="auto"/>
              <w:jc w:val="left"/>
            </w:pPr>
            <w:r>
              <w:rPr>
                <w:sz w:val="20"/>
                <w:szCs w:val="20"/>
              </w:rPr>
              <w:t xml:space="preserve">No</w:t>
            </w:r>
          </w:p>
        </w:tc>
        <w:tc>
          <w:tcPr>
            <w:tcW w:w="1198" w:type="dxa"/>
          </w:tcPr>
          <w:p>
            <w:pPr>
              <w:spacing w:before="0" w:after="0" w:line="240" w:lineRule="auto"/>
              <w:jc w:val="left"/>
            </w:pPr>
            <w:r>
              <w:rPr>
                <w:sz w:val="20"/>
                <w:szCs w:val="20"/>
              </w:rPr>
              <w:t xml:space="preserve">No</w:t>
            </w:r>
          </w:p>
        </w:tc>
        <w:tc>
          <w:tcPr>
            <w:tcW w:w="1686" w:type="dxa"/>
          </w:tcPr>
          <w:p>
            <w:pPr>
              <w:spacing w:before="0" w:after="0" w:line="240" w:lineRule="auto"/>
              <w:jc w:val="left"/>
            </w:pPr>
            <w:r>
              <w:rPr>
                <w:sz w:val="20"/>
                <w:szCs w:val="20"/>
              </w:rPr>
              <w:t xml:space="preserve">Overlap with benchmark holdings measures activity</w:t>
            </w:r>
          </w:p>
        </w:tc>
      </w:tr>
      <w:tr>
        <w:tc>
          <w:tcPr>
            <w:tcW w:w="1100" w:type="dxa"/>
          </w:tcPr>
          <w:p>
            <w:pPr>
              <w:spacing w:before="0" w:after="0" w:line="240" w:lineRule="auto"/>
              <w:jc w:val="left"/>
            </w:pPr>
            <w:r>
              <w:rPr>
                <w:sz w:val="20"/>
                <w:szCs w:val="20"/>
              </w:rPr>
              <w:t xml:space="preserve">Barberis et al. (2005); Greenwood (2008); Chen et al. (2016)</w:t>
            </w:r>
          </w:p>
        </w:tc>
        <w:tc>
          <w:tcPr>
            <w:tcW w:w="1588" w:type="dxa"/>
          </w:tcPr>
          <w:p>
            <w:pPr>
              <w:spacing w:before="0" w:after="0" w:line="240" w:lineRule="auto"/>
              <w:jc w:val="left"/>
            </w:pPr>
            <w:r>
              <w:rPr>
                <w:sz w:val="20"/>
                <w:szCs w:val="20"/>
              </w:rPr>
              <w:t xml:space="preserve">S&amp;P 500; Nikkei 225</w:t>
            </w:r>
          </w:p>
        </w:tc>
        <w:tc>
          <w:tcPr>
            <w:tcW w:w="1686" w:type="dxa"/>
          </w:tcPr>
          <w:p>
            <w:pPr>
              <w:spacing w:before="0" w:after="0" w:line="240" w:lineRule="auto"/>
              <w:jc w:val="left"/>
            </w:pPr>
            <w:r>
              <w:rPr>
                <w:sz w:val="20"/>
                <w:szCs w:val="20"/>
              </w:rPr>
              <w:t xml:space="preserve">Event study; index weights</w:t>
            </w:r>
          </w:p>
        </w:tc>
        <w:tc>
          <w:tcPr>
            <w:tcW w:w="1393" w:type="dxa"/>
          </w:tcPr>
          <w:p>
            <w:pPr>
              <w:spacing w:before="0" w:after="0" w:line="240" w:lineRule="auto"/>
              <w:jc w:val="left"/>
            </w:pPr>
            <w:r>
              <w:rPr>
                <w:sz w:val="20"/>
                <w:szCs w:val="20"/>
              </w:rPr>
              <w:t xml:space="preserve">Membership, not overlap</w:t>
            </w:r>
          </w:p>
        </w:tc>
        <w:tc>
          <w:tcPr>
            <w:tcW w:w="710" w:type="dxa"/>
          </w:tcPr>
          <w:p>
            <w:pPr>
              <w:spacing w:before="0" w:after="0" w:line="240" w:lineRule="auto"/>
              <w:jc w:val="left"/>
            </w:pPr>
            <w:r>
              <w:rPr>
                <w:sz w:val="20"/>
                <w:szCs w:val="20"/>
              </w:rPr>
              <w:t xml:space="preserve">No</w:t>
            </w:r>
          </w:p>
        </w:tc>
        <w:tc>
          <w:tcPr>
            <w:tcW w:w="1198" w:type="dxa"/>
          </w:tcPr>
          <w:p>
            <w:pPr>
              <w:spacing w:before="0" w:after="0" w:line="240" w:lineRule="auto"/>
              <w:jc w:val="left"/>
            </w:pPr>
            <w:r>
              <w:rPr>
                <w:sz w:val="20"/>
                <w:szCs w:val="20"/>
              </w:rPr>
              <w:t xml:space="preserve">No</w:t>
            </w:r>
          </w:p>
        </w:tc>
        <w:tc>
          <w:tcPr>
            <w:tcW w:w="1686" w:type="dxa"/>
          </w:tcPr>
          <w:p>
            <w:pPr>
              <w:spacing w:before="0" w:after="0" w:line="240" w:lineRule="auto"/>
              <w:jc w:val="left"/>
            </w:pPr>
            <w:r>
              <w:rPr>
                <w:sz w:val="20"/>
                <w:szCs w:val="20"/>
              </w:rPr>
              <w:t xml:space="preserve">Membership effect on co-movement is contested</w:t>
            </w:r>
          </w:p>
        </w:tc>
      </w:tr>
      <w:tr>
        <w:tc>
          <w:tcPr>
            <w:tcW w:w="1100" w:type="dxa"/>
          </w:tcPr>
          <w:p>
            <w:pPr>
              <w:spacing w:before="0" w:after="0" w:line="240" w:lineRule="auto"/>
              <w:jc w:val="left"/>
            </w:pPr>
            <w:r>
              <w:rPr>
                <w:sz w:val="20"/>
                <w:szCs w:val="20"/>
              </w:rPr>
              <w:t xml:space="preserve">Podobnik and Stanley (2008); Zebende (2011)</w:t>
            </w:r>
          </w:p>
        </w:tc>
        <w:tc>
          <w:tcPr>
            <w:tcW w:w="1588" w:type="dxa"/>
          </w:tcPr>
          <w:p>
            <w:pPr>
              <w:spacing w:before="0" w:after="0" w:line="240" w:lineRule="auto"/>
              <w:jc w:val="left"/>
            </w:pPr>
            <w:r>
              <w:rPr>
                <w:sz w:val="20"/>
                <w:szCs w:val="20"/>
              </w:rPr>
              <w:t xml:space="preserve">Methodological</w:t>
            </w:r>
          </w:p>
        </w:tc>
        <w:tc>
          <w:tcPr>
            <w:tcW w:w="1686" w:type="dxa"/>
          </w:tcPr>
          <w:p>
            <w:pPr>
              <w:spacing w:before="0" w:after="0" w:line="240" w:lineRule="auto"/>
              <w:jc w:val="left"/>
            </w:pPr>
            <w:r>
              <w:rPr>
                <w:sz w:val="20"/>
                <w:szCs w:val="20"/>
              </w:rPr>
              <w:t xml:space="preserve">DCCA; ρDCCA</w:t>
            </w:r>
          </w:p>
        </w:tc>
        <w:tc>
          <w:tcPr>
            <w:tcW w:w="1393" w:type="dxa"/>
          </w:tcPr>
          <w:p>
            <w:pPr>
              <w:spacing w:before="0" w:after="0" w:line="240" w:lineRule="auto"/>
              <w:jc w:val="left"/>
            </w:pPr>
            <w:r>
              <w:rPr>
                <w:sz w:val="20"/>
                <w:szCs w:val="20"/>
              </w:rPr>
              <w:t xml:space="preserve">No</w:t>
            </w:r>
          </w:p>
        </w:tc>
        <w:tc>
          <w:tcPr>
            <w:tcW w:w="710" w:type="dxa"/>
          </w:tcPr>
          <w:p>
            <w:pPr>
              <w:spacing w:before="0" w:after="0" w:line="240" w:lineRule="auto"/>
              <w:jc w:val="left"/>
            </w:pPr>
            <w:r>
              <w:rPr>
                <w:sz w:val="20"/>
                <w:szCs w:val="20"/>
              </w:rPr>
              <w:t xml:space="preserve">Yes</w:t>
            </w:r>
          </w:p>
        </w:tc>
        <w:tc>
          <w:tcPr>
            <w:tcW w:w="1198" w:type="dxa"/>
          </w:tcPr>
          <w:p>
            <w:pPr>
              <w:spacing w:before="0" w:after="0" w:line="240" w:lineRule="auto"/>
              <w:jc w:val="left"/>
            </w:pPr>
            <w:r>
              <w:rPr>
                <w:sz w:val="20"/>
                <w:szCs w:val="20"/>
              </w:rPr>
              <w:t xml:space="preserve">No</w:t>
            </w:r>
          </w:p>
        </w:tc>
        <w:tc>
          <w:tcPr>
            <w:tcW w:w="1686" w:type="dxa"/>
          </w:tcPr>
          <w:p>
            <w:pPr>
              <w:spacing w:before="0" w:after="0" w:line="240" w:lineRule="auto"/>
              <w:jc w:val="left"/>
            </w:pPr>
            <w:r>
              <w:rPr>
                <w:sz w:val="20"/>
                <w:szCs w:val="20"/>
              </w:rPr>
              <w:t xml:space="preserve">Scale-wise detrended covariance and coefficient</w:t>
            </w:r>
          </w:p>
        </w:tc>
      </w:tr>
      <w:tr>
        <w:tc>
          <w:tcPr>
            <w:tcW w:w="1100" w:type="dxa"/>
          </w:tcPr>
          <w:p>
            <w:pPr>
              <w:spacing w:before="0" w:after="0" w:line="240" w:lineRule="auto"/>
              <w:jc w:val="left"/>
            </w:pPr>
            <w:r>
              <w:rPr>
                <w:sz w:val="20"/>
                <w:szCs w:val="20"/>
              </w:rPr>
              <w:t xml:space="preserve">Okorie and Lin (2021); Tilfani et al. (2021)</w:t>
            </w:r>
          </w:p>
        </w:tc>
        <w:tc>
          <w:tcPr>
            <w:tcW w:w="1588" w:type="dxa"/>
          </w:tcPr>
          <w:p>
            <w:pPr>
              <w:spacing w:before="0" w:after="0" w:line="240" w:lineRule="auto"/>
              <w:jc w:val="left"/>
            </w:pPr>
            <w:r>
              <w:rPr>
                <w:sz w:val="20"/>
                <w:szCs w:val="20"/>
              </w:rPr>
              <w:t xml:space="preserve">Stock markets, COVID-19</w:t>
            </w:r>
          </w:p>
        </w:tc>
        <w:tc>
          <w:tcPr>
            <w:tcW w:w="1686" w:type="dxa"/>
          </w:tcPr>
          <w:p>
            <w:pPr>
              <w:spacing w:before="0" w:after="0" w:line="240" w:lineRule="auto"/>
              <w:jc w:val="left"/>
            </w:pPr>
            <w:r>
              <w:rPr>
                <w:sz w:val="20"/>
                <w:szCs w:val="20"/>
              </w:rPr>
              <w:t xml:space="preserve">DCCA, DMCA; sliding windows</w:t>
            </w:r>
          </w:p>
        </w:tc>
        <w:tc>
          <w:tcPr>
            <w:tcW w:w="1393" w:type="dxa"/>
          </w:tcPr>
          <w:p>
            <w:pPr>
              <w:spacing w:before="0" w:after="0" w:line="240" w:lineRule="auto"/>
              <w:jc w:val="left"/>
            </w:pPr>
            <w:r>
              <w:rPr>
                <w:sz w:val="20"/>
                <w:szCs w:val="20"/>
              </w:rPr>
              <w:t xml:space="preserve">No</w:t>
            </w:r>
          </w:p>
        </w:tc>
        <w:tc>
          <w:tcPr>
            <w:tcW w:w="710" w:type="dxa"/>
          </w:tcPr>
          <w:p>
            <w:pPr>
              <w:spacing w:before="0" w:after="0" w:line="240" w:lineRule="auto"/>
              <w:jc w:val="left"/>
            </w:pPr>
            <w:r>
              <w:rPr>
                <w:sz w:val="20"/>
                <w:szCs w:val="20"/>
              </w:rPr>
              <w:t xml:space="preserve">Yes</w:t>
            </w:r>
          </w:p>
        </w:tc>
        <w:tc>
          <w:tcPr>
            <w:tcW w:w="1198" w:type="dxa"/>
          </w:tcPr>
          <w:p>
            <w:pPr>
              <w:spacing w:before="0" w:after="0" w:line="240" w:lineRule="auto"/>
              <w:jc w:val="left"/>
            </w:pPr>
            <w:r>
              <w:rPr>
                <w:sz w:val="20"/>
                <w:szCs w:val="20"/>
              </w:rPr>
              <w:t xml:space="preserve">No</w:t>
            </w:r>
          </w:p>
        </w:tc>
        <w:tc>
          <w:tcPr>
            <w:tcW w:w="1686" w:type="dxa"/>
          </w:tcPr>
          <w:p>
            <w:pPr>
              <w:spacing w:before="0" w:after="0" w:line="240" w:lineRule="auto"/>
              <w:jc w:val="left"/>
            </w:pPr>
            <w:r>
              <w:rPr>
                <w:sz w:val="20"/>
                <w:szCs w:val="20"/>
              </w:rPr>
              <w:t xml:space="preserve">Fractal contagion that fades with the horizon</w:t>
            </w:r>
          </w:p>
        </w:tc>
      </w:tr>
      <w:tr>
        <w:tc>
          <w:tcPr>
            <w:tcW w:w="1100" w:type="dxa"/>
          </w:tcPr>
          <w:p>
            <w:pPr>
              <w:spacing w:before="0" w:after="0" w:line="240" w:lineRule="auto"/>
              <w:jc w:val="left"/>
            </w:pPr>
            <w:r>
              <w:rPr>
                <w:sz w:val="20"/>
                <w:szCs w:val="20"/>
              </w:rPr>
              <w:t xml:space="preserve">Ge and Lin (2021); Chen et al. (2024)</w:t>
            </w:r>
          </w:p>
        </w:tc>
        <w:tc>
          <w:tcPr>
            <w:tcW w:w="1588" w:type="dxa"/>
          </w:tcPr>
          <w:p>
            <w:pPr>
              <w:spacing w:before="0" w:after="0" w:line="240" w:lineRule="auto"/>
              <w:jc w:val="left"/>
            </w:pPr>
            <w:r>
              <w:rPr>
                <w:sz w:val="20"/>
                <w:szCs w:val="20"/>
              </w:rPr>
              <w:t xml:space="preserve">China and United States</w:t>
            </w:r>
          </w:p>
        </w:tc>
        <w:tc>
          <w:tcPr>
            <w:tcW w:w="1686" w:type="dxa"/>
          </w:tcPr>
          <w:p>
            <w:pPr>
              <w:spacing w:before="0" w:after="0" w:line="240" w:lineRule="auto"/>
              <w:jc w:val="left"/>
            </w:pPr>
            <w:r>
              <w:rPr>
                <w:sz w:val="20"/>
                <w:szCs w:val="20"/>
              </w:rPr>
              <w:t xml:space="preserve">MF-DCCA; partial MF-DCCA</w:t>
            </w:r>
          </w:p>
        </w:tc>
        <w:tc>
          <w:tcPr>
            <w:tcW w:w="1393" w:type="dxa"/>
          </w:tcPr>
          <w:p>
            <w:pPr>
              <w:spacing w:before="0" w:after="0" w:line="240" w:lineRule="auto"/>
              <w:jc w:val="left"/>
            </w:pPr>
            <w:r>
              <w:rPr>
                <w:sz w:val="20"/>
                <w:szCs w:val="20"/>
              </w:rPr>
              <w:t xml:space="preserve">No</w:t>
            </w:r>
          </w:p>
        </w:tc>
        <w:tc>
          <w:tcPr>
            <w:tcW w:w="710" w:type="dxa"/>
          </w:tcPr>
          <w:p>
            <w:pPr>
              <w:spacing w:before="0" w:after="0" w:line="240" w:lineRule="auto"/>
              <w:jc w:val="left"/>
            </w:pPr>
            <w:r>
              <w:rPr>
                <w:sz w:val="20"/>
                <w:szCs w:val="20"/>
              </w:rPr>
              <w:t xml:space="preserve">Yes</w:t>
            </w:r>
          </w:p>
        </w:tc>
        <w:tc>
          <w:tcPr>
            <w:tcW w:w="1198" w:type="dxa"/>
          </w:tcPr>
          <w:p>
            <w:pPr>
              <w:spacing w:before="0" w:after="0" w:line="240" w:lineRule="auto"/>
              <w:jc w:val="left"/>
            </w:pPr>
            <w:r>
              <w:rPr>
                <w:sz w:val="20"/>
                <w:szCs w:val="20"/>
              </w:rPr>
              <w:t xml:space="preserve">No</w:t>
            </w:r>
          </w:p>
        </w:tc>
        <w:tc>
          <w:tcPr>
            <w:tcW w:w="1686" w:type="dxa"/>
          </w:tcPr>
          <w:p>
            <w:pPr>
              <w:spacing w:before="0" w:after="0" w:line="240" w:lineRule="auto"/>
              <w:jc w:val="left"/>
            </w:pPr>
            <w:r>
              <w:rPr>
                <w:sz w:val="20"/>
                <w:szCs w:val="20"/>
              </w:rPr>
              <w:t xml:space="preserve">Scale- and size-dependent cross-correlation</w:t>
            </w:r>
          </w:p>
        </w:tc>
      </w:tr>
      <w:tr>
        <w:tc>
          <w:tcPr>
            <w:tcW w:w="1100" w:type="dxa"/>
          </w:tcPr>
          <w:p>
            <w:pPr>
              <w:spacing w:before="0" w:after="0" w:line="240" w:lineRule="auto"/>
              <w:jc w:val="left"/>
            </w:pPr>
            <w:r>
              <w:rPr>
                <w:sz w:val="20"/>
                <w:szCs w:val="20"/>
              </w:rPr>
              <w:t xml:space="preserve">Wang et al. (2021); Kakinaka et al. (2025)</w:t>
            </w:r>
          </w:p>
        </w:tc>
        <w:tc>
          <w:tcPr>
            <w:tcW w:w="1588" w:type="dxa"/>
          </w:tcPr>
          <w:p>
            <w:pPr>
              <w:spacing w:before="0" w:after="0" w:line="240" w:lineRule="auto"/>
              <w:jc w:val="left"/>
            </w:pPr>
            <w:r>
              <w:rPr>
                <w:sz w:val="20"/>
                <w:szCs w:val="20"/>
              </w:rPr>
              <w:t xml:space="preserve">Stock portfolios</w:t>
            </w:r>
          </w:p>
        </w:tc>
        <w:tc>
          <w:tcPr>
            <w:tcW w:w="1686" w:type="dxa"/>
          </w:tcPr>
          <w:p>
            <w:pPr>
              <w:spacing w:before="0" w:after="0" w:line="240" w:lineRule="auto"/>
              <w:jc w:val="left"/>
            </w:pPr>
            <w:r>
              <w:rPr>
                <w:sz w:val="20"/>
                <w:szCs w:val="20"/>
              </w:rPr>
              <w:t xml:space="preserve">Mean-MF-X-DMA; mean-DCCA</w:t>
            </w:r>
          </w:p>
        </w:tc>
        <w:tc>
          <w:tcPr>
            <w:tcW w:w="1393" w:type="dxa"/>
          </w:tcPr>
          <w:p>
            <w:pPr>
              <w:spacing w:before="0" w:after="0" w:line="240" w:lineRule="auto"/>
              <w:jc w:val="left"/>
            </w:pPr>
            <w:r>
              <w:rPr>
                <w:sz w:val="20"/>
                <w:szCs w:val="20"/>
              </w:rPr>
              <w:t xml:space="preserve">No</w:t>
            </w:r>
          </w:p>
        </w:tc>
        <w:tc>
          <w:tcPr>
            <w:tcW w:w="710" w:type="dxa"/>
          </w:tcPr>
          <w:p>
            <w:pPr>
              <w:spacing w:before="0" w:after="0" w:line="240" w:lineRule="auto"/>
              <w:jc w:val="left"/>
            </w:pPr>
            <w:r>
              <w:rPr>
                <w:sz w:val="20"/>
                <w:szCs w:val="20"/>
              </w:rPr>
              <w:t xml:space="preserve">Yes</w:t>
            </w:r>
          </w:p>
        </w:tc>
        <w:tc>
          <w:tcPr>
            <w:tcW w:w="1198" w:type="dxa"/>
          </w:tcPr>
          <w:p>
            <w:pPr>
              <w:spacing w:before="0" w:after="0" w:line="240" w:lineRule="auto"/>
              <w:jc w:val="left"/>
            </w:pPr>
            <w:r>
              <w:rPr>
                <w:sz w:val="20"/>
                <w:szCs w:val="20"/>
              </w:rPr>
              <w:t xml:space="preserve">No</w:t>
            </w:r>
          </w:p>
        </w:tc>
        <w:tc>
          <w:tcPr>
            <w:tcW w:w="1686" w:type="dxa"/>
          </w:tcPr>
          <w:p>
            <w:pPr>
              <w:spacing w:before="0" w:after="0" w:line="240" w:lineRule="auto"/>
              <w:jc w:val="left"/>
            </w:pPr>
            <w:r>
              <w:rPr>
                <w:sz w:val="20"/>
                <w:szCs w:val="20"/>
              </w:rPr>
              <w:t xml:space="preserve">Scale-aware rules improve portfolio performance</w:t>
            </w:r>
          </w:p>
        </w:tc>
      </w:tr>
      <w:tr>
        <w:tc>
          <w:tcPr>
            <w:tcW w:w="1100" w:type="dxa"/>
          </w:tcPr>
          <w:p>
            <w:pPr>
              <w:spacing w:before="0" w:after="0" w:line="240" w:lineRule="auto"/>
              <w:jc w:val="left"/>
            </w:pPr>
            <w:r>
              <w:rPr>
                <w:sz w:val="20"/>
                <w:szCs w:val="20"/>
              </w:rPr>
              <w:t xml:space="preserve">Santana et al. (2023)</w:t>
            </w:r>
          </w:p>
        </w:tc>
        <w:tc>
          <w:tcPr>
            <w:tcW w:w="1588" w:type="dxa"/>
          </w:tcPr>
          <w:p>
            <w:pPr>
              <w:spacing w:before="0" w:after="0" w:line="240" w:lineRule="auto"/>
              <w:jc w:val="left"/>
            </w:pPr>
            <w:r>
              <w:rPr>
                <w:sz w:val="20"/>
                <w:szCs w:val="20"/>
              </w:rPr>
              <w:t xml:space="preserve">Crude oil and precious metals</w:t>
            </w:r>
          </w:p>
        </w:tc>
        <w:tc>
          <w:tcPr>
            <w:tcW w:w="1686" w:type="dxa"/>
          </w:tcPr>
          <w:p>
            <w:pPr>
              <w:spacing w:before="0" w:after="0" w:line="240" w:lineRule="auto"/>
              <w:jc w:val="left"/>
            </w:pPr>
            <w:r>
              <w:rPr>
                <w:sz w:val="20"/>
                <w:szCs w:val="20"/>
              </w:rPr>
              <w:t xml:space="preserve">ΔρDCCA test</w:t>
            </w:r>
          </w:p>
        </w:tc>
        <w:tc>
          <w:tcPr>
            <w:tcW w:w="1393" w:type="dxa"/>
          </w:tcPr>
          <w:p>
            <w:pPr>
              <w:spacing w:before="0" w:after="0" w:line="240" w:lineRule="auto"/>
              <w:jc w:val="left"/>
            </w:pPr>
            <w:r>
              <w:rPr>
                <w:sz w:val="20"/>
                <w:szCs w:val="20"/>
              </w:rPr>
              <w:t xml:space="preserve">No</w:t>
            </w:r>
          </w:p>
        </w:tc>
        <w:tc>
          <w:tcPr>
            <w:tcW w:w="710" w:type="dxa"/>
          </w:tcPr>
          <w:p>
            <w:pPr>
              <w:spacing w:before="0" w:after="0" w:line="240" w:lineRule="auto"/>
              <w:jc w:val="left"/>
            </w:pPr>
            <w:r>
              <w:rPr>
                <w:sz w:val="20"/>
                <w:szCs w:val="20"/>
              </w:rPr>
              <w:t xml:space="preserve">Yes</w:t>
            </w:r>
          </w:p>
        </w:tc>
        <w:tc>
          <w:tcPr>
            <w:tcW w:w="1198" w:type="dxa"/>
          </w:tcPr>
          <w:p>
            <w:pPr>
              <w:spacing w:before="0" w:after="0" w:line="240" w:lineRule="auto"/>
              <w:jc w:val="left"/>
            </w:pPr>
            <w:r>
              <w:rPr>
                <w:sz w:val="20"/>
                <w:szCs w:val="20"/>
              </w:rPr>
              <w:t xml:space="preserve">No</w:t>
            </w:r>
          </w:p>
        </w:tc>
        <w:tc>
          <w:tcPr>
            <w:tcW w:w="1686" w:type="dxa"/>
          </w:tcPr>
          <w:p>
            <w:pPr>
              <w:spacing w:before="0" w:after="0" w:line="240" w:lineRule="auto"/>
              <w:jc w:val="left"/>
            </w:pPr>
            <w:r>
              <w:rPr>
                <w:sz w:val="20"/>
                <w:szCs w:val="20"/>
              </w:rPr>
              <w:t xml:space="preserve">Contagion depends on the pair</w:t>
            </w:r>
          </w:p>
        </w:tc>
      </w:tr>
      <w:tr>
        <w:tc>
          <w:tcPr>
            <w:tcW w:w="1100" w:type="dxa"/>
          </w:tcPr>
          <w:p>
            <w:pPr>
              <w:spacing w:before="0" w:after="0" w:line="240" w:lineRule="auto"/>
              <w:jc w:val="left"/>
            </w:pPr>
            <w:r>
              <w:rPr>
                <w:sz w:val="20"/>
                <w:szCs w:val="20"/>
              </w:rPr>
              <w:t xml:space="preserve">Forbes and Rigobon (2002); Corsetti et al. (2005)</w:t>
            </w:r>
          </w:p>
        </w:tc>
        <w:tc>
          <w:tcPr>
            <w:tcW w:w="1588" w:type="dxa"/>
          </w:tcPr>
          <w:p>
            <w:pPr>
              <w:spacing w:before="0" w:after="0" w:line="240" w:lineRule="auto"/>
              <w:jc w:val="left"/>
            </w:pPr>
            <w:r>
              <w:rPr>
                <w:sz w:val="20"/>
                <w:szCs w:val="20"/>
              </w:rPr>
              <w:t xml:space="preserve">International stock markets</w:t>
            </w:r>
          </w:p>
        </w:tc>
        <w:tc>
          <w:tcPr>
            <w:tcW w:w="1686" w:type="dxa"/>
          </w:tcPr>
          <w:p>
            <w:pPr>
              <w:spacing w:before="0" w:after="0" w:line="240" w:lineRule="auto"/>
              <w:jc w:val="left"/>
            </w:pPr>
            <w:r>
              <w:rPr>
                <w:sz w:val="20"/>
                <w:szCs w:val="20"/>
              </w:rPr>
              <w:t xml:space="preserve">Adjusted correlation; factor model</w:t>
            </w:r>
          </w:p>
        </w:tc>
        <w:tc>
          <w:tcPr>
            <w:tcW w:w="1393" w:type="dxa"/>
          </w:tcPr>
          <w:p>
            <w:pPr>
              <w:spacing w:before="0" w:after="0" w:line="240" w:lineRule="auto"/>
              <w:jc w:val="left"/>
            </w:pPr>
            <w:r>
              <w:rPr>
                <w:sz w:val="20"/>
                <w:szCs w:val="20"/>
              </w:rPr>
              <w:t xml:space="preserve">No</w:t>
            </w:r>
          </w:p>
        </w:tc>
        <w:tc>
          <w:tcPr>
            <w:tcW w:w="710" w:type="dxa"/>
          </w:tcPr>
          <w:p>
            <w:pPr>
              <w:spacing w:before="0" w:after="0" w:line="240" w:lineRule="auto"/>
              <w:jc w:val="left"/>
            </w:pPr>
            <w:r>
              <w:rPr>
                <w:sz w:val="20"/>
                <w:szCs w:val="20"/>
              </w:rPr>
              <w:t xml:space="preserve">No</w:t>
            </w:r>
          </w:p>
        </w:tc>
        <w:tc>
          <w:tcPr>
            <w:tcW w:w="1198" w:type="dxa"/>
          </w:tcPr>
          <w:p>
            <w:pPr>
              <w:spacing w:before="0" w:after="0" w:line="240" w:lineRule="auto"/>
              <w:jc w:val="left"/>
            </w:pPr>
            <w:r>
              <w:rPr>
                <w:sz w:val="20"/>
                <w:szCs w:val="20"/>
              </w:rPr>
              <w:t xml:space="preserve">Yes</w:t>
            </w:r>
          </w:p>
        </w:tc>
        <w:tc>
          <w:tcPr>
            <w:tcW w:w="1686" w:type="dxa"/>
          </w:tcPr>
          <w:p>
            <w:pPr>
              <w:spacing w:before="0" w:after="0" w:line="240" w:lineRule="auto"/>
              <w:jc w:val="left"/>
            </w:pPr>
            <w:r>
              <w:rPr>
                <w:sz w:val="20"/>
                <w:szCs w:val="20"/>
              </w:rPr>
              <w:t xml:space="preserve">Interdependence versus contagion; bias from restricted idiosyncratic variance</w:t>
            </w:r>
          </w:p>
        </w:tc>
      </w:tr>
      <w:tr>
        <w:tc>
          <w:tcPr>
            <w:tcW w:w="1100" w:type="dxa"/>
          </w:tcPr>
          <w:p>
            <w:pPr>
              <w:spacing w:before="0" w:after="0" w:line="240" w:lineRule="auto"/>
              <w:jc w:val="left"/>
            </w:pPr>
            <w:r>
              <w:rPr>
                <w:sz w:val="20"/>
                <w:szCs w:val="20"/>
              </w:rPr>
              <w:t xml:space="preserve">Lo and MacKinlay (1990); Hou (2007)</w:t>
            </w:r>
          </w:p>
        </w:tc>
        <w:tc>
          <w:tcPr>
            <w:tcW w:w="1588" w:type="dxa"/>
          </w:tcPr>
          <w:p>
            <w:pPr>
              <w:spacing w:before="0" w:after="0" w:line="240" w:lineRule="auto"/>
              <w:jc w:val="left"/>
            </w:pPr>
            <w:r>
              <w:rPr>
                <w:sz w:val="20"/>
                <w:szCs w:val="20"/>
              </w:rPr>
              <w:t xml:space="preserve">US size portfolios</w:t>
            </w:r>
          </w:p>
        </w:tc>
        <w:tc>
          <w:tcPr>
            <w:tcW w:w="1686" w:type="dxa"/>
          </w:tcPr>
          <w:p>
            <w:pPr>
              <w:spacing w:before="0" w:after="0" w:line="240" w:lineRule="auto"/>
              <w:jc w:val="left"/>
            </w:pPr>
            <w:r>
              <w:rPr>
                <w:sz w:val="20"/>
                <w:szCs w:val="20"/>
              </w:rPr>
              <w:t xml:space="preserve">Cross-autocorrelation</w:t>
            </w:r>
          </w:p>
        </w:tc>
        <w:tc>
          <w:tcPr>
            <w:tcW w:w="1393" w:type="dxa"/>
          </w:tcPr>
          <w:p>
            <w:pPr>
              <w:spacing w:before="0" w:after="0" w:line="240" w:lineRule="auto"/>
              <w:jc w:val="left"/>
            </w:pPr>
            <w:r>
              <w:rPr>
                <w:sz w:val="20"/>
                <w:szCs w:val="20"/>
              </w:rPr>
              <w:t xml:space="preserve">No</w:t>
            </w:r>
          </w:p>
        </w:tc>
        <w:tc>
          <w:tcPr>
            <w:tcW w:w="710" w:type="dxa"/>
          </w:tcPr>
          <w:p>
            <w:pPr>
              <w:spacing w:before="0" w:after="0" w:line="240" w:lineRule="auto"/>
              <w:jc w:val="left"/>
            </w:pPr>
            <w:r>
              <w:rPr>
                <w:sz w:val="20"/>
                <w:szCs w:val="20"/>
              </w:rPr>
              <w:t xml:space="preserve">No</w:t>
            </w:r>
          </w:p>
        </w:tc>
        <w:tc>
          <w:tcPr>
            <w:tcW w:w="1198" w:type="dxa"/>
          </w:tcPr>
          <w:p>
            <w:pPr>
              <w:spacing w:before="0" w:after="0" w:line="240" w:lineRule="auto"/>
              <w:jc w:val="left"/>
            </w:pPr>
            <w:r>
              <w:rPr>
                <w:sz w:val="20"/>
                <w:szCs w:val="20"/>
              </w:rPr>
              <w:t xml:space="preserve">No</w:t>
            </w:r>
          </w:p>
        </w:tc>
        <w:tc>
          <w:tcPr>
            <w:tcW w:w="1686" w:type="dxa"/>
          </w:tcPr>
          <w:p>
            <w:pPr>
              <w:spacing w:before="0" w:after="0" w:line="240" w:lineRule="auto"/>
              <w:jc w:val="left"/>
            </w:pPr>
            <w:r>
              <w:rPr>
                <w:sz w:val="20"/>
                <w:szCs w:val="20"/>
              </w:rPr>
              <w:t xml:space="preserve">Large caps lead small caps</w:t>
            </w:r>
          </w:p>
        </w:tc>
      </w:tr>
      <w:tr>
        <w:tc>
          <w:tcPr>
            <w:tcW w:w="1100" w:type="dxa"/>
          </w:tcPr>
          <w:p>
            <w:pPr>
              <w:spacing w:before="0" w:after="0" w:line="240" w:lineRule="auto"/>
              <w:jc w:val="left"/>
            </w:pPr>
            <w:r>
              <w:rPr>
                <w:sz w:val="20"/>
                <w:szCs w:val="20"/>
              </w:rPr>
              <w:t xml:space="preserve">Bui et al. (2022); Tran and Tran (2025)</w:t>
            </w:r>
          </w:p>
        </w:tc>
        <w:tc>
          <w:tcPr>
            <w:tcW w:w="1588" w:type="dxa"/>
          </w:tcPr>
          <w:p>
            <w:pPr>
              <w:spacing w:before="0" w:after="0" w:line="240" w:lineRule="auto"/>
              <w:jc w:val="left"/>
            </w:pPr>
            <w:r>
              <w:rPr>
                <w:sz w:val="20"/>
                <w:szCs w:val="20"/>
              </w:rPr>
              <w:t xml:space="preserve">Vietnamese sectors; intraday HOSE</w:t>
            </w:r>
          </w:p>
        </w:tc>
        <w:tc>
          <w:tcPr>
            <w:tcW w:w="1686" w:type="dxa"/>
          </w:tcPr>
          <w:p>
            <w:pPr>
              <w:spacing w:before="0" w:after="0" w:line="240" w:lineRule="auto"/>
              <w:jc w:val="left"/>
            </w:pPr>
            <w:r>
              <w:rPr>
                <w:sz w:val="20"/>
                <w:szCs w:val="20"/>
              </w:rPr>
              <w:t xml:space="preserve">Spillover connectedness; high-frequency</w:t>
            </w:r>
          </w:p>
        </w:tc>
        <w:tc>
          <w:tcPr>
            <w:tcW w:w="1393" w:type="dxa"/>
          </w:tcPr>
          <w:p>
            <w:pPr>
              <w:spacing w:before="0" w:after="0" w:line="240" w:lineRule="auto"/>
              <w:jc w:val="left"/>
            </w:pPr>
            <w:r>
              <w:rPr>
                <w:sz w:val="20"/>
                <w:szCs w:val="20"/>
              </w:rPr>
              <w:t xml:space="preserve">No</w:t>
            </w:r>
          </w:p>
        </w:tc>
        <w:tc>
          <w:tcPr>
            <w:tcW w:w="710" w:type="dxa"/>
          </w:tcPr>
          <w:p>
            <w:pPr>
              <w:spacing w:before="0" w:after="0" w:line="240" w:lineRule="auto"/>
              <w:jc w:val="left"/>
            </w:pPr>
            <w:r>
              <w:rPr>
                <w:sz w:val="20"/>
                <w:szCs w:val="20"/>
              </w:rPr>
              <w:t xml:space="preserve">No</w:t>
            </w:r>
          </w:p>
        </w:tc>
        <w:tc>
          <w:tcPr>
            <w:tcW w:w="1198" w:type="dxa"/>
          </w:tcPr>
          <w:p>
            <w:pPr>
              <w:spacing w:before="0" w:after="0" w:line="240" w:lineRule="auto"/>
              <w:jc w:val="left"/>
            </w:pPr>
            <w:r>
              <w:rPr>
                <w:sz w:val="20"/>
                <w:szCs w:val="20"/>
              </w:rPr>
              <w:t xml:space="preserve">No</w:t>
            </w:r>
          </w:p>
        </w:tc>
        <w:tc>
          <w:tcPr>
            <w:tcW w:w="1686" w:type="dxa"/>
          </w:tcPr>
          <w:p>
            <w:pPr>
              <w:spacing w:before="0" w:after="0" w:line="240" w:lineRule="auto"/>
              <w:jc w:val="left"/>
            </w:pPr>
            <w:r>
              <w:rPr>
                <w:sz w:val="20"/>
                <w:szCs w:val="20"/>
              </w:rPr>
              <w:t xml:space="preserve">High connectedness; delayed adjustment</w:t>
            </w:r>
          </w:p>
        </w:tc>
      </w:tr>
      <w:tr>
        <w:tc>
          <w:tcPr>
            <w:tcW w:w="1100" w:type="dxa"/>
          </w:tcPr>
          <w:p>
            <w:pPr>
              <w:spacing w:before="0" w:after="0" w:line="240" w:lineRule="auto"/>
              <w:jc w:val="left"/>
            </w:pPr>
            <w:r>
              <w:rPr>
                <w:sz w:val="20"/>
                <w:szCs w:val="20"/>
              </w:rPr>
              <w:t xml:space="preserve">This study</w:t>
            </w:r>
          </w:p>
        </w:tc>
        <w:tc>
          <w:tcPr>
            <w:tcW w:w="1588" w:type="dxa"/>
          </w:tcPr>
          <w:p>
            <w:pPr>
              <w:spacing w:before="0" w:after="0" w:line="240" w:lineRule="auto"/>
              <w:jc w:val="left"/>
            </w:pPr>
            <w:r>
              <w:rPr>
                <w:sz w:val="20"/>
                <w:szCs w:val="20"/>
              </w:rPr>
              <w:t xml:space="preserve">VN30, VN100, VNINDEX; M30 to daily, 2014–2025</w:t>
            </w:r>
          </w:p>
        </w:tc>
        <w:tc>
          <w:tcPr>
            <w:tcW w:w="1686" w:type="dxa"/>
          </w:tcPr>
          <w:p>
            <w:pPr>
              <w:spacing w:before="0" w:after="0" w:line="240" w:lineRule="auto"/>
              <w:jc w:val="left"/>
            </w:pPr>
            <w:r>
              <w:rPr>
                <w:sz w:val="20"/>
                <w:szCs w:val="20"/>
              </w:rPr>
              <w:t xml:space="preserve">Scale-wise part–whole identity; DCCA</w:t>
            </w:r>
          </w:p>
        </w:tc>
        <w:tc>
          <w:tcPr>
            <w:tcW w:w="1393" w:type="dxa"/>
          </w:tcPr>
          <w:p>
            <w:pPr>
              <w:spacing w:before="0" w:after="0" w:line="240" w:lineRule="auto"/>
              <w:jc w:val="left"/>
            </w:pPr>
            <w:r>
              <w:rPr>
                <w:sz w:val="20"/>
                <w:szCs w:val="20"/>
              </w:rPr>
              <w:t xml:space="preserve">Yes (scale-wise, with weight uncertainty)</w:t>
            </w:r>
          </w:p>
        </w:tc>
        <w:tc>
          <w:tcPr>
            <w:tcW w:w="710" w:type="dxa"/>
          </w:tcPr>
          <w:p>
            <w:pPr>
              <w:spacing w:before="0" w:after="0" w:line="240" w:lineRule="auto"/>
              <w:jc w:val="left"/>
            </w:pPr>
            <w:r>
              <w:rPr>
                <w:sz w:val="20"/>
                <w:szCs w:val="20"/>
              </w:rPr>
              <w:t xml:space="preserve">Yes</w:t>
            </w:r>
          </w:p>
        </w:tc>
        <w:tc>
          <w:tcPr>
            <w:tcW w:w="1198" w:type="dxa"/>
          </w:tcPr>
          <w:p>
            <w:pPr>
              <w:spacing w:before="0" w:after="0" w:line="240" w:lineRule="auto"/>
              <w:jc w:val="left"/>
            </w:pPr>
            <w:r>
              <w:rPr>
                <w:sz w:val="20"/>
                <w:szCs w:val="20"/>
              </w:rPr>
              <w:t xml:space="preserve">Yes</w:t>
            </w:r>
          </w:p>
        </w:tc>
        <w:tc>
          <w:tcPr>
            <w:tcW w:w="1686" w:type="dxa"/>
          </w:tcPr>
          <w:p>
            <w:pPr>
              <w:spacing w:before="0" w:after="0" w:line="240" w:lineRule="auto"/>
              <w:jc w:val="left"/>
            </w:pPr>
            <w:r>
              <w:rPr>
                <w:sz w:val="20"/>
                <w:szCs w:val="20"/>
              </w:rPr>
              <w:t xml:space="preserve">Purged coefficient is largely masked in the nested one</w:t>
            </w:r>
          </w:p>
        </w:tc>
      </w:tr>
    </w:tbl>
    <w:p>
      <w:pPr>
        <w:pStyle w:val="Compact"/>
      </w:pPr>
      <w:r>
        <w:rPr>
          <w:sz w:val="20"/>
          <w:szCs w:val="20"/>
        </w:rPr>
        <w:t xml:space="preserve">Notes: Overlap treated: whether the study separates dependence created by shared constituents; scale-wise: whether dependence is measured by timescale; volatility-robust test: whether crisis comparisons correct for heteroskedasticity or common shocks; DCCA: detrended cross-correlation analysis; MF-DCCA: multifractal DCCA; DMCA: detrending moving-average cross-correlation analysis; ρDCCA: DCCA coefficient. Source: Authors’ compilation.</w:t>
      </w:r>
    </w:p>
    <w:p>
      <w:pPr>
        <w:pStyle w:val="BodyText"/>
        <w:spacing w:before="0" w:after="120" w:line="300" w:lineRule="auto"/>
        <w:jc w:val="both"/>
      </w:pPr>
      <w:r>
        <w:rPr>
          <w:rFonts w:ascii="Times New Roman" w:hAnsi="Times New Roman" w:cs="Times New Roman" w:eastAsia="Times New Roman"/>
          <w:sz w:val="24"/>
          <w:szCs w:val="24"/>
        </w:rPr>
        <w:t xml:space="preserve">Three gaps follow. The part–whole identity is known for static Pearson correlations but has not been extended to scale-wise detrended coefficients, equipped with inference under weight uncertainty, or turned into a diagnostic computable from published series. Multiscale studies of crises rarely use volatility-robust tests, and volatility-conditioned studies use one horizon and disjoint markets. To our knowledge, no study covers the Vietnamese index system at intraday and daily frequencies. For this review, we searched Google Scholar and publisher databases for 2021–2026, plus the classical sources these works cite. Search strings combined</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detrended cross-correlation</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with</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index</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overlap</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nested</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or</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constituent</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 together with</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part–whole</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and</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item–total correlation</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contagion</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with</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Forbes–Rigobon</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or</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heteroskedasticity</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 and</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Vietnam</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with</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co-movement</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or</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stock index</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w:t>
      </w:r>
    </w:p>
    <w:p>
      <w:pPr>
        <w:pStyle w:val="heading20"/>
        <w:numPr>
          <w:ilvl w:val="0"/>
          <w:numId w:val="0"/>
        </w:numPr>
      </w:pPr>
      <w:r>
        <w:rPr>
          <w:rFonts w:ascii="Times New Roman" w:hAnsi="Times New Roman" w:cs="Times New Roman" w:eastAsia="Times New Roman"/>
          <w:b/>
          <w:sz w:val="24"/>
          <w:szCs w:val="24"/>
        </w:rPr>
        <w:t xml:space="preserve">2.7 Estimands and hypotheses</w:t>
      </w:r>
    </w:p>
    <w:p>
      <w:pPr>
        <w:pStyle w:val="p1a"/>
        <w:spacing w:before="0" w:after="120" w:line="300" w:lineRule="auto"/>
        <w:jc w:val="both"/>
      </w:pPr>
      <w:r>
        <w:rPr>
          <w:rFonts w:ascii="Times New Roman" w:hAnsi="Times New Roman" w:cs="Times New Roman" w:eastAsia="Times New Roman"/>
          <w:sz w:val="24"/>
          <w:szCs w:val="24"/>
        </w:rPr>
        <w:t xml:space="preserve">Lemma 1 (Section 4.2) fixes some quantities once the weight and relative amplitude are known; we report these as estimands and test only what the identity does not determine. E1 is the zero-correlation benchmark ρ̲ of the VN30–VN100 coefficient and its share under three attribution conventions, E2 the sensitivity of the nested to the purged coefficient, and E3 the in-sample misstatement of portfolio variance by a static correlation, judged against sampling error. A share above one half is not a finding: it holds whenever κ &lt; √3 and the purged coefficient is non-negative.</w:t>
      </w:r>
    </w:p>
    <w:p>
      <w:pPr>
        <w:pStyle w:val="BodyText"/>
        <w:spacing w:before="0" w:after="120" w:line="300" w:lineRule="auto"/>
        <w:jc w:val="both"/>
      </w:pPr>
      <w:r>
        <w:rPr>
          <w:rFonts w:ascii="Times New Roman" w:hAnsi="Times New Roman" w:cs="Times New Roman" w:eastAsia="Times New Roman"/>
          <w:iCs/>
          <w:i/>
          <w:sz w:val="24"/>
          <w:szCs w:val="24"/>
        </w:rPr>
        <w:t xml:space="preserve">H1 (material overlap gap).</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A purged coefficient near one would leave almost no gap, so the gap size is an empirical question. Rule: at every frequency, the lower 95% bound of the like-for-like gap exceeds 0.05, the estimation tolerance of Section 4.4; the gap is VN30–VN100 minus P</w:t>
      </w:r>
      <w:r>
        <w:rPr>
          <w:rFonts w:ascii="Times New Roman" w:hAnsi="Times New Roman" w:cs="Times New Roman" w:eastAsia="Times New Roman"/>
          <w:vertAlign w:val="subscript"/>
          <w:sz w:val="24"/>
          <w:szCs w:val="24"/>
        </w:rPr>
        <w:t xml:space="preserve">cap</w:t>
      </w:r>
      <w:r>
        <w:rPr>
          <w:rFonts w:ascii="Times New Roman" w:hAnsi="Times New Roman" w:cs="Times New Roman" w:eastAsia="Times New Roman"/>
          <w:sz w:val="24"/>
          <w:szCs w:val="24"/>
        </w:rPr>
        <w:t xml:space="preserve">–VN30 (P</w:t>
      </w:r>
      <w:r>
        <w:rPr>
          <w:rFonts w:ascii="Times New Roman" w:hAnsi="Times New Roman" w:cs="Times New Roman" w:eastAsia="Times New Roman"/>
          <w:vertAlign w:val="subscript"/>
          <w:sz w:val="24"/>
          <w:szCs w:val="24"/>
        </w:rPr>
        <w:t xml:space="preserve">cap</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is the overlap-purged mid-cap series).</w:t>
      </w:r>
    </w:p>
    <w:p>
      <w:pPr>
        <w:pStyle w:val="BodyText"/>
        <w:spacing w:before="0" w:after="120" w:line="300" w:lineRule="auto"/>
        <w:jc w:val="both"/>
      </w:pPr>
      <w:r>
        <w:rPr>
          <w:rFonts w:ascii="Times New Roman" w:hAnsi="Times New Roman" w:cs="Times New Roman" w:eastAsia="Times New Roman"/>
          <w:iCs/>
          <w:i/>
          <w:sz w:val="24"/>
          <w:szCs w:val="24"/>
        </w:rPr>
        <w:t xml:space="preserve">H2 (horizon dependence).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Large caps lead small caps (Lo and MacKinlay 1990; Hou 2007), non-synchronous trading depresses short-horizon correlations (Epps 1979) and information diffuses gradually (Hong and Stein 1999). Broad-market coefficients should therefore rise with the timescale, whereas the identity predicts a damped VN30–VN100 slope. Rule: among eight broad-market slope tests, at least one pair at each of M30 and H1 has a positive slope with a Holm-adjusted studentized p-value below 0.05. We also report robustness to removing the opening bar and an equivalence test for VN30–VN100.</w:t>
      </w:r>
    </w:p>
    <w:p>
      <w:pPr>
        <w:pStyle w:val="BodyText"/>
        <w:spacing w:before="0" w:after="120" w:line="300" w:lineRule="auto"/>
        <w:jc w:val="both"/>
      </w:pPr>
      <w:r>
        <w:rPr>
          <w:rFonts w:ascii="Times New Roman" w:hAnsi="Times New Roman" w:cs="Times New Roman" w:eastAsia="Times New Roman"/>
          <w:iCs/>
          <w:i/>
          <w:sz w:val="24"/>
          <w:szCs w:val="24"/>
        </w:rPr>
        <w:t xml:space="preserve">H3 (contagion).</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Raw crisis correlations rise with volatility alone (Forbes and Rigobon 2002), and the volatility correction is biased toward no contagion when idiosyncratic variance rises (Corsetti et al. 2005). Rule: under VN30 volatility regimes, the adjusted correlation of P</w:t>
      </w:r>
      <w:r>
        <w:rPr>
          <w:rFonts w:ascii="Times New Roman" w:hAnsi="Times New Roman" w:cs="Times New Roman" w:eastAsia="Times New Roman"/>
          <w:vertAlign w:val="subscript"/>
          <w:sz w:val="24"/>
          <w:szCs w:val="24"/>
        </w:rPr>
        <w:t xml:space="preserve">cap</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and VN30 exceeds its calm level (one-sided p &lt; 0.05) and the loading of P</w:t>
      </w:r>
      <w:r>
        <w:rPr>
          <w:rFonts w:ascii="Times New Roman" w:hAnsi="Times New Roman" w:cs="Times New Roman" w:eastAsia="Times New Roman"/>
          <w:vertAlign w:val="subscript"/>
          <w:sz w:val="24"/>
          <w:szCs w:val="24"/>
        </w:rPr>
        <w:t xml:space="preserve">cap</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on VN30 rises (two-sided p &lt; 0.05).</w:t>
      </w:r>
    </w:p>
    <w:p>
      <w:pPr>
        <w:pStyle w:val="BodyText"/>
        <w:spacing w:before="0" w:after="120" w:line="300" w:lineRule="auto"/>
        <w:jc w:val="both"/>
      </w:pPr>
      <w:r>
        <w:rPr>
          <w:rFonts w:ascii="Times New Roman" w:hAnsi="Times New Roman" w:cs="Times New Roman" w:eastAsia="Times New Roman"/>
          <w:iCs/>
          <w:i/>
          <w:sz w:val="24"/>
          <w:szCs w:val="24"/>
        </w:rPr>
        <w:t xml:space="preserve">H4 (value of regime conditioning).</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Rule: an exponentially weighted moving average (EWMA) or real-time regime correlation has a lower quasi-likelihood (QLIKE) loss than the static correlation over 2023–2025, with a Diebold–Mariano p-value below 0.05. We fixed these rules, the eight-test family and the factor-loading test at revision, after the first-round results were known. We also report the original specifications.</w:t>
      </w:r>
    </w:p>
    <w:p>
      <w:pPr>
        <w:pStyle w:val="heading1"/>
        <w:numPr>
          <w:ilvl w:val="0"/>
          <w:numId w:val="0"/>
        </w:numPr>
      </w:pPr>
      <w:r>
        <w:rPr>
          <w:rFonts w:ascii="Times New Roman" w:hAnsi="Times New Roman" w:cs="Times New Roman" w:eastAsia="Times New Roman"/>
          <w:b/>
          <w:sz w:val="24"/>
          <w:szCs w:val="24"/>
        </w:rPr>
        <w:t xml:space="preserve">3 Institutional background and data</w:t>
      </w:r>
    </w:p>
    <w:p>
      <w:pPr>
        <w:pStyle w:val="heading20"/>
        <w:numPr>
          <w:ilvl w:val="0"/>
          <w:numId w:val="0"/>
        </w:numPr>
      </w:pPr>
      <w:r>
        <w:rPr>
          <w:rFonts w:ascii="Times New Roman" w:hAnsi="Times New Roman" w:cs="Times New Roman" w:eastAsia="Times New Roman"/>
          <w:b/>
          <w:sz w:val="24"/>
          <w:szCs w:val="24"/>
        </w:rPr>
        <w:t xml:space="preserve">3.1 Institutional background</w:t>
      </w:r>
    </w:p>
    <w:p>
      <w:pPr>
        <w:pStyle w:val="p1a"/>
        <w:spacing w:before="0" w:after="120" w:line="300" w:lineRule="auto"/>
        <w:jc w:val="both"/>
      </w:pPr>
      <w:r>
        <w:rPr>
          <w:rFonts w:ascii="Times New Roman" w:hAnsi="Times New Roman" w:cs="Times New Roman" w:eastAsia="Times New Roman"/>
          <w:sz w:val="24"/>
          <w:szCs w:val="24"/>
        </w:rPr>
        <w:t xml:space="preserve">Six features of the HOSE matter here. Prices move within a ±7% daily band, which truncates tails and synchronizes limit hits. Settlement moved from T+3 to T+2 on 1 January 2016 (Vietnam Securities Depository 2015), limiting intraday arbitrage. Each day has an opening call auction (09:00–09:15), continuous trading to 11:30, a break to 13:00, a second continuous session and a closing call auction (14:30–14:45). Short selling is restricted. Circular 120/2020/TT-BTC (Ministry of Finance of Vietnam 2020) provides a framework for covered short sales that, to our knowledge, had not been implemented, and naked short selling is prohibited. The implementing Decree 155/2020/ND-CP (Government of Vietnam 2020) was amended by Decree 245/2025/ND-CP (Government of Vietnam 2025). VN30 futures trade on the Hanoi Stock Exchange, but no mid-cap future exists. A VNMIDCAP exchange-traded fund (FUEDCMID) has been listed since 29 September 2022 (Ho Chi Minh City Stock Exchange 2022), so mid caps can be held long but cannot be shorted or hedged with a dedicated derivative. Finally, foreign ownership limits (30% for banks, for example) concentrate foreign flows in large caps with room under their limits. Vietnam is to be reclassified to Secondary Emerging status from 21 September 2026 (FTSE Russell 2025), after the end of our sample.</w:t>
      </w:r>
    </w:p>
    <w:p>
      <w:pPr>
        <w:pStyle w:val="heading20"/>
        <w:numPr>
          <w:ilvl w:val="0"/>
          <w:numId w:val="0"/>
        </w:numPr>
      </w:pPr>
      <w:r>
        <w:rPr>
          <w:rFonts w:ascii="Times New Roman" w:hAnsi="Times New Roman" w:cs="Times New Roman" w:eastAsia="Times New Roman"/>
          <w:b/>
          <w:sz w:val="24"/>
          <w:szCs w:val="24"/>
        </w:rPr>
        <w:t xml:space="preserve">3.2 Data and sample construction</w:t>
      </w:r>
    </w:p>
    <w:p>
      <w:pPr>
        <w:pStyle w:val="p1a"/>
        <w:spacing w:before="0" w:after="120" w:line="300" w:lineRule="auto"/>
        <w:jc w:val="both"/>
      </w:pPr>
      <w:r>
        <w:rPr>
          <w:rFonts w:ascii="Times New Roman" w:hAnsi="Times New Roman" w:cs="Times New Roman" w:eastAsia="Times New Roman"/>
          <w:sz w:val="24"/>
          <w:szCs w:val="24"/>
        </w:rPr>
        <w:t xml:space="preserve">We use VN30, VN100 and VNINDEX levels exported from TradingView (exchange code HOSE). VN30 holds the 30 largest stocks by free-float capitalization, VN100 adds the next 70 (the VNMIDCAP index) and VNINDEX covers all HOSE stocks at full capitalization. Daily (1D) and 30-minute (M30) series run to 12 December 2025, 1-hour (H1) and 4-hour (H4) series to 9 December 2024. M30 bars open at 09:00, 09:30, 10:00, 10:30, 11:00, 11:30, 13:00, 13:30, 14:00, 14:30, H1 bars at 09:00, 10:00, 11:00, 13:00, 14:00, and the two H4 bars cover the two sessions, so at every frequency the first bar of the day holds the overnight return and the opening auction. The vendor has no full VNMIDCAP history, so we recover the mid-cap segment from VN30 and VN100 (Section 4.2). We merge the series by exact timestamp joins without filling gaps. We did not compare them with HOSE closing levels date by date; the replication package records an input checksum. Log returns are</w:t>
      </w:r>
    </w:p>
    <w:p>
      <w:pPr>
        <w:pStyle w:val="BodyText"/>
        <w:spacing w:before="0" w:after="120" w:line="300" w:lineRule="auto"/>
      </w:pPr>
      <m:oMathPara>
        <m:oMathParaPr>
          <m:jc m:val="center"/>
        </m:oMathParaPr>
        <m:oMath>
          <m:sSub>
            <m:e>
              <m:r>
                <m:t>R</m:t>
              </m:r>
            </m:e>
            <m:sub>
              <m:r>
                <m:t>t</m:t>
              </m:r>
            </m:sub>
          </m:sSub>
          <m:r>
            <m:rPr>
              <m:sty m:val="p"/>
            </m:rPr>
            <m:t>=</m:t>
          </m:r>
          <m:r>
            <m:rPr>
              <m:sty m:val="p"/>
            </m:rPr>
            <m:t>ln</m:t>
          </m:r>
          <m:sSub>
            <m:e>
              <m:r>
                <m:t>P</m:t>
              </m:r>
            </m:e>
            <m:sub>
              <m:r>
                <m:t>t</m:t>
              </m:r>
            </m:sub>
          </m:sSub>
          <m:r>
            <m:rPr>
              <m:sty m:val="p"/>
            </m:rPr>
            <m:t>−</m:t>
          </m:r>
          <m:r>
            <m:rPr>
              <m:sty m:val="p"/>
            </m:rPr>
            <m:t>ln</m:t>
          </m:r>
          <m:sSub>
            <m:e>
              <m:r>
                <m:t>P</m:t>
              </m:r>
            </m:e>
            <m:sub>
              <m:r>
                <m:t>t</m:t>
              </m:r>
              <m:r>
                <m:rPr>
                  <m:sty m:val="p"/>
                </m:rPr>
                <m:t>−</m:t>
              </m:r>
              <m:r>
                <m:t>1</m:t>
              </m:r>
            </m:sub>
          </m:sSub>
          <m:r>
            <m:rPr>
              <m:sty m:val="p"/>
            </m:rPr>
            <m:t>.</m:t>
          </m:r>
          <m:r>
            <m:t>  </m:t>
          </m:r>
          <m:d>
            <m:dPr>
              <m:begChr m:val="("/>
              <m:endChr m:val=")"/>
              <m:sepChr m:val=""/>
              <m:grow/>
            </m:dPr>
            <m:e>
              <m:r>
                <m:t>2</m:t>
              </m:r>
            </m:e>
          </m:d>
        </m:oMath>
      </m:oMathPara>
    </w:p>
    <w:p>
      <w:pPr>
        <w:pStyle w:val="FirstParagraph"/>
        <w:spacing w:before="0" w:after="120" w:line="300" w:lineRule="auto"/>
        <w:jc w:val="both"/>
      </w:pPr>
      <w:r>
        <w:rPr>
          <w:rFonts w:ascii="Times New Roman" w:hAnsi="Times New Roman" w:cs="Times New Roman" w:eastAsia="Times New Roman"/>
          <w:sz w:val="24"/>
          <w:szCs w:val="24"/>
        </w:rPr>
        <w:t xml:space="preserve">The synchronized window (3 January 2017 to 9 December 2024; 1D: N = 1,983; M30: 19,463; H1: 9,879; H4: 3,953) serves cross-frequency comparisons. All other analyses use the full sample (1D: February 2014 to December 2025, N = 2,963; M30: January 2017 to December 2025, 21,942; H1 and H4: January 2014 to December 2024, 13,523 and 5,410). The indices are computed in real time, so they embed reconstitutions and delistings and carry no survivorship bias.</w:t>
      </w:r>
    </w:p>
    <w:p>
      <w:pPr>
        <w:pStyle w:val="BodyText"/>
        <w:spacing w:before="0" w:after="120" w:line="300" w:lineRule="auto"/>
        <w:jc w:val="both"/>
      </w:pPr>
      <w:r>
        <w:rPr>
          <w:rFonts w:ascii="Times New Roman" w:hAnsi="Times New Roman" w:cs="Times New Roman" w:eastAsia="Times New Roman"/>
          <w:sz w:val="24"/>
          <w:szCs w:val="24"/>
        </w:rPr>
        <w:t xml:space="preserve">Regimes use the 20-day rolling standard deviation of returns (Fig. 1). Chronological crises require a VNINDEX drawdown above 25%, at least 45% of days in the top volatility quartile and a documented trigger: the 2018 margin contraction (drawdown 26.2%, 47% of days in the top quartile), COVID-19 in 2020 (33.5%, 52%) and the 2022 bond-market freeze (40.2%, 60%). The three episodes total 539 days, against calm years 2016–2017 and 2023–2024 (1,000 days); the 2021 and 2025 spikes fail the first two conditions (Table S12). Quartile regimes compare the bottom and top quartiles of rolling VNINDEX volatility (10.6% and 20.0% annualized) or of VN30 volatility.</w:t>
      </w:r>
    </w:p>
    <w:p>
      <w:pPr>
        <w:pStyle w:val="BodyText"/>
        <w:spacing w:before="0" w:after="120" w:line="300" w:lineRule="auto"/>
        <w:jc w:val="both"/>
      </w:pPr>
      <w:r>
        <w:rPr>
          <w:rFonts w:ascii="Times New Roman" w:hAnsi="Times New Roman" w:cs="Times New Roman" w:eastAsia="Times New Roman"/>
          <w:sz w:val="24"/>
          <w:szCs w:val="24"/>
        </w:rPr>
        <w:drawing>
          <wp:inline>
            <wp:extent cx="5760720" cy="2836046"/>
            <wp:effectExtent b="0" l="0" r="0" t="0"/>
            <wp:docPr descr="" title="" id="21" name="Picture"/>
            <a:graphic>
              <a:graphicData uri="http://schemas.openxmlformats.org/drawingml/2006/picture">
                <pic:pic>
                  <pic:nvPicPr>
                    <pic:cNvPr descr="/home/user/B-i-stock-to-n/Python%20for%20Algorithmic%20Trading/NCKH/Bài%20stock%20toán/project_R/docx_build/../outputs/figures/fig1_volatility_regimes.png" id="22" name="Picture"/>
                    <pic:cNvPicPr>
                      <a:picLocks noChangeArrowheads="1" noChangeAspect="1"/>
                    </pic:cNvPicPr>
                  </pic:nvPicPr>
                  <pic:blipFill>
                    <a:blip r:embed="rId20"/>
                    <a:stretch>
                      <a:fillRect/>
                    </a:stretch>
                  </pic:blipFill>
                  <pic:spPr bwMode="auto">
                    <a:xfrm>
                      <a:off x="0" y="0"/>
                      <a:ext cx="5760720" cy="2836046"/>
                    </a:xfrm>
                    <a:prstGeom prst="rect">
                      <a:avLst/>
                    </a:prstGeom>
                    <a:noFill/>
                    <a:ln w="9525">
                      <a:noFill/>
                      <a:headEnd/>
                      <a:tailEnd/>
                    </a:ln>
                  </pic:spPr>
                </pic:pic>
              </a:graphicData>
            </a:graphic>
          </wp:inline>
        </w:drawing>
      </w:r>
    </w:p>
    <w:p>
      <w:pPr>
        <w:pStyle w:val="figurecaption"/>
      </w:pPr>
      <w:r>
        <w:rPr>
          <w:bCs/>
          <w:b/>
        </w:rPr>
        <w:t xml:space="preserve">Fig. 1</w:t>
      </w:r>
      <w:r>
        <w:t xml:space="preserve"> </w:t>
      </w:r>
      <w:r>
        <w:t xml:space="preserve">Twenty-day rolling volatility of VNINDEX (annualized) and market regimes, 2014–2025</w:t>
      </w:r>
    </w:p>
    <w:p>
      <w:pPr>
        <w:pStyle w:val="Compact"/>
      </w:pPr>
      <w:r>
        <w:rPr>
          <w:sz w:val="20"/>
          <w:szCs w:val="20"/>
        </w:rPr>
        <w:t xml:space="preserve">Notes: Shaded areas: the three chronological crisis episodes; dashed and dotted horizontal lines: 25th and 75th percentiles of rolling volatility. The 2021 and 2025 spikes are not shaded because their drawdowns are below 25% (Section 3.2). Source: Authors’ calculations based on HOSE index data (TradingView).</w:t>
      </w:r>
    </w:p>
    <w:p>
      <w:pPr>
        <w:pStyle w:val="heading1"/>
        <w:numPr>
          <w:ilvl w:val="0"/>
          <w:numId w:val="0"/>
        </w:numPr>
      </w:pPr>
      <w:r>
        <w:rPr>
          <w:rFonts w:ascii="Times New Roman" w:hAnsi="Times New Roman" w:cs="Times New Roman" w:eastAsia="Times New Roman"/>
          <w:b/>
          <w:sz w:val="24"/>
          <w:szCs w:val="24"/>
        </w:rPr>
        <w:t xml:space="preserve">4 Methodology</w:t>
      </w:r>
    </w:p>
    <w:p>
      <w:pPr>
        <w:pStyle w:val="heading20"/>
        <w:numPr>
          <w:ilvl w:val="0"/>
          <w:numId w:val="0"/>
        </w:numPr>
      </w:pPr>
      <w:r>
        <w:rPr>
          <w:rFonts w:ascii="Times New Roman" w:hAnsi="Times New Roman" w:cs="Times New Roman" w:eastAsia="Times New Roman"/>
          <w:b/>
          <w:sz w:val="24"/>
          <w:szCs w:val="24"/>
        </w:rPr>
        <w:t xml:space="preserve">4.1 The DCCA coefficient</w:t>
      </w:r>
    </w:p>
    <w:p>
      <w:pPr>
        <w:pStyle w:val="p1a"/>
        <w:spacing w:before="0" w:after="120" w:line="300" w:lineRule="auto"/>
        <w:jc w:val="both"/>
      </w:pPr>
      <w:r>
        <w:rPr>
          <w:rFonts w:ascii="Times New Roman" w:hAnsi="Times New Roman" w:cs="Times New Roman" w:eastAsia="Times New Roman"/>
          <w:sz w:val="24"/>
          <w:szCs w:val="24"/>
        </w:rPr>
        <w:t xml:space="preserve">The DCCA coefficient measures correlation at timescale s after removing local trends (Podobnik and Stanley 2008; Zebende 2011). For return series x and y of length N, the profiles are</w:t>
      </w:r>
    </w:p>
    <w:p>
      <w:pPr>
        <w:pStyle w:val="BodyText"/>
        <w:spacing w:before="0" w:after="120" w:line="300" w:lineRule="auto"/>
      </w:pPr>
      <m:oMathPara>
        <m:oMathParaPr>
          <m:jc m:val="center"/>
        </m:oMathParaPr>
        <m:oMath>
          <m:sSub>
            <m:e>
              <m:r>
                <m:t>X</m:t>
              </m:r>
            </m:e>
            <m:sub>
              <m:r>
                <m:t>k</m:t>
              </m:r>
            </m:sub>
          </m:sSub>
          <m:r>
            <m:rPr>
              <m:sty m:val="p"/>
            </m:rPr>
            <m:t>=</m:t>
          </m:r>
          <m:nary>
            <m:naryPr>
              <m:chr m:val="∑"/>
              <m:limLoc m:val="undOvr"/>
              <m:subHide m:val="off"/>
              <m:supHide m:val="off"/>
            </m:naryPr>
            <m:sub>
              <m:r>
                <m:t>t</m:t>
              </m:r>
              <m:r>
                <m:rPr>
                  <m:sty m:val="p"/>
                </m:rPr>
                <m:t>=</m:t>
              </m:r>
              <m:r>
                <m:t>1</m:t>
              </m:r>
            </m:sub>
            <m:sup>
              <m:r>
                <m:t>k</m:t>
              </m:r>
            </m:sup>
            <m:e>
              <m:d>
                <m:dPr>
                  <m:begChr m:val="("/>
                  <m:endChr m:val=")"/>
                  <m:sepChr m:val=""/>
                  <m:grow/>
                </m:dPr>
                <m:e>
                  <m:sSub>
                    <m:e>
                      <m:r>
                        <m:t>x</m:t>
                      </m:r>
                    </m:e>
                    <m:sub>
                      <m:r>
                        <m:t>t</m:t>
                      </m:r>
                    </m:sub>
                  </m:sSub>
                  <m:r>
                    <m:rPr>
                      <m:sty m:val="p"/>
                    </m:rPr>
                    <m:t>−</m:t>
                  </m:r>
                  <m:acc>
                    <m:accPr>
                      <m:chr m:val="‾"/>
                    </m:accPr>
                    <m:e>
                      <m:r>
                        <m:t>x</m:t>
                      </m:r>
                    </m:e>
                  </m:acc>
                </m:e>
              </m:d>
            </m:e>
          </m:nary>
          <m:r>
            <m:rPr>
              <m:sty m:val="p"/>
            </m:rPr>
            <m:t>,</m:t>
          </m:r>
          <m:r>
            <m:t> </m:t>
          </m:r>
          <m:sSub>
            <m:e>
              <m:r>
                <m:t>Y</m:t>
              </m:r>
            </m:e>
            <m:sub>
              <m:r>
                <m:t>k</m:t>
              </m:r>
            </m:sub>
          </m:sSub>
          <m:r>
            <m:rPr>
              <m:sty m:val="p"/>
            </m:rPr>
            <m:t>=</m:t>
          </m:r>
          <m:nary>
            <m:naryPr>
              <m:chr m:val="∑"/>
              <m:limLoc m:val="undOvr"/>
              <m:subHide m:val="off"/>
              <m:supHide m:val="off"/>
            </m:naryPr>
            <m:sub>
              <m:r>
                <m:t>t</m:t>
              </m:r>
              <m:r>
                <m:rPr>
                  <m:sty m:val="p"/>
                </m:rPr>
                <m:t>=</m:t>
              </m:r>
              <m:r>
                <m:t>1</m:t>
              </m:r>
            </m:sub>
            <m:sup>
              <m:r>
                <m:t>k</m:t>
              </m:r>
            </m:sup>
            <m:e>
              <m:d>
                <m:dPr>
                  <m:begChr m:val="("/>
                  <m:endChr m:val=")"/>
                  <m:sepChr m:val=""/>
                  <m:grow/>
                </m:dPr>
                <m:e>
                  <m:sSub>
                    <m:e>
                      <m:r>
                        <m:t>y</m:t>
                      </m:r>
                    </m:e>
                    <m:sub>
                      <m:r>
                        <m:t>t</m:t>
                      </m:r>
                    </m:sub>
                  </m:sSub>
                  <m:r>
                    <m:rPr>
                      <m:sty m:val="p"/>
                    </m:rPr>
                    <m:t>−</m:t>
                  </m:r>
                  <m:acc>
                    <m:accPr>
                      <m:chr m:val="‾"/>
                    </m:accPr>
                    <m:e>
                      <m:r>
                        <m:t>y</m:t>
                      </m:r>
                    </m:e>
                  </m:acc>
                </m:e>
              </m:d>
            </m:e>
          </m:nary>
          <m:r>
            <m:rPr>
              <m:sty m:val="p"/>
            </m:rPr>
            <m:t>,</m:t>
          </m:r>
          <m:r>
            <m:t> </m:t>
          </m:r>
          <m:r>
            <m:t>k</m:t>
          </m:r>
          <m:r>
            <m:rPr>
              <m:sty m:val="p"/>
            </m:rPr>
            <m:t>=</m:t>
          </m:r>
          <m:r>
            <m:t>1</m:t>
          </m:r>
          <m:r>
            <m:rPr>
              <m:sty m:val="p"/>
            </m:rPr>
            <m:t>,</m:t>
          </m:r>
          <m:r>
            <m:rPr>
              <m:sty m:val="p"/>
            </m:rPr>
            <m:t>…</m:t>
          </m:r>
          <m:r>
            <m:rPr>
              <m:sty m:val="p"/>
            </m:rPr>
            <m:t>,</m:t>
          </m:r>
          <m:r>
            <m:t>N</m:t>
          </m:r>
          <m:r>
            <m:rPr>
              <m:sty m:val="p"/>
            </m:rPr>
            <m:t>.</m:t>
          </m:r>
          <m:r>
            <m:t>  </m:t>
          </m:r>
          <m:d>
            <m:dPr>
              <m:begChr m:val="("/>
              <m:endChr m:val=")"/>
              <m:sepChr m:val=""/>
              <m:grow/>
            </m:dPr>
            <m:e>
              <m:r>
                <m:t>3</m:t>
              </m:r>
            </m:e>
          </m:d>
        </m:oMath>
      </m:oMathPara>
    </w:p>
    <w:p>
      <w:pPr>
        <w:pStyle w:val="FirstParagraph"/>
        <w:spacing w:before="0" w:after="120" w:line="300" w:lineRule="auto"/>
        <w:jc w:val="both"/>
      </w:pPr>
      <w:r>
        <w:rPr>
          <w:rFonts w:ascii="Times New Roman" w:hAnsi="Times New Roman" w:cs="Times New Roman" w:eastAsia="Times New Roman"/>
          <w:sz w:val="24"/>
          <w:szCs w:val="24"/>
        </w:rPr>
        <w:t xml:space="preserve">We split each profile into N</w:t>
      </w:r>
      <w:r>
        <w:rPr>
          <w:rFonts w:ascii="Times New Roman" w:hAnsi="Times New Roman" w:cs="Times New Roman" w:eastAsia="Times New Roman"/>
          <w:vertAlign w:val="subscript"/>
          <w:sz w:val="24"/>
          <w:szCs w:val="24"/>
        </w:rPr>
        <w:t xml:space="preserve">s</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⌊N/s⌋ boxes of length s, starting from each end of the series (2N</w:t>
      </w:r>
      <w:r>
        <w:rPr>
          <w:rFonts w:ascii="Times New Roman" w:hAnsi="Times New Roman" w:cs="Times New Roman" w:eastAsia="Times New Roman"/>
          <w:vertAlign w:val="subscript"/>
          <w:sz w:val="24"/>
          <w:szCs w:val="24"/>
        </w:rPr>
        <w:t xml:space="preserve">s</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boxes). In each box ν we fit a polynomial of order m (m = 1 unless stated otherwise) by ordinary least squares (OLS); the residuals ε</w:t>
      </w:r>
      <w:r>
        <w:rPr>
          <w:rFonts w:ascii="Times New Roman" w:hAnsi="Times New Roman" w:cs="Times New Roman" w:eastAsia="Times New Roman"/>
          <w:vertAlign w:val="subscript"/>
          <w:sz w:val="24"/>
          <w:szCs w:val="24"/>
        </w:rPr>
        <w:t xml:space="preserve">X</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and ε</w:t>
      </w:r>
      <w:r>
        <w:rPr>
          <w:rFonts w:ascii="Times New Roman" w:hAnsi="Times New Roman" w:cs="Times New Roman" w:eastAsia="Times New Roman"/>
          <w:vertAlign w:val="subscript"/>
          <w:sz w:val="24"/>
          <w:szCs w:val="24"/>
        </w:rPr>
        <w:t xml:space="preserve">Y</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give the detrended covariance</w:t>
      </w:r>
    </w:p>
    <w:p>
      <w:pPr>
        <w:pStyle w:val="BodyText"/>
        <w:spacing w:before="0" w:after="120" w:line="300" w:lineRule="auto"/>
      </w:pPr>
      <m:oMathPara>
        <m:oMathParaPr>
          <m:jc m:val="center"/>
        </m:oMathParaPr>
        <m:oMath>
          <m:sSubSup>
            <m:e>
              <m:r>
                <m:t>f</m:t>
              </m:r>
            </m:e>
            <m:sub>
              <m:r>
                <m:t>X</m:t>
              </m:r>
              <m:r>
                <m:t>Y</m:t>
              </m:r>
            </m:sub>
            <m:sup>
              <m:r>
                <m:t>2</m:t>
              </m:r>
            </m:sup>
          </m:sSubSup>
          <m:d>
            <m:dPr>
              <m:begChr m:val="("/>
              <m:endChr m:val=")"/>
              <m:sepChr m:val=""/>
              <m:grow/>
            </m:dPr>
            <m:e>
              <m:r>
                <m:t>s</m:t>
              </m:r>
              <m:r>
                <m:rPr>
                  <m:sty m:val="p"/>
                </m:rPr>
                <m:t>,</m:t>
              </m:r>
              <m:r>
                <m:t>ν</m:t>
              </m:r>
            </m:e>
          </m:d>
          <m:r>
            <m:rPr>
              <m:sty m:val="p"/>
            </m:rPr>
            <m:t>=</m:t>
          </m:r>
          <m:f>
            <m:fPr>
              <m:type m:val="bar"/>
            </m:fPr>
            <m:num>
              <m:r>
                <m:t>1</m:t>
              </m:r>
            </m:num>
            <m:den>
              <m:r>
                <m:t>s</m:t>
              </m:r>
            </m:den>
          </m:f>
          <m:nary>
            <m:naryPr>
              <m:chr m:val="∑"/>
              <m:limLoc m:val="undOvr"/>
              <m:subHide m:val="off"/>
              <m:supHide m:val="off"/>
            </m:naryPr>
            <m:sub>
              <m:r>
                <m:t>k</m:t>
              </m:r>
              <m:r>
                <m:rPr>
                  <m:sty m:val="p"/>
                </m:rPr>
                <m:t>=</m:t>
              </m:r>
              <m:r>
                <m:t>1</m:t>
              </m:r>
            </m:sub>
            <m:sup>
              <m:r>
                <m:t>s</m:t>
              </m:r>
            </m:sup>
            <m:e>
              <m:sSub>
                <m:e>
                  <m:r>
                    <m:t>ε</m:t>
                  </m:r>
                </m:e>
                <m:sub>
                  <m:r>
                    <m:t>X</m:t>
                  </m:r>
                </m:sub>
              </m:sSub>
            </m:e>
          </m:nary>
          <m:d>
            <m:dPr>
              <m:begChr m:val="("/>
              <m:endChr m:val=")"/>
              <m:sepChr m:val=""/>
              <m:grow/>
            </m:dPr>
            <m:e>
              <m:r>
                <m:t>k</m:t>
              </m:r>
              <m:r>
                <m:rPr>
                  <m:sty m:val="p"/>
                </m:rPr>
                <m:t>,</m:t>
              </m:r>
              <m:r>
                <m:t>ν</m:t>
              </m:r>
            </m:e>
          </m:d>
          <m:r>
            <m:t> </m:t>
          </m:r>
          <m:sSub>
            <m:e>
              <m:r>
                <m:t>ε</m:t>
              </m:r>
            </m:e>
            <m:sub>
              <m:r>
                <m:t>Y</m:t>
              </m:r>
            </m:sub>
          </m:sSub>
          <m:d>
            <m:dPr>
              <m:begChr m:val="("/>
              <m:endChr m:val=")"/>
              <m:sepChr m:val=""/>
              <m:grow/>
            </m:dPr>
            <m:e>
              <m:r>
                <m:t>k</m:t>
              </m:r>
              <m:r>
                <m:rPr>
                  <m:sty m:val="p"/>
                </m:rPr>
                <m:t>,</m:t>
              </m:r>
              <m:r>
                <m:t>ν</m:t>
              </m:r>
            </m:e>
          </m:d>
          <m:r>
            <m:rPr>
              <m:sty m:val="p"/>
            </m:rPr>
            <m:t>,</m:t>
          </m:r>
          <m:r>
            <m:t>  </m:t>
          </m:r>
          <m:sSubSup>
            <m:e>
              <m:r>
                <m:t>F</m:t>
              </m:r>
            </m:e>
            <m:sub>
              <m:r>
                <m:t>X</m:t>
              </m:r>
              <m:r>
                <m:t>Y</m:t>
              </m:r>
            </m:sub>
            <m:sup>
              <m:r>
                <m:t>2</m:t>
              </m:r>
            </m:sup>
          </m:sSubSup>
          <m:d>
            <m:dPr>
              <m:begChr m:val="("/>
              <m:endChr m:val=")"/>
              <m:sepChr m:val=""/>
              <m:grow/>
            </m:dPr>
            <m:e>
              <m:r>
                <m:t>s</m:t>
              </m:r>
            </m:e>
          </m:d>
          <m:r>
            <m:rPr>
              <m:sty m:val="p"/>
            </m:rPr>
            <m:t>=</m:t>
          </m:r>
          <m:f>
            <m:fPr>
              <m:type m:val="bar"/>
            </m:fPr>
            <m:num>
              <m:r>
                <m:t>1</m:t>
              </m:r>
            </m:num>
            <m:den>
              <m:r>
                <m:t>2</m:t>
              </m:r>
              <m:sSub>
                <m:e>
                  <m:r>
                    <m:t>N</m:t>
                  </m:r>
                </m:e>
                <m:sub>
                  <m:r>
                    <m:t>s</m:t>
                  </m:r>
                </m:sub>
              </m:sSub>
            </m:den>
          </m:f>
          <m:nary>
            <m:naryPr>
              <m:chr m:val="∑"/>
              <m:limLoc m:val="undOvr"/>
              <m:subHide m:val="off"/>
              <m:supHide m:val="off"/>
            </m:naryPr>
            <m:sub>
              <m:r>
                <m:t>ν</m:t>
              </m:r>
              <m:r>
                <m:rPr>
                  <m:sty m:val="p"/>
                </m:rPr>
                <m:t>=</m:t>
              </m:r>
              <m:r>
                <m:t>1</m:t>
              </m:r>
            </m:sub>
            <m:sup>
              <m:r>
                <m:t>2</m:t>
              </m:r>
              <m:sSub>
                <m:e>
                  <m:r>
                    <m:t>N</m:t>
                  </m:r>
                </m:e>
                <m:sub>
                  <m:r>
                    <m:t>s</m:t>
                  </m:r>
                </m:sub>
              </m:sSub>
            </m:sup>
            <m:e>
              <m:sSubSup>
                <m:e>
                  <m:r>
                    <m:t>f</m:t>
                  </m:r>
                </m:e>
                <m:sub>
                  <m:r>
                    <m:t>X</m:t>
                  </m:r>
                  <m:r>
                    <m:t>Y</m:t>
                  </m:r>
                </m:sub>
                <m:sup>
                  <m:r>
                    <m:t>2</m:t>
                  </m:r>
                </m:sup>
              </m:sSubSup>
            </m:e>
          </m:nary>
          <m:d>
            <m:dPr>
              <m:begChr m:val="("/>
              <m:endChr m:val=")"/>
              <m:sepChr m:val=""/>
              <m:grow/>
            </m:dPr>
            <m:e>
              <m:r>
                <m:t>s</m:t>
              </m:r>
              <m:r>
                <m:rPr>
                  <m:sty m:val="p"/>
                </m:rPr>
                <m:t>,</m:t>
              </m:r>
              <m:r>
                <m:t>ν</m:t>
              </m:r>
            </m:e>
          </m:d>
          <m:r>
            <m:rPr>
              <m:sty m:val="p"/>
            </m:rPr>
            <m:t>.</m:t>
          </m:r>
          <m:r>
            <m:t>  </m:t>
          </m:r>
          <m:d>
            <m:dPr>
              <m:begChr m:val="("/>
              <m:endChr m:val=")"/>
              <m:sepChr m:val=""/>
              <m:grow/>
            </m:dPr>
            <m:e>
              <m:r>
                <m:t>4</m:t>
              </m:r>
            </m:e>
          </m:d>
        </m:oMath>
      </m:oMathPara>
    </w:p>
    <w:p>
      <w:pPr>
        <w:pStyle w:val="FirstParagraph"/>
        <w:spacing w:before="0" w:after="120" w:line="300" w:lineRule="auto"/>
        <w:jc w:val="both"/>
      </w:pPr>
      <w:r>
        <w:rPr>
          <w:rFonts w:ascii="Times New Roman" w:hAnsi="Times New Roman" w:cs="Times New Roman" w:eastAsia="Times New Roman"/>
          <w:sz w:val="24"/>
          <w:szCs w:val="24"/>
        </w:rPr>
        <w:t xml:space="preserve">With F</w:t>
      </w:r>
      <w:r>
        <w:rPr>
          <w:rFonts w:ascii="Times New Roman" w:hAnsi="Times New Roman" w:cs="Times New Roman" w:eastAsia="Times New Roman"/>
          <w:vertAlign w:val="subscript"/>
          <w:sz w:val="24"/>
          <w:szCs w:val="24"/>
        </w:rPr>
        <w:t xml:space="preserve">X</w:t>
      </w:r>
      <w:r>
        <w:rPr>
          <w:rFonts w:ascii="Times New Roman" w:hAnsi="Times New Roman" w:cs="Times New Roman" w:eastAsia="Times New Roman"/>
          <w:sz w:val="24"/>
          <w:szCs w:val="24"/>
        </w:rPr>
        <w:t xml:space="preserve">(s) = [F²</w:t>
      </w:r>
      <w:r>
        <w:rPr>
          <w:rFonts w:ascii="Times New Roman" w:hAnsi="Times New Roman" w:cs="Times New Roman" w:eastAsia="Times New Roman"/>
          <w:vertAlign w:val="subscript"/>
          <w:sz w:val="24"/>
          <w:szCs w:val="24"/>
        </w:rPr>
        <w:t xml:space="preserve">XX</w:t>
      </w:r>
      <w:r>
        <w:rPr>
          <w:rFonts w:ascii="Times New Roman" w:hAnsi="Times New Roman" w:cs="Times New Roman" w:eastAsia="Times New Roman"/>
          <w:sz w:val="24"/>
          <w:szCs w:val="24"/>
        </w:rPr>
        <w:t xml:space="preserve">(s)]</w:t>
      </w:r>
      <w:r>
        <w:rPr>
          <w:rFonts w:ascii="Times New Roman" w:hAnsi="Times New Roman" w:cs="Times New Roman" w:eastAsia="Times New Roman"/>
          <w:vertAlign w:val="superscript"/>
          <w:sz w:val="24"/>
          <w:szCs w:val="24"/>
        </w:rPr>
        <w:t xml:space="preserve">1/2</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the detrended fluctuation function (Peng et al. 1994), the DCCA coefficient is</w:t>
      </w:r>
    </w:p>
    <w:p>
      <w:pPr>
        <w:pStyle w:val="BodyText"/>
        <w:spacing w:before="0" w:after="120" w:line="300" w:lineRule="auto"/>
      </w:pPr>
      <m:oMathPara>
        <m:oMathParaPr>
          <m:jc m:val="center"/>
        </m:oMathParaPr>
        <m:oMath>
          <m:sSub>
            <m:e>
              <m:r>
                <m:t>ρ</m:t>
              </m:r>
            </m:e>
            <m:sub>
              <m:r>
                <m:t>X</m:t>
              </m:r>
              <m:r>
                <m:t>Y</m:t>
              </m:r>
            </m:sub>
          </m:sSub>
          <m:d>
            <m:dPr>
              <m:begChr m:val="("/>
              <m:endChr m:val=")"/>
              <m:sepChr m:val=""/>
              <m:grow/>
            </m:dPr>
            <m:e>
              <m:r>
                <m:t>s</m:t>
              </m:r>
            </m:e>
          </m:d>
          <m:r>
            <m:rPr>
              <m:sty m:val="p"/>
            </m:rPr>
            <m:t>=</m:t>
          </m:r>
          <m:f>
            <m:fPr>
              <m:type m:val="bar"/>
            </m:fPr>
            <m:num>
              <m:sSubSup>
                <m:e>
                  <m:r>
                    <m:t>F</m:t>
                  </m:r>
                </m:e>
                <m:sub>
                  <m:r>
                    <m:t>X</m:t>
                  </m:r>
                  <m:r>
                    <m:t>Y</m:t>
                  </m:r>
                </m:sub>
                <m:sup>
                  <m:r>
                    <m:t>2</m:t>
                  </m:r>
                </m:sup>
              </m:sSubSup>
              <m:d>
                <m:dPr>
                  <m:begChr m:val="("/>
                  <m:endChr m:val=")"/>
                  <m:sepChr m:val=""/>
                  <m:grow/>
                </m:dPr>
                <m:e>
                  <m:r>
                    <m:t>s</m:t>
                  </m:r>
                </m:e>
              </m:d>
            </m:num>
            <m:den>
              <m:sSub>
                <m:e>
                  <m:r>
                    <m:t>F</m:t>
                  </m:r>
                </m:e>
                <m:sub>
                  <m:r>
                    <m:t>X</m:t>
                  </m:r>
                </m:sub>
              </m:sSub>
              <m:d>
                <m:dPr>
                  <m:begChr m:val="("/>
                  <m:endChr m:val=")"/>
                  <m:sepChr m:val=""/>
                  <m:grow/>
                </m:dPr>
                <m:e>
                  <m:r>
                    <m:t>s</m:t>
                  </m:r>
                </m:e>
              </m:d>
              <m:r>
                <m:t> </m:t>
              </m:r>
              <m:sSub>
                <m:e>
                  <m:r>
                    <m:t>F</m:t>
                  </m:r>
                </m:e>
                <m:sub>
                  <m:r>
                    <m:t>Y</m:t>
                  </m:r>
                </m:sub>
              </m:sSub>
              <m:d>
                <m:dPr>
                  <m:begChr m:val="("/>
                  <m:endChr m:val=")"/>
                  <m:sepChr m:val=""/>
                  <m:grow/>
                </m:dPr>
                <m:e>
                  <m:r>
                    <m:t>s</m:t>
                  </m:r>
                </m:e>
              </m:d>
            </m:den>
          </m:f>
          <m:r>
            <m:rPr>
              <m:sty m:val="p"/>
            </m:rPr>
            <m:t>.</m:t>
          </m:r>
          <m:r>
            <m:t>  </m:t>
          </m:r>
          <m:d>
            <m:dPr>
              <m:begChr m:val="("/>
              <m:endChr m:val=")"/>
              <m:sepChr m:val=""/>
              <m:grow/>
            </m:dPr>
            <m:e>
              <m:r>
                <m:t>5</m:t>
              </m:r>
            </m:e>
          </m:d>
        </m:oMath>
      </m:oMathPara>
    </w:p>
    <w:p>
      <w:pPr>
        <w:pStyle w:val="FirstParagraph"/>
        <w:spacing w:before="0" w:after="120" w:line="300" w:lineRule="auto"/>
        <w:jc w:val="both"/>
      </w:pPr>
      <w:r>
        <w:rPr>
          <w:rFonts w:ascii="Times New Roman" w:hAnsi="Times New Roman" w:cs="Times New Roman" w:eastAsia="Times New Roman"/>
          <w:sz w:val="24"/>
          <w:szCs w:val="24"/>
        </w:rPr>
        <w:t xml:space="preserve">Eq. (5) is an inner product of stacked residual vectors divided by their norms, so |ρ</w:t>
      </w:r>
      <w:r>
        <w:rPr>
          <w:rFonts w:ascii="Times New Roman" w:hAnsi="Times New Roman" w:cs="Times New Roman" w:eastAsia="Times New Roman"/>
          <w:vertAlign w:val="subscript"/>
          <w:sz w:val="24"/>
          <w:szCs w:val="24"/>
        </w:rPr>
        <w:t xml:space="preserve">XY</w:t>
      </w:r>
      <w:r>
        <w:rPr>
          <w:rFonts w:ascii="Times New Roman" w:hAnsi="Times New Roman" w:cs="Times New Roman" w:eastAsia="Times New Roman"/>
          <w:sz w:val="24"/>
          <w:szCs w:val="24"/>
        </w:rPr>
        <w:t xml:space="preserve">(s)| ≤ 1 by the Cauchy–Schwarz inequality whenever both fluctuation functions are positive. Because profiles are linear in the series and OLS detrending is a linear projection, the residuals of a weighted sum of series are the same weighted sum of their residuals.</w:t>
      </w:r>
    </w:p>
    <w:p>
      <w:pPr>
        <w:pStyle w:val="heading20"/>
        <w:numPr>
          <w:ilvl w:val="0"/>
          <w:numId w:val="0"/>
        </w:numPr>
      </w:pPr>
      <w:r>
        <w:rPr>
          <w:rFonts w:ascii="Times New Roman" w:hAnsi="Times New Roman" w:cs="Times New Roman" w:eastAsia="Times New Roman"/>
          <w:b/>
          <w:sz w:val="24"/>
          <w:szCs w:val="24"/>
        </w:rPr>
        <w:t xml:space="preserve">4.2 The overlap-purged series and the part–whole identity</w:t>
      </w:r>
    </w:p>
    <w:p>
      <w:pPr>
        <w:pStyle w:val="p1a"/>
        <w:spacing w:before="0" w:after="120" w:line="300" w:lineRule="auto"/>
        <w:jc w:val="both"/>
      </w:pPr>
      <w:r>
        <w:rPr>
          <w:rFonts w:ascii="Times New Roman" w:hAnsi="Times New Roman" w:cs="Times New Roman" w:eastAsia="Times New Roman"/>
          <w:sz w:val="24"/>
          <w:szCs w:val="24"/>
        </w:rPr>
        <w:t xml:space="preserve">Let A</w:t>
      </w:r>
      <w:r>
        <w:rPr>
          <w:rFonts w:ascii="Times New Roman" w:hAnsi="Times New Roman" w:cs="Times New Roman" w:eastAsia="Times New Roman"/>
          <w:vertAlign w:val="subscript"/>
          <w:sz w:val="24"/>
          <w:szCs w:val="24"/>
        </w:rPr>
        <w:t xml:space="preserve">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and B</w:t>
      </w:r>
      <w:r>
        <w:rPr>
          <w:rFonts w:ascii="Times New Roman" w:hAnsi="Times New Roman" w:cs="Times New Roman" w:eastAsia="Times New Roman"/>
          <w:vertAlign w:val="subscript"/>
          <w:sz w:val="24"/>
          <w:szCs w:val="24"/>
        </w:rPr>
        <w:t xml:space="preserve">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be VN30 and VN100 returns and w the free-float weight of VN30 in VN100. The overlap-purged mid-cap series is</w:t>
      </w:r>
    </w:p>
    <w:p>
      <w:pPr>
        <w:pStyle w:val="BodyText"/>
        <w:spacing w:before="0" w:after="120" w:line="300" w:lineRule="auto"/>
      </w:pPr>
      <m:oMathPara>
        <m:oMathParaPr>
          <m:jc m:val="center"/>
        </m:oMathParaPr>
        <m:oMath>
          <m:sSub>
            <m:e>
              <m:r>
                <m:t>M</m:t>
              </m:r>
            </m:e>
            <m:sub>
              <m:r>
                <m:t>t</m:t>
              </m:r>
            </m:sub>
          </m:sSub>
          <m:r>
            <m:rPr>
              <m:sty m:val="p"/>
            </m:rPr>
            <m:t>=</m:t>
          </m:r>
          <m:sSub>
            <m:e>
              <m:r>
                <m:t>P</m:t>
              </m:r>
            </m:e>
            <m:sub>
              <m:r>
                <m:rPr>
                  <m:sty m:val="p"/>
                </m:rPr>
                <m:t>c</m:t>
              </m:r>
              <m:r>
                <m:rPr>
                  <m:sty m:val="p"/>
                </m:rPr>
                <m:t>a</m:t>
              </m:r>
              <m:r>
                <m:rPr>
                  <m:sty m:val="p"/>
                </m:rPr>
                <m:t>p</m:t>
              </m:r>
              <m:r>
                <m:rPr>
                  <m:sty m:val="p"/>
                </m:rPr>
                <m:t>,</m:t>
              </m:r>
              <m:r>
                <m:t>t</m:t>
              </m:r>
            </m:sub>
          </m:sSub>
          <m:r>
            <m:rPr>
              <m:sty m:val="p"/>
            </m:rPr>
            <m:t>=</m:t>
          </m:r>
          <m:f>
            <m:fPr>
              <m:type m:val="bar"/>
            </m:fPr>
            <m:num>
              <m:sSub>
                <m:e>
                  <m:r>
                    <m:t>B</m:t>
                  </m:r>
                </m:e>
                <m:sub>
                  <m:r>
                    <m:t>t</m:t>
                  </m:r>
                </m:sub>
              </m:sSub>
              <m:r>
                <m:rPr>
                  <m:sty m:val="p"/>
                </m:rPr>
                <m:t>−</m:t>
              </m:r>
              <m:r>
                <m:t>w</m:t>
              </m:r>
              <m:sSub>
                <m:e>
                  <m:r>
                    <m:t>A</m:t>
                  </m:r>
                </m:e>
                <m:sub>
                  <m:r>
                    <m:t>t</m:t>
                  </m:r>
                </m:sub>
              </m:sSub>
            </m:num>
            <m:den>
              <m:r>
                <m:t>1</m:t>
              </m:r>
              <m:r>
                <m:rPr>
                  <m:sty m:val="p"/>
                </m:rPr>
                <m:t>−</m:t>
              </m:r>
              <m:r>
                <m:t>w</m:t>
              </m:r>
            </m:den>
          </m:f>
          <m:r>
            <m:rPr>
              <m:sty m:val="p"/>
            </m:rPr>
            <m:t>,</m:t>
          </m:r>
          <m:r>
            <m:t>  </m:t>
          </m:r>
          <m:d>
            <m:dPr>
              <m:begChr m:val="("/>
              <m:endChr m:val=")"/>
              <m:sepChr m:val=""/>
              <m:grow/>
            </m:dPr>
            <m:e>
              <m:r>
                <m:t>6</m:t>
              </m:r>
            </m:e>
          </m:d>
        </m:oMath>
      </m:oMathPara>
    </w:p>
    <w:p>
      <w:pPr>
        <w:pStyle w:val="FirstParagraph"/>
        <w:spacing w:before="0" w:after="120" w:line="300" w:lineRule="auto"/>
        <w:jc w:val="both"/>
      </w:pPr>
      <w:r>
        <w:rPr>
          <w:rFonts w:ascii="Times New Roman" w:hAnsi="Times New Roman" w:cs="Times New Roman" w:eastAsia="Times New Roman"/>
          <w:sz w:val="24"/>
          <w:szCs w:val="24"/>
        </w:rPr>
        <w:t xml:space="preserve">with w = 0.6826 from the HOSE factsheet of 31 May 2024 (free-float capitalizations of VND 1,316,288 billion and 1,928,303 billion, respectively), so that B</w:t>
      </w:r>
      <w:r>
        <w:rPr>
          <w:rFonts w:ascii="Times New Roman" w:hAnsi="Times New Roman" w:cs="Times New Roman" w:eastAsia="Times New Roman"/>
          <w:vertAlign w:val="subscript"/>
          <w:sz w:val="24"/>
          <w:szCs w:val="24"/>
        </w:rPr>
        <w:t xml:space="preserve">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wA</w:t>
      </w:r>
      <w:r>
        <w:rPr>
          <w:rFonts w:ascii="Times New Roman" w:hAnsi="Times New Roman" w:cs="Times New Roman" w:eastAsia="Times New Roman"/>
          <w:vertAlign w:val="subscript"/>
          <w:sz w:val="24"/>
          <w:szCs w:val="24"/>
        </w:rPr>
        <w:t xml:space="preserve">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(1 − w)M</w:t>
      </w:r>
      <w:r>
        <w:rPr>
          <w:rFonts w:ascii="Times New Roman" w:hAnsi="Times New Roman" w:cs="Times New Roman" w:eastAsia="Times New Roman"/>
          <w:vertAlign w:val="subscript"/>
          <w:sz w:val="24"/>
          <w:szCs w:val="24"/>
        </w:rPr>
        <w:t xml:space="preserve">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at every observation. On log returns, P</w:t>
      </w:r>
      <w:r>
        <w:rPr>
          <w:rFonts w:ascii="Times New Roman" w:hAnsi="Times New Roman" w:cs="Times New Roman" w:eastAsia="Times New Roman"/>
          <w:vertAlign w:val="subscript"/>
          <w:sz w:val="24"/>
          <w:szCs w:val="24"/>
        </w:rPr>
        <w:t xml:space="preserve">cap</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differs from the arithmetic mid-cap return by a Jensen term of 3.6 × 10⁻⁶ per day. P</w:t>
      </w:r>
      <w:r>
        <w:rPr>
          <w:rFonts w:ascii="Times New Roman" w:hAnsi="Times New Roman" w:cs="Times New Roman" w:eastAsia="Times New Roman"/>
          <w:vertAlign w:val="subscript"/>
          <w:sz w:val="24"/>
          <w:szCs w:val="24"/>
        </w:rPr>
        <w:t xml:space="preserve">cap</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is a synthetic shadow series: replicating it requires about 315% long VN100 and 215% short VN30. We call ρ</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 the coefficient of VN30 and P</w:t>
      </w:r>
      <w:r>
        <w:rPr>
          <w:rFonts w:ascii="Times New Roman" w:hAnsi="Times New Roman" w:cs="Times New Roman" w:eastAsia="Times New Roman"/>
          <w:vertAlign w:val="subscript"/>
          <w:sz w:val="24"/>
          <w:szCs w:val="24"/>
        </w:rPr>
        <w:t xml:space="preserve">cap</w:t>
      </w:r>
      <w:r>
        <w:rPr>
          <w:rFonts w:ascii="Times New Roman" w:hAnsi="Times New Roman" w:cs="Times New Roman" w:eastAsia="Times New Roman"/>
          <w:sz w:val="24"/>
          <w:szCs w:val="24"/>
        </w:rPr>
        <w:t xml:space="preserve">, overlap-purged rather than economic, because we cannot validate P</w:t>
      </w:r>
      <w:r>
        <w:rPr>
          <w:rFonts w:ascii="Times New Roman" w:hAnsi="Times New Roman" w:cs="Times New Roman" w:eastAsia="Times New Roman"/>
          <w:vertAlign w:val="subscript"/>
          <w:sz w:val="24"/>
          <w:szCs w:val="24"/>
        </w:rPr>
        <w:t xml:space="preserve">cap</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against the published VNMIDCAP series (Section 6.3).</w:t>
      </w:r>
    </w:p>
    <w:p>
      <w:pPr>
        <w:pStyle w:val="BodyText"/>
        <w:spacing w:before="0" w:after="120" w:line="300" w:lineRule="auto"/>
        <w:jc w:val="both"/>
      </w:pPr>
      <w:r>
        <w:rPr>
          <w:rFonts w:ascii="Times New Roman" w:hAnsi="Times New Roman" w:cs="Times New Roman" w:eastAsia="Times New Roman"/>
          <w:bCs/>
          <w:b/>
          <w:sz w:val="24"/>
          <w:szCs w:val="24"/>
        </w:rPr>
        <w:t xml:space="preserve">Lemma 1 (scale-wise part–whole identity).</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Let B</w:t>
      </w:r>
      <w:r>
        <w:rPr>
          <w:rFonts w:ascii="Times New Roman" w:hAnsi="Times New Roman" w:cs="Times New Roman" w:eastAsia="Times New Roman"/>
          <w:vertAlign w:val="subscript"/>
          <w:sz w:val="24"/>
          <w:szCs w:val="24"/>
        </w:rPr>
        <w:t xml:space="preserve">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wA</w:t>
      </w:r>
      <w:r>
        <w:rPr>
          <w:rFonts w:ascii="Times New Roman" w:hAnsi="Times New Roman" w:cs="Times New Roman" w:eastAsia="Times New Roman"/>
          <w:vertAlign w:val="subscript"/>
          <w:sz w:val="24"/>
          <w:szCs w:val="24"/>
        </w:rPr>
        <w:t xml:space="preserve">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(1 − w)M</w:t>
      </w:r>
      <w:r>
        <w:rPr>
          <w:rFonts w:ascii="Times New Roman" w:hAnsi="Times New Roman" w:cs="Times New Roman" w:eastAsia="Times New Roman"/>
          <w:vertAlign w:val="subscript"/>
          <w:sz w:val="24"/>
          <w:szCs w:val="24"/>
        </w:rPr>
        <w:t xml:space="preserve">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for all t, with 0 &lt; w &lt; 1 and F</w:t>
      </w:r>
      <w:r>
        <w:rPr>
          <w:rFonts w:ascii="Times New Roman" w:hAnsi="Times New Roman" w:cs="Times New Roman" w:eastAsia="Times New Roman"/>
          <w:vertAlign w:val="subscript"/>
          <w:sz w:val="24"/>
          <w:szCs w:val="24"/>
        </w:rPr>
        <w:t xml:space="preserve">A</w:t>
      </w:r>
      <w:r>
        <w:rPr>
          <w:rFonts w:ascii="Times New Roman" w:hAnsi="Times New Roman" w:cs="Times New Roman" w:eastAsia="Times New Roman"/>
          <w:sz w:val="24"/>
          <w:szCs w:val="24"/>
        </w:rPr>
        <w:t xml:space="preserve">(s), F</w:t>
      </w:r>
      <w:r>
        <w:rPr>
          <w:rFonts w:ascii="Times New Roman" w:hAnsi="Times New Roman" w:cs="Times New Roman" w:eastAsia="Times New Roman"/>
          <w:vertAlign w:val="subscript"/>
          <w:sz w:val="24"/>
          <w:szCs w:val="24"/>
        </w:rPr>
        <w:t xml:space="preserve">M</w:t>
      </w:r>
      <w:r>
        <w:rPr>
          <w:rFonts w:ascii="Times New Roman" w:hAnsi="Times New Roman" w:cs="Times New Roman" w:eastAsia="Times New Roman"/>
          <w:sz w:val="24"/>
          <w:szCs w:val="24"/>
        </w:rPr>
        <w:t xml:space="preserve">(s) &gt; 0, and define the relative amplitude κ(s) = (1 − w)F</w:t>
      </w:r>
      <w:r>
        <w:rPr>
          <w:rFonts w:ascii="Times New Roman" w:hAnsi="Times New Roman" w:cs="Times New Roman" w:eastAsia="Times New Roman"/>
          <w:vertAlign w:val="subscript"/>
          <w:sz w:val="24"/>
          <w:szCs w:val="24"/>
        </w:rPr>
        <w:t xml:space="preserve">M</w:t>
      </w:r>
      <w:r>
        <w:rPr>
          <w:rFonts w:ascii="Times New Roman" w:hAnsi="Times New Roman" w:cs="Times New Roman" w:eastAsia="Times New Roman"/>
          <w:sz w:val="24"/>
          <w:szCs w:val="24"/>
        </w:rPr>
        <w:t xml:space="preserve">(s)/[wF</w:t>
      </w:r>
      <w:r>
        <w:rPr>
          <w:rFonts w:ascii="Times New Roman" w:hAnsi="Times New Roman" w:cs="Times New Roman" w:eastAsia="Times New Roman"/>
          <w:vertAlign w:val="subscript"/>
          <w:sz w:val="24"/>
          <w:szCs w:val="24"/>
        </w:rPr>
        <w:t xml:space="preserve">A</w:t>
      </w:r>
      <w:r>
        <w:rPr>
          <w:rFonts w:ascii="Times New Roman" w:hAnsi="Times New Roman" w:cs="Times New Roman" w:eastAsia="Times New Roman"/>
          <w:sz w:val="24"/>
          <w:szCs w:val="24"/>
        </w:rPr>
        <w:t xml:space="preserve">(s)]. Then, for every s and m,</w:t>
      </w:r>
    </w:p>
    <w:p>
      <w:pPr>
        <w:pStyle w:val="BodyText"/>
        <w:spacing w:before="0" w:after="120" w:line="300" w:lineRule="auto"/>
      </w:pPr>
      <m:oMathPara>
        <m:oMathParaPr>
          <m:jc m:val="center"/>
        </m:oMathParaPr>
        <m:oMath>
          <m:sSub>
            <m:e>
              <m:r>
                <m:t>ρ</m:t>
              </m:r>
            </m:e>
            <m:sub>
              <m:r>
                <m:t>A</m:t>
              </m:r>
              <m:r>
                <m:t>B</m:t>
              </m:r>
            </m:sub>
          </m:sSub>
          <m:d>
            <m:dPr>
              <m:begChr m:val="("/>
              <m:endChr m:val=")"/>
              <m:sepChr m:val=""/>
              <m:grow/>
            </m:dPr>
            <m:e>
              <m:r>
                <m:t>s</m:t>
              </m:r>
            </m:e>
          </m:d>
          <m:r>
            <m:rPr>
              <m:sty m:val="p"/>
            </m:rPr>
            <m:t>=</m:t>
          </m:r>
          <m:f>
            <m:fPr>
              <m:type m:val="bar"/>
            </m:fPr>
            <m:num>
              <m:r>
                <m:t>1</m:t>
              </m:r>
              <m:r>
                <m:rPr>
                  <m:sty m:val="p"/>
                </m:rPr>
                <m:t>+</m:t>
              </m:r>
              <m:r>
                <m:t>κ</m:t>
              </m:r>
              <m:d>
                <m:dPr>
                  <m:begChr m:val="("/>
                  <m:endChr m:val=")"/>
                  <m:sepChr m:val=""/>
                  <m:grow/>
                </m:dPr>
                <m:e>
                  <m:r>
                    <m:t>s</m:t>
                  </m:r>
                </m:e>
              </m:d>
              <m:r>
                <m:t> </m:t>
              </m:r>
              <m:sSub>
                <m:e>
                  <m:r>
                    <m:t>ρ</m:t>
                  </m:r>
                </m:e>
                <m:sub>
                  <m:r>
                    <m:t>A</m:t>
                  </m:r>
                  <m:r>
                    <m:t>M</m:t>
                  </m:r>
                </m:sub>
              </m:sSub>
              <m:d>
                <m:dPr>
                  <m:begChr m:val="("/>
                  <m:endChr m:val=")"/>
                  <m:sepChr m:val=""/>
                  <m:grow/>
                </m:dPr>
                <m:e>
                  <m:r>
                    <m:t>s</m:t>
                  </m:r>
                </m:e>
              </m:d>
            </m:num>
            <m:den>
              <m:rad>
                <m:radPr>
                  <m:degHide m:val="on"/>
                </m:radPr>
                <m:deg/>
                <m:e>
                  <m:r>
                    <m:t>1</m:t>
                  </m:r>
                  <m:r>
                    <m:rPr>
                      <m:sty m:val="p"/>
                    </m:rPr>
                    <m:t>+</m:t>
                  </m:r>
                  <m:r>
                    <m:t>κ</m:t>
                  </m:r>
                  <m:sSup>
                    <m:e>
                      <m:d>
                        <m:dPr>
                          <m:begChr m:val="("/>
                          <m:endChr m:val=")"/>
                          <m:sepChr m:val=""/>
                          <m:grow/>
                        </m:dPr>
                        <m:e>
                          <m:r>
                            <m:t>s</m:t>
                          </m:r>
                        </m:e>
                      </m:d>
                    </m:e>
                    <m:sup>
                      <m:r>
                        <m:t>2</m:t>
                      </m:r>
                    </m:sup>
                  </m:sSup>
                  <m:r>
                    <m:rPr>
                      <m:sty m:val="p"/>
                    </m:rPr>
                    <m:t>+</m:t>
                  </m:r>
                  <m:r>
                    <m:t>2</m:t>
                  </m:r>
                  <m:r>
                    <m:t>κ</m:t>
                  </m:r>
                  <m:d>
                    <m:dPr>
                      <m:begChr m:val="("/>
                      <m:endChr m:val=")"/>
                      <m:sepChr m:val=""/>
                      <m:grow/>
                    </m:dPr>
                    <m:e>
                      <m:r>
                        <m:t>s</m:t>
                      </m:r>
                    </m:e>
                  </m:d>
                  <m:r>
                    <m:t> </m:t>
                  </m:r>
                  <m:sSub>
                    <m:e>
                      <m:r>
                        <m:t>ρ</m:t>
                      </m:r>
                    </m:e>
                    <m:sub>
                      <m:r>
                        <m:t>A</m:t>
                      </m:r>
                      <m:r>
                        <m:t>M</m:t>
                      </m:r>
                    </m:sub>
                  </m:sSub>
                  <m:d>
                    <m:dPr>
                      <m:begChr m:val="("/>
                      <m:endChr m:val=")"/>
                      <m:sepChr m:val=""/>
                      <m:grow/>
                    </m:dPr>
                    <m:e>
                      <m:r>
                        <m:t>s</m:t>
                      </m:r>
                    </m:e>
                  </m:d>
                </m:e>
              </m:rad>
            </m:den>
          </m:f>
          <m:r>
            <m:rPr>
              <m:sty m:val="p"/>
            </m:rPr>
            <m:t>.</m:t>
          </m:r>
          <m:r>
            <m:t>  </m:t>
          </m:r>
          <m:d>
            <m:dPr>
              <m:begChr m:val="("/>
              <m:endChr m:val=")"/>
              <m:sepChr m:val=""/>
              <m:grow/>
            </m:dPr>
            <m:e>
              <m:r>
                <m:t>7</m:t>
              </m:r>
            </m:e>
          </m:d>
        </m:oMath>
      </m:oMathPara>
    </w:p>
    <w:p>
      <w:pPr>
        <w:pStyle w:val="FirstParagraph"/>
        <w:spacing w:before="0" w:after="120" w:line="300" w:lineRule="auto"/>
        <w:jc w:val="both"/>
      </w:pPr>
      <w:r>
        <w:rPr>
          <w:rFonts w:ascii="Times New Roman" w:hAnsi="Times New Roman" w:cs="Times New Roman" w:eastAsia="Times New Roman"/>
          <w:iCs/>
          <w:i/>
          <w:sz w:val="24"/>
          <w:szCs w:val="24"/>
        </w:rPr>
        <w:t xml:space="preserve">Proof.</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Residuals are linear in the series, so ε</w:t>
      </w:r>
      <w:r>
        <w:rPr>
          <w:rFonts w:ascii="Times New Roman" w:hAnsi="Times New Roman" w:cs="Times New Roman" w:eastAsia="Times New Roman"/>
          <w:vertAlign w:val="subscript"/>
          <w:sz w:val="24"/>
          <w:szCs w:val="24"/>
        </w:rPr>
        <w:t xml:space="preserve">B</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wε</w:t>
      </w:r>
      <w:r>
        <w:rPr>
          <w:rFonts w:ascii="Times New Roman" w:hAnsi="Times New Roman" w:cs="Times New Roman" w:eastAsia="Times New Roman"/>
          <w:vertAlign w:val="subscript"/>
          <w:sz w:val="24"/>
          <w:szCs w:val="24"/>
        </w:rPr>
        <w:t xml:space="preserve">A</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(1 − w)ε</w:t>
      </w:r>
      <w:r>
        <w:rPr>
          <w:rFonts w:ascii="Times New Roman" w:hAnsi="Times New Roman" w:cs="Times New Roman" w:eastAsia="Times New Roman"/>
          <w:vertAlign w:val="subscript"/>
          <w:sz w:val="24"/>
          <w:szCs w:val="24"/>
        </w:rPr>
        <w:t xml:space="preserve">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in every box. By bilinearity of Eq. (4), F²</w:t>
      </w:r>
      <w:r>
        <w:rPr>
          <w:rFonts w:ascii="Times New Roman" w:hAnsi="Times New Roman" w:cs="Times New Roman" w:eastAsia="Times New Roman"/>
          <w:vertAlign w:val="subscript"/>
          <w:sz w:val="24"/>
          <w:szCs w:val="24"/>
        </w:rPr>
        <w:t xml:space="preserve">AB</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wF²</w:t>
      </w:r>
      <w:r>
        <w:rPr>
          <w:rFonts w:ascii="Times New Roman" w:hAnsi="Times New Roman" w:cs="Times New Roman" w:eastAsia="Times New Roman"/>
          <w:vertAlign w:val="subscript"/>
          <w:sz w:val="24"/>
          <w:szCs w:val="24"/>
        </w:rPr>
        <w:t xml:space="preserve">A</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(1 − w)ρ</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F</w:t>
      </w:r>
      <w:r>
        <w:rPr>
          <w:rFonts w:ascii="Times New Roman" w:hAnsi="Times New Roman" w:cs="Times New Roman" w:eastAsia="Times New Roman"/>
          <w:vertAlign w:val="subscript"/>
          <w:sz w:val="24"/>
          <w:szCs w:val="24"/>
        </w:rPr>
        <w:t xml:space="preserve">A</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F</w:t>
      </w:r>
      <w:r>
        <w:rPr>
          <w:rFonts w:ascii="Times New Roman" w:hAnsi="Times New Roman" w:cs="Times New Roman" w:eastAsia="Times New Roman"/>
          <w:vertAlign w:val="subscript"/>
          <w:sz w:val="24"/>
          <w:szCs w:val="24"/>
        </w:rPr>
        <w:t xml:space="preserve">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and F²</w:t>
      </w:r>
      <w:r>
        <w:rPr>
          <w:rFonts w:ascii="Times New Roman" w:hAnsi="Times New Roman" w:cs="Times New Roman" w:eastAsia="Times New Roman"/>
          <w:vertAlign w:val="subscript"/>
          <w:sz w:val="24"/>
          <w:szCs w:val="24"/>
        </w:rPr>
        <w:t xml:space="preserve">B</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w²F²</w:t>
      </w:r>
      <w:r>
        <w:rPr>
          <w:rFonts w:ascii="Times New Roman" w:hAnsi="Times New Roman" w:cs="Times New Roman" w:eastAsia="Times New Roman"/>
          <w:vertAlign w:val="subscript"/>
          <w:sz w:val="24"/>
          <w:szCs w:val="24"/>
        </w:rPr>
        <w:t xml:space="preserve">A</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(1 − w)²F²</w:t>
      </w:r>
      <w:r>
        <w:rPr>
          <w:rFonts w:ascii="Times New Roman" w:hAnsi="Times New Roman" w:cs="Times New Roman" w:eastAsia="Times New Roman"/>
          <w:vertAlign w:val="subscript"/>
          <w:sz w:val="24"/>
          <w:szCs w:val="24"/>
        </w:rPr>
        <w:t xml:space="preserve">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+ 2w(1 − w)ρ</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F</w:t>
      </w:r>
      <w:r>
        <w:rPr>
          <w:rFonts w:ascii="Times New Roman" w:hAnsi="Times New Roman" w:cs="Times New Roman" w:eastAsia="Times New Roman"/>
          <w:vertAlign w:val="subscript"/>
          <w:sz w:val="24"/>
          <w:szCs w:val="24"/>
        </w:rPr>
        <w:t xml:space="preserve">A</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F</w:t>
      </w:r>
      <w:r>
        <w:rPr>
          <w:rFonts w:ascii="Times New Roman" w:hAnsi="Times New Roman" w:cs="Times New Roman" w:eastAsia="Times New Roman"/>
          <w:vertAlign w:val="subscript"/>
          <w:sz w:val="24"/>
          <w:szCs w:val="24"/>
        </w:rPr>
        <w:t xml:space="preserve">M</w:t>
      </w:r>
      <w:r>
        <w:rPr>
          <w:rFonts w:ascii="Times New Roman" w:hAnsi="Times New Roman" w:cs="Times New Roman" w:eastAsia="Times New Roman"/>
          <w:sz w:val="24"/>
          <w:szCs w:val="24"/>
        </w:rPr>
        <w:t xml:space="preserve">; substituting into Eq. (5) and dividing by wF²</w:t>
      </w:r>
      <w:r>
        <w:rPr>
          <w:rFonts w:ascii="Times New Roman" w:hAnsi="Times New Roman" w:cs="Times New Roman" w:eastAsia="Times New Roman"/>
          <w:vertAlign w:val="subscript"/>
          <w:sz w:val="24"/>
          <w:szCs w:val="24"/>
        </w:rPr>
        <w:t xml:space="preserve">A</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gives Eq. (7). ∎</w:t>
      </w:r>
    </w:p>
    <w:p>
      <w:pPr>
        <w:pStyle w:val="BodyText"/>
        <w:spacing w:before="0" w:after="120" w:line="300" w:lineRule="auto"/>
        <w:jc w:val="both"/>
      </w:pPr>
      <w:r>
        <w:rPr>
          <w:rFonts w:ascii="Times New Roman" w:hAnsi="Times New Roman" w:cs="Times New Roman" w:eastAsia="Times New Roman"/>
          <w:sz w:val="24"/>
          <w:szCs w:val="24"/>
        </w:rPr>
        <w:t xml:space="preserve">With one box and no detrending, Eq. (7) is the classical part–whole correlation (Pearson 1897; Cureton 1966), so the lemma adapts a known identity. It holds scale by scale for detrended coefficients, for the detrending moving-average cross-correlation (DMCA) coefficient (Kristoufek 2014) and for any measure built from a bilinear covariance of linearly filtered series. Five corollaries follow; we fix the scale and suppress it in the notation.</w:t>
      </w:r>
    </w:p>
    <w:p>
      <w:pPr>
        <w:pStyle w:val="BodyText"/>
        <w:spacing w:before="0" w:after="120" w:line="300" w:lineRule="auto"/>
        <w:jc w:val="both"/>
      </w:pPr>
      <w:r>
        <w:rPr>
          <w:rFonts w:ascii="Times New Roman" w:hAnsi="Times New Roman" w:cs="Times New Roman" w:eastAsia="Times New Roman"/>
          <w:iCs/>
          <w:i/>
          <w:sz w:val="24"/>
          <w:szCs w:val="24"/>
        </w:rPr>
        <w:t xml:space="preserve">Corollary 1 (benchmark and bound).</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Setting ρ</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0 gives the zero-correlation benchmark</w:t>
      </w:r>
    </w:p>
    <w:p>
      <w:pPr>
        <w:pStyle w:val="BodyText"/>
        <w:spacing w:before="0" w:after="120" w:line="300" w:lineRule="auto"/>
      </w:pPr>
      <m:oMathPara>
        <m:oMathParaPr>
          <m:jc m:val="center"/>
        </m:oMathParaPr>
        <m:oMath>
          <m:bar>
            <m:barPr>
              <m:pos m:val="bot"/>
            </m:barPr>
            <m:e>
              <m:r>
                <m:t>ρ</m:t>
              </m:r>
            </m:e>
          </m:bar>
          <m:r>
            <m:rPr>
              <m:sty m:val="p"/>
            </m:rPr>
            <m:t>=</m:t>
          </m:r>
          <m:f>
            <m:fPr>
              <m:type m:val="bar"/>
            </m:fPr>
            <m:num>
              <m:r>
                <m:t>1</m:t>
              </m:r>
            </m:num>
            <m:den>
              <m:rad>
                <m:radPr>
                  <m:degHide m:val="on"/>
                </m:radPr>
                <m:deg/>
                <m:e>
                  <m:r>
                    <m:t>1</m:t>
                  </m:r>
                  <m:r>
                    <m:rPr>
                      <m:sty m:val="p"/>
                    </m:rPr>
                    <m:t>+</m:t>
                  </m:r>
                  <m:sSup>
                    <m:e>
                      <m:r>
                        <m:t>κ</m:t>
                      </m:r>
                    </m:e>
                    <m:sup>
                      <m:r>
                        <m:t>2</m:t>
                      </m:r>
                    </m:sup>
                  </m:sSup>
                </m:e>
              </m:rad>
            </m:den>
          </m:f>
          <m:r>
            <m:rPr>
              <m:sty m:val="p"/>
            </m:rPr>
            <m:t>.</m:t>
          </m:r>
          <m:r>
            <m:t>  </m:t>
          </m:r>
          <m:d>
            <m:dPr>
              <m:begChr m:val="("/>
              <m:endChr m:val=")"/>
              <m:sepChr m:val=""/>
              <m:grow/>
            </m:dPr>
            <m:e>
              <m:r>
                <m:t>8</m:t>
              </m:r>
            </m:e>
          </m:d>
        </m:oMath>
      </m:oMathPara>
    </w:p>
    <w:p>
      <w:pPr>
        <w:pStyle w:val="FirstParagraph"/>
        <w:spacing w:before="0" w:after="120" w:line="300" w:lineRule="auto"/>
        <w:jc w:val="both"/>
      </w:pPr>
      <w:r>
        <w:rPr>
          <w:rFonts w:ascii="Times New Roman" w:hAnsi="Times New Roman" w:cs="Times New Roman" w:eastAsia="Times New Roman"/>
          <w:sz w:val="24"/>
          <w:szCs w:val="24"/>
        </w:rPr>
        <w:t xml:space="preserve">Eq. (7) increases in ρ</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for ρ</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&gt; −κ, so ρ̲ bounds ρ</w:t>
      </w:r>
      <w:r>
        <w:rPr>
          <w:rFonts w:ascii="Times New Roman" w:hAnsi="Times New Roman" w:cs="Times New Roman" w:eastAsia="Times New Roman"/>
          <w:vertAlign w:val="subscript"/>
          <w:sz w:val="24"/>
          <w:szCs w:val="24"/>
        </w:rPr>
        <w:t xml:space="preserve">AB</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from below only when ρ</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0. For κ &lt; 1 the minimum over all admissible ρ</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is</w:t>
      </w:r>
    </w:p>
    <w:p>
      <w:pPr>
        <w:pStyle w:val="BodyText"/>
        <w:spacing w:before="0" w:after="120" w:line="300" w:lineRule="auto"/>
      </w:pPr>
      <m:oMathPara>
        <m:oMathParaPr>
          <m:jc m:val="center"/>
        </m:oMathParaPr>
        <m:oMath>
          <m:limLow>
            <m:e>
              <m:r>
                <m:rPr>
                  <m:sty m:val="p"/>
                </m:rPr>
                <m:t>min</m:t>
              </m:r>
            </m:e>
            <m:lim>
              <m:sSub>
                <m:e>
                  <m:r>
                    <m:t>ρ</m:t>
                  </m:r>
                </m:e>
                <m:sub>
                  <m:r>
                    <m:t>A</m:t>
                  </m:r>
                  <m:r>
                    <m:t>M</m:t>
                  </m:r>
                </m:sub>
              </m:sSub>
              <m:r>
                <m:rPr>
                  <m:sty m:val="p"/>
                </m:rPr>
                <m:t>∈</m:t>
              </m:r>
              <m:d>
                <m:dPr>
                  <m:begChr m:val="["/>
                  <m:endChr m:val="]"/>
                  <m:sepChr m:val=""/>
                  <m:grow/>
                </m:dPr>
                <m:e>
                  <m:r>
                    <m:rPr>
                      <m:sty m:val="p"/>
                    </m:rPr>
                    <m:t>−</m:t>
                  </m:r>
                  <m:r>
                    <m:t>1</m:t>
                  </m:r>
                  <m:r>
                    <m:rPr>
                      <m:sty m:val="p"/>
                    </m:rPr>
                    <m:t>,</m:t>
                  </m:r>
                  <m:r>
                    <m:t>1</m:t>
                  </m:r>
                </m:e>
              </m:d>
            </m:lim>
          </m:limLow>
          <m:sSub>
            <m:e>
              <m:r>
                <m:t>ρ</m:t>
              </m:r>
            </m:e>
            <m:sub>
              <m:r>
                <m:t>A</m:t>
              </m:r>
              <m:r>
                <m:t>B</m:t>
              </m:r>
            </m:sub>
          </m:sSub>
          <m:r>
            <m:rPr>
              <m:sty m:val="p"/>
            </m:rPr>
            <m:t>=</m:t>
          </m:r>
          <m:rad>
            <m:radPr>
              <m:degHide m:val="on"/>
            </m:radPr>
            <m:deg/>
            <m:e>
              <m:r>
                <m:t>1</m:t>
              </m:r>
              <m:r>
                <m:rPr>
                  <m:sty m:val="p"/>
                </m:rPr>
                <m:t>−</m:t>
              </m:r>
              <m:sSup>
                <m:e>
                  <m:r>
                    <m:t>κ</m:t>
                  </m:r>
                </m:e>
                <m:sup>
                  <m:r>
                    <m:t>2</m:t>
                  </m:r>
                </m:sup>
              </m:sSup>
            </m:e>
          </m:rad>
          <m:r>
            <m:rPr>
              <m:sty m:val="p"/>
            </m:rPr>
            <m:t>,</m:t>
          </m:r>
          <m:r>
            <m:t>  </m:t>
          </m:r>
          <m:r>
            <m:rPr>
              <m:nor/>
              <m:sty m:val="p"/>
            </m:rPr>
            <m:t>attained at </m:t>
          </m:r>
          <m:sSub>
            <m:e>
              <m:r>
                <m:t>ρ</m:t>
              </m:r>
            </m:e>
            <m:sub>
              <m:r>
                <m:t>A</m:t>
              </m:r>
              <m:r>
                <m:t>M</m:t>
              </m:r>
            </m:sub>
          </m:sSub>
          <m:r>
            <m:rPr>
              <m:sty m:val="p"/>
            </m:rPr>
            <m:t>=</m:t>
          </m:r>
          <m:r>
            <m:rPr>
              <m:sty m:val="p"/>
            </m:rPr>
            <m:t>−</m:t>
          </m:r>
          <m:r>
            <m:t>κ</m:t>
          </m:r>
          <m:r>
            <m:rPr>
              <m:sty m:val="p"/>
            </m:rPr>
            <m:t>;</m:t>
          </m:r>
          <m:r>
            <m:t>  </m:t>
          </m:r>
          <m:d>
            <m:dPr>
              <m:begChr m:val="("/>
              <m:endChr m:val=")"/>
              <m:sepChr m:val=""/>
              <m:grow/>
            </m:dPr>
            <m:e>
              <m:r>
                <m:t>9</m:t>
              </m:r>
            </m:e>
          </m:d>
        </m:oMath>
      </m:oMathPara>
    </w:p>
    <w:p>
      <w:pPr>
        <w:pStyle w:val="FirstParagraph"/>
        <w:spacing w:before="0" w:after="120" w:line="300" w:lineRule="auto"/>
        <w:jc w:val="both"/>
      </w:pPr>
      <w:r>
        <w:rPr>
          <w:rFonts w:ascii="Times New Roman" w:hAnsi="Times New Roman" w:cs="Times New Roman" w:eastAsia="Times New Roman"/>
          <w:sz w:val="24"/>
          <w:szCs w:val="24"/>
        </w:rPr>
        <w:t xml:space="preserve">for κ ≥ 1 no positive bound exists.</w:t>
      </w:r>
      <w:r>
        <w:rPr>
          <w:rFonts w:ascii="Times New Roman" w:hAnsi="Times New Roman" w:cs="Times New Roman" w:eastAsia="Times New Roman"/>
          <w:sz w:val="24"/>
          <w:szCs w:val="24"/>
        </w:rPr>
        <w:t xml:space="preserve"> </w:t>
      </w:r>
      <w:r>
        <w:rPr>
          <w:rFonts w:ascii="Times New Roman" w:hAnsi="Times New Roman" w:cs="Times New Roman" w:eastAsia="Times New Roman"/>
          <w:iCs/>
          <w:i/>
          <w:sz w:val="24"/>
          <w:szCs w:val="24"/>
        </w:rPr>
        <w:t xml:space="preserve">Corollary 2 (sensitivity).</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The sensitivity of ρ</w:t>
      </w:r>
      <w:r>
        <w:rPr>
          <w:rFonts w:ascii="Times New Roman" w:hAnsi="Times New Roman" w:cs="Times New Roman" w:eastAsia="Times New Roman"/>
          <w:vertAlign w:val="subscript"/>
          <w:sz w:val="24"/>
          <w:szCs w:val="24"/>
        </w:rPr>
        <w:t xml:space="preserve">AB</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to ρ</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is</w:t>
      </w:r>
    </w:p>
    <w:p>
      <w:pPr>
        <w:pStyle w:val="BodyText"/>
        <w:spacing w:before="0" w:after="120" w:line="300" w:lineRule="auto"/>
      </w:pPr>
      <m:oMathPara>
        <m:oMathParaPr>
          <m:jc m:val="center"/>
        </m:oMathParaPr>
        <m:oMath>
          <m:f>
            <m:fPr>
              <m:type m:val="bar"/>
            </m:fPr>
            <m:num>
              <m:r>
                <m:rPr>
                  <m:sty m:val="p"/>
                </m:rPr>
                <m:t>∂</m:t>
              </m:r>
              <m:sSub>
                <m:e>
                  <m:r>
                    <m:t>ρ</m:t>
                  </m:r>
                </m:e>
                <m:sub>
                  <m:r>
                    <m:t>A</m:t>
                  </m:r>
                  <m:r>
                    <m:t>B</m:t>
                  </m:r>
                </m:sub>
              </m:sSub>
            </m:num>
            <m:den>
              <m:r>
                <m:rPr>
                  <m:sty m:val="p"/>
                </m:rPr>
                <m:t>∂</m:t>
              </m:r>
              <m:sSub>
                <m:e>
                  <m:r>
                    <m:t>ρ</m:t>
                  </m:r>
                </m:e>
                <m:sub>
                  <m:r>
                    <m:t>A</m:t>
                  </m:r>
                  <m:r>
                    <m:t>M</m:t>
                  </m:r>
                </m:sub>
              </m:sSub>
            </m:den>
          </m:f>
          <m:r>
            <m:rPr>
              <m:sty m:val="p"/>
            </m:rPr>
            <m:t>=</m:t>
          </m:r>
          <m:f>
            <m:fPr>
              <m:type m:val="bar"/>
            </m:fPr>
            <m:num>
              <m:sSup>
                <m:e>
                  <m:r>
                    <m:t>κ</m:t>
                  </m:r>
                </m:e>
                <m:sup>
                  <m:r>
                    <m:t>2</m:t>
                  </m:r>
                </m:sup>
              </m:sSup>
              <m:r>
                <m:t> </m:t>
              </m:r>
              <m:d>
                <m:dPr>
                  <m:begChr m:val="("/>
                  <m:endChr m:val=")"/>
                  <m:sepChr m:val=""/>
                  <m:grow/>
                </m:dPr>
                <m:e>
                  <m:r>
                    <m:t>κ</m:t>
                  </m:r>
                  <m:r>
                    <m:rPr>
                      <m:sty m:val="p"/>
                    </m:rPr>
                    <m:t>+</m:t>
                  </m:r>
                  <m:sSub>
                    <m:e>
                      <m:r>
                        <m:t>ρ</m:t>
                      </m:r>
                    </m:e>
                    <m:sub>
                      <m:r>
                        <m:t>A</m:t>
                      </m:r>
                      <m:r>
                        <m:t>M</m:t>
                      </m:r>
                    </m:sub>
                  </m:sSub>
                </m:e>
              </m:d>
            </m:num>
            <m:den>
              <m:sSup>
                <m:e>
                  <m:d>
                    <m:dPr>
                      <m:begChr m:val="("/>
                      <m:endChr m:val=")"/>
                      <m:sepChr m:val=""/>
                      <m:grow/>
                    </m:dPr>
                    <m:e>
                      <m:r>
                        <m:t>1</m:t>
                      </m:r>
                      <m:r>
                        <m:rPr>
                          <m:sty m:val="p"/>
                        </m:rPr>
                        <m:t>+</m:t>
                      </m:r>
                      <m:sSup>
                        <m:e>
                          <m:r>
                            <m:t>κ</m:t>
                          </m:r>
                        </m:e>
                        <m:sup>
                          <m:r>
                            <m:t>2</m:t>
                          </m:r>
                        </m:sup>
                      </m:sSup>
                      <m:r>
                        <m:rPr>
                          <m:sty m:val="p"/>
                        </m:rPr>
                        <m:t>+</m:t>
                      </m:r>
                      <m:r>
                        <m:t>2</m:t>
                      </m:r>
                      <m:r>
                        <m:t>κ</m:t>
                      </m:r>
                      <m:sSub>
                        <m:e>
                          <m:r>
                            <m:t>ρ</m:t>
                          </m:r>
                        </m:e>
                        <m:sub>
                          <m:r>
                            <m:t>A</m:t>
                          </m:r>
                          <m:r>
                            <m:t>M</m:t>
                          </m:r>
                        </m:sub>
                      </m:sSub>
                    </m:e>
                  </m:d>
                </m:e>
                <m:sup>
                  <m:r>
                    <m:t>3</m:t>
                  </m:r>
                  <m:r>
                    <m:rPr>
                      <m:sty m:val="p"/>
                    </m:rPr>
                    <m:t>/</m:t>
                  </m:r>
                  <m:r>
                    <m:t>2</m:t>
                  </m:r>
                </m:sup>
              </m:sSup>
            </m:den>
          </m:f>
          <m:r>
            <m:rPr>
              <m:sty m:val="p"/>
            </m:rPr>
            <m:t>,</m:t>
          </m:r>
          <m:r>
            <m:t>  </m:t>
          </m:r>
          <m:d>
            <m:dPr>
              <m:begChr m:val="("/>
              <m:endChr m:val=")"/>
              <m:sepChr m:val=""/>
              <m:grow/>
            </m:dPr>
            <m:e>
              <m:r>
                <m:t>10</m:t>
              </m:r>
            </m:e>
          </m:d>
        </m:oMath>
      </m:oMathPara>
    </w:p>
    <w:p>
      <w:pPr>
        <w:pStyle w:val="FirstParagraph"/>
        <w:spacing w:before="0" w:after="120" w:line="300" w:lineRule="auto"/>
        <w:jc w:val="both"/>
      </w:pPr>
      <w:r>
        <w:rPr>
          <w:rFonts w:ascii="Times New Roman" w:hAnsi="Times New Roman" w:cs="Times New Roman" w:eastAsia="Times New Roman"/>
          <w:sz w:val="24"/>
          <w:szCs w:val="24"/>
        </w:rPr>
        <w:t xml:space="preserve">which is small when the child dominates the parent; its inverse states how far ρ</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must move to change ρ</w:t>
      </w:r>
      <w:r>
        <w:rPr>
          <w:rFonts w:ascii="Times New Roman" w:hAnsi="Times New Roman" w:cs="Times New Roman" w:eastAsia="Times New Roman"/>
          <w:vertAlign w:val="subscript"/>
          <w:sz w:val="24"/>
          <w:szCs w:val="24"/>
        </w:rPr>
        <w:t xml:space="preserve">AB</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by a given amount.</w:t>
      </w:r>
      <w:r>
        <w:rPr>
          <w:rFonts w:ascii="Times New Roman" w:hAnsi="Times New Roman" w:cs="Times New Roman" w:eastAsia="Times New Roman"/>
          <w:sz w:val="24"/>
          <w:szCs w:val="24"/>
        </w:rPr>
        <w:t xml:space="preserve"> </w:t>
      </w:r>
      <w:r>
        <w:rPr>
          <w:rFonts w:ascii="Times New Roman" w:hAnsi="Times New Roman" w:cs="Times New Roman" w:eastAsia="Times New Roman"/>
          <w:iCs/>
          <w:i/>
          <w:sz w:val="24"/>
          <w:szCs w:val="24"/>
        </w:rPr>
        <w:t xml:space="preserve">Corollary 3 (direction).</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For ρ</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0, ρ²</w:t>
      </w:r>
      <w:r>
        <w:rPr>
          <w:rFonts w:ascii="Times New Roman" w:hAnsi="Times New Roman" w:cs="Times New Roman" w:eastAsia="Times New Roman"/>
          <w:vertAlign w:val="subscript"/>
          <w:sz w:val="24"/>
          <w:szCs w:val="24"/>
        </w:rPr>
        <w:t xml:space="preserve">AB</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ρ²</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(1 − ρ²</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)(1 + 2κρ</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)/(1 + κ² + 2κρ</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 ≥ 0, so overlap can only raise the coefficient.</w:t>
      </w:r>
      <w:r>
        <w:rPr>
          <w:rFonts w:ascii="Times New Roman" w:hAnsi="Times New Roman" w:cs="Times New Roman" w:eastAsia="Times New Roman"/>
          <w:sz w:val="24"/>
          <w:szCs w:val="24"/>
        </w:rPr>
        <w:t xml:space="preserve"> </w:t>
      </w:r>
      <w:r>
        <w:rPr>
          <w:rFonts w:ascii="Times New Roman" w:hAnsi="Times New Roman" w:cs="Times New Roman" w:eastAsia="Times New Roman"/>
          <w:iCs/>
          <w:i/>
          <w:sz w:val="24"/>
          <w:szCs w:val="24"/>
        </w:rPr>
        <w:t xml:space="preserve">Corollary 4 (dominance).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For ρ</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0, ρ</w:t>
      </w:r>
      <w:r>
        <w:rPr>
          <w:rFonts w:ascii="Times New Roman" w:hAnsi="Times New Roman" w:cs="Times New Roman" w:eastAsia="Times New Roman"/>
          <w:vertAlign w:val="subscript"/>
          <w:sz w:val="24"/>
          <w:szCs w:val="24"/>
        </w:rPr>
        <w:t xml:space="preserve">AB</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1 implies ρ̲/ρ</w:t>
      </w:r>
      <w:r>
        <w:rPr>
          <w:rFonts w:ascii="Times New Roman" w:hAnsi="Times New Roman" w:cs="Times New Roman" w:eastAsia="Times New Roman"/>
          <w:vertAlign w:val="subscript"/>
          <w:sz w:val="24"/>
          <w:szCs w:val="24"/>
        </w:rPr>
        <w:t xml:space="preserve">AB</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ρ̲, so the benchmark exceeds half of ρ</w:t>
      </w:r>
      <w:r>
        <w:rPr>
          <w:rFonts w:ascii="Times New Roman" w:hAnsi="Times New Roman" w:cs="Times New Roman" w:eastAsia="Times New Roman"/>
          <w:vertAlign w:val="subscript"/>
          <w:sz w:val="24"/>
          <w:szCs w:val="24"/>
        </w:rPr>
        <w:t xml:space="preserve">AB</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whenever κ &lt; √3, that is, F</w:t>
      </w:r>
      <w:r>
        <w:rPr>
          <w:rFonts w:ascii="Times New Roman" w:hAnsi="Times New Roman" w:cs="Times New Roman" w:eastAsia="Times New Roman"/>
          <w:vertAlign w:val="subscript"/>
          <w:sz w:val="24"/>
          <w:szCs w:val="24"/>
        </w:rPr>
        <w:t xml:space="preserve">M</w:t>
      </w:r>
      <w:r>
        <w:rPr>
          <w:rFonts w:ascii="Times New Roman" w:hAnsi="Times New Roman" w:cs="Times New Roman" w:eastAsia="Times New Roman"/>
          <w:sz w:val="24"/>
          <w:szCs w:val="24"/>
        </w:rPr>
        <w:t xml:space="preserve">/F</w:t>
      </w:r>
      <w:r>
        <w:rPr>
          <w:rFonts w:ascii="Times New Roman" w:hAnsi="Times New Roman" w:cs="Times New Roman" w:eastAsia="Times New Roman"/>
          <w:vertAlign w:val="subscript"/>
          <w:sz w:val="24"/>
          <w:szCs w:val="24"/>
        </w:rPr>
        <w:t xml:space="preserve">A</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&lt; √3·w/(1 − w) = 3.73 at the factsheet weight; such a share carries no information.</w:t>
      </w:r>
      <w:r>
        <w:rPr>
          <w:rFonts w:ascii="Times New Roman" w:hAnsi="Times New Roman" w:cs="Times New Roman" w:eastAsia="Times New Roman"/>
          <w:sz w:val="24"/>
          <w:szCs w:val="24"/>
        </w:rPr>
        <w:t xml:space="preserve"> </w:t>
      </w:r>
      <w:r>
        <w:rPr>
          <w:rFonts w:ascii="Times New Roman" w:hAnsi="Times New Roman" w:cs="Times New Roman" w:eastAsia="Times New Roman"/>
          <w:iCs/>
          <w:i/>
          <w:sz w:val="24"/>
          <w:szCs w:val="24"/>
        </w:rPr>
        <w:t xml:space="preserve">Corollary 5 (attribution).</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With neither overlap nor dependence the coefficient is 0, with overlap only ρ̲, with dependence only ρ</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and with both ρ</w:t>
      </w:r>
      <w:r>
        <w:rPr>
          <w:rFonts w:ascii="Times New Roman" w:hAnsi="Times New Roman" w:cs="Times New Roman" w:eastAsia="Times New Roman"/>
          <w:vertAlign w:val="subscript"/>
          <w:sz w:val="24"/>
          <w:szCs w:val="24"/>
        </w:rPr>
        <w:t xml:space="preserve">AB</w:t>
      </w:r>
      <w:r>
        <w:rPr>
          <w:rFonts w:ascii="Times New Roman" w:hAnsi="Times New Roman" w:cs="Times New Roman" w:eastAsia="Times New Roman"/>
          <w:sz w:val="24"/>
          <w:szCs w:val="24"/>
        </w:rPr>
        <w:t xml:space="preserve">. The benchmark-first share ρ̲/ρ</w:t>
      </w:r>
      <w:r>
        <w:rPr>
          <w:rFonts w:ascii="Times New Roman" w:hAnsi="Times New Roman" w:cs="Times New Roman" w:eastAsia="Times New Roman"/>
          <w:vertAlign w:val="subscript"/>
          <w:sz w:val="24"/>
          <w:szCs w:val="24"/>
        </w:rPr>
        <w:t xml:space="preserve">AB</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and the dependence-first share ρ</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/ρ</w:t>
      </w:r>
      <w:r>
        <w:rPr>
          <w:rFonts w:ascii="Times New Roman" w:hAnsi="Times New Roman" w:cs="Times New Roman" w:eastAsia="Times New Roman"/>
          <w:vertAlign w:val="subscript"/>
          <w:sz w:val="24"/>
          <w:szCs w:val="24"/>
        </w:rPr>
        <w:t xml:space="preserve">AB</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depend on the order; the Shapley (1953) value averages the two orders into an additive split,</w:t>
      </w:r>
    </w:p>
    <w:p>
      <w:pPr>
        <w:pStyle w:val="BodyText"/>
        <w:spacing w:before="0" w:after="120" w:line="300" w:lineRule="auto"/>
      </w:pPr>
      <m:oMathPara>
        <m:oMathParaPr>
          <m:jc m:val="center"/>
        </m:oMathParaPr>
        <m:oMath>
          <m:sSub>
            <m:e>
              <m:r>
                <m:t>ϕ</m:t>
              </m:r>
            </m:e>
            <m:sub>
              <m:r>
                <m:rPr>
                  <m:sty m:val="p"/>
                </m:rPr>
                <m:t>o</m:t>
              </m:r>
              <m:r>
                <m:rPr>
                  <m:sty m:val="p"/>
                </m:rPr>
                <m:t>v</m:t>
              </m:r>
              <m:r>
                <m:rPr>
                  <m:sty m:val="p"/>
                </m:rPr>
                <m:t>e</m:t>
              </m:r>
              <m:r>
                <m:rPr>
                  <m:sty m:val="p"/>
                </m:rPr>
                <m:t>r</m:t>
              </m:r>
              <m:r>
                <m:rPr>
                  <m:sty m:val="p"/>
                </m:rPr>
                <m:t>l</m:t>
              </m:r>
              <m:r>
                <m:rPr>
                  <m:sty m:val="p"/>
                </m:rPr>
                <m:t>a</m:t>
              </m:r>
              <m:r>
                <m:rPr>
                  <m:sty m:val="p"/>
                </m:rPr>
                <m:t>p</m:t>
              </m:r>
            </m:sub>
          </m:sSub>
          <m:r>
            <m:rPr>
              <m:sty m:val="p"/>
            </m:rPr>
            <m:t>=</m:t>
          </m:r>
          <m:f>
            <m:fPr>
              <m:type m:val="lin"/>
            </m:fPr>
            <m:num>
              <m:r>
                <m:t>1</m:t>
              </m:r>
            </m:num>
            <m:den>
              <m:r>
                <m:t>2</m:t>
              </m:r>
            </m:den>
          </m:f>
          <m:d>
            <m:dPr>
              <m:begChr m:val="["/>
              <m:endChr m:val="]"/>
              <m:sepChr m:val=""/>
              <m:grow/>
            </m:dPr>
            <m:e>
              <m:bar>
                <m:barPr>
                  <m:pos m:val="bot"/>
                </m:barPr>
                <m:e>
                  <m:r>
                    <m:t>ρ</m:t>
                  </m:r>
                </m:e>
              </m:bar>
              <m:r>
                <m:rPr>
                  <m:sty m:val="p"/>
                </m:rPr>
                <m:t>+</m:t>
              </m:r>
              <m:d>
                <m:dPr>
                  <m:begChr m:val="("/>
                  <m:endChr m:val=")"/>
                  <m:sepChr m:val=""/>
                  <m:grow/>
                </m:dPr>
                <m:e>
                  <m:sSub>
                    <m:e>
                      <m:r>
                        <m:t>ρ</m:t>
                      </m:r>
                    </m:e>
                    <m:sub>
                      <m:r>
                        <m:t>A</m:t>
                      </m:r>
                      <m:r>
                        <m:t>B</m:t>
                      </m:r>
                    </m:sub>
                  </m:sSub>
                  <m:r>
                    <m:rPr>
                      <m:sty m:val="p"/>
                    </m:rPr>
                    <m:t>−</m:t>
                  </m:r>
                  <m:sSub>
                    <m:e>
                      <m:r>
                        <m:t>ρ</m:t>
                      </m:r>
                    </m:e>
                    <m:sub>
                      <m:r>
                        <m:t>A</m:t>
                      </m:r>
                      <m:r>
                        <m:t>M</m:t>
                      </m:r>
                    </m:sub>
                  </m:sSub>
                </m:e>
              </m:d>
            </m:e>
          </m:d>
          <m:r>
            <m:rPr>
              <m:sty m:val="p"/>
            </m:rPr>
            <m:t>,</m:t>
          </m:r>
          <m:r>
            <m:t>  </m:t>
          </m:r>
          <m:sSub>
            <m:e>
              <m:r>
                <m:t>ϕ</m:t>
              </m:r>
            </m:e>
            <m:sub>
              <m:r>
                <m:rPr>
                  <m:sty m:val="p"/>
                </m:rPr>
                <m:t>d</m:t>
              </m:r>
              <m:r>
                <m:rPr>
                  <m:sty m:val="p"/>
                </m:rPr>
                <m:t>e</m:t>
              </m:r>
              <m:r>
                <m:rPr>
                  <m:sty m:val="p"/>
                </m:rPr>
                <m:t>p</m:t>
              </m:r>
            </m:sub>
          </m:sSub>
          <m:r>
            <m:rPr>
              <m:sty m:val="p"/>
            </m:rPr>
            <m:t>=</m:t>
          </m:r>
          <m:f>
            <m:fPr>
              <m:type m:val="lin"/>
            </m:fPr>
            <m:num>
              <m:r>
                <m:t>1</m:t>
              </m:r>
            </m:num>
            <m:den>
              <m:r>
                <m:t>2</m:t>
              </m:r>
            </m:den>
          </m:f>
          <m:d>
            <m:dPr>
              <m:begChr m:val="["/>
              <m:endChr m:val="]"/>
              <m:sepChr m:val=""/>
              <m:grow/>
            </m:dPr>
            <m:e>
              <m:sSub>
                <m:e>
                  <m:r>
                    <m:t>ρ</m:t>
                  </m:r>
                </m:e>
                <m:sub>
                  <m:r>
                    <m:t>A</m:t>
                  </m:r>
                  <m:r>
                    <m:t>M</m:t>
                  </m:r>
                </m:sub>
              </m:sSub>
              <m:r>
                <m:rPr>
                  <m:sty m:val="p"/>
                </m:rPr>
                <m:t>+</m:t>
              </m:r>
              <m:d>
                <m:dPr>
                  <m:begChr m:val="("/>
                  <m:endChr m:val=")"/>
                  <m:sepChr m:val=""/>
                  <m:grow/>
                </m:dPr>
                <m:e>
                  <m:sSub>
                    <m:e>
                      <m:r>
                        <m:t>ρ</m:t>
                      </m:r>
                    </m:e>
                    <m:sub>
                      <m:r>
                        <m:t>A</m:t>
                      </m:r>
                      <m:r>
                        <m:t>B</m:t>
                      </m:r>
                    </m:sub>
                  </m:sSub>
                  <m:r>
                    <m:rPr>
                      <m:sty m:val="p"/>
                    </m:rPr>
                    <m:t>−</m:t>
                  </m:r>
                  <m:bar>
                    <m:barPr>
                      <m:pos m:val="bot"/>
                    </m:barPr>
                    <m:e>
                      <m:r>
                        <m:t>ρ</m:t>
                      </m:r>
                    </m:e>
                  </m:bar>
                </m:e>
              </m:d>
            </m:e>
          </m:d>
          <m:r>
            <m:rPr>
              <m:sty m:val="p"/>
            </m:rPr>
            <m:t>,</m:t>
          </m:r>
          <m:r>
            <m:t>  </m:t>
          </m:r>
          <m:sSub>
            <m:e>
              <m:r>
                <m:t>ϕ</m:t>
              </m:r>
            </m:e>
            <m:sub>
              <m:r>
                <m:rPr>
                  <m:sty m:val="p"/>
                </m:rPr>
                <m:t>o</m:t>
              </m:r>
              <m:r>
                <m:rPr>
                  <m:sty m:val="p"/>
                </m:rPr>
                <m:t>v</m:t>
              </m:r>
              <m:r>
                <m:rPr>
                  <m:sty m:val="p"/>
                </m:rPr>
                <m:t>e</m:t>
              </m:r>
              <m:r>
                <m:rPr>
                  <m:sty m:val="p"/>
                </m:rPr>
                <m:t>r</m:t>
              </m:r>
              <m:r>
                <m:rPr>
                  <m:sty m:val="p"/>
                </m:rPr>
                <m:t>l</m:t>
              </m:r>
              <m:r>
                <m:rPr>
                  <m:sty m:val="p"/>
                </m:rPr>
                <m:t>a</m:t>
              </m:r>
              <m:r>
                <m:rPr>
                  <m:sty m:val="p"/>
                </m:rPr>
                <m:t>p</m:t>
              </m:r>
            </m:sub>
          </m:sSub>
          <m:r>
            <m:rPr>
              <m:sty m:val="p"/>
            </m:rPr>
            <m:t>+</m:t>
          </m:r>
          <m:sSub>
            <m:e>
              <m:r>
                <m:t>ϕ</m:t>
              </m:r>
            </m:e>
            <m:sub>
              <m:r>
                <m:rPr>
                  <m:sty m:val="p"/>
                </m:rPr>
                <m:t>d</m:t>
              </m:r>
              <m:r>
                <m:rPr>
                  <m:sty m:val="p"/>
                </m:rPr>
                <m:t>e</m:t>
              </m:r>
              <m:r>
                <m:rPr>
                  <m:sty m:val="p"/>
                </m:rPr>
                <m:t>p</m:t>
              </m:r>
            </m:sub>
          </m:sSub>
          <m:r>
            <m:rPr>
              <m:sty m:val="p"/>
            </m:rPr>
            <m:t>=</m:t>
          </m:r>
          <m:sSub>
            <m:e>
              <m:r>
                <m:t>ρ</m:t>
              </m:r>
            </m:e>
            <m:sub>
              <m:r>
                <m:t>A</m:t>
              </m:r>
              <m:r>
                <m:t>B</m:t>
              </m:r>
            </m:sub>
          </m:sSub>
          <m:r>
            <m:rPr>
              <m:sty m:val="p"/>
            </m:rPr>
            <m:t>.</m:t>
          </m:r>
          <m:r>
            <m:t>  </m:t>
          </m:r>
          <m:d>
            <m:dPr>
              <m:begChr m:val="("/>
              <m:endChr m:val=")"/>
              <m:sepChr m:val=""/>
              <m:grow/>
            </m:dPr>
            <m:e>
              <m:r>
                <m:t>11</m:t>
              </m:r>
            </m:e>
          </m:d>
        </m:oMath>
      </m:oMathPara>
    </w:p>
    <w:p>
      <w:pPr>
        <w:pStyle w:val="FirstParagraph"/>
        <w:spacing w:before="0" w:after="120" w:line="300" w:lineRule="auto"/>
        <w:jc w:val="both"/>
      </w:pPr>
      <w:r>
        <w:rPr>
          <w:rFonts w:ascii="Times New Roman" w:hAnsi="Times New Roman" w:cs="Times New Roman" w:eastAsia="Times New Roman"/>
          <w:sz w:val="24"/>
          <w:szCs w:val="24"/>
        </w:rPr>
        <w:t xml:space="preserve">We lead with the sensitivity, which needs no attribution convention, and report the Shapley overlap share φ_overlap/ρ</w:t>
      </w:r>
      <w:r>
        <w:rPr>
          <w:rFonts w:ascii="Times New Roman" w:hAnsi="Times New Roman" w:cs="Times New Roman" w:eastAsia="Times New Roman"/>
          <w:vertAlign w:val="subscript"/>
          <w:sz w:val="24"/>
          <w:szCs w:val="24"/>
        </w:rPr>
        <w:t xml:space="preserve">AB</w:t>
      </w:r>
      <w:r>
        <w:rPr>
          <w:rFonts w:ascii="Times New Roman" w:hAnsi="Times New Roman" w:cs="Times New Roman" w:eastAsia="Times New Roman"/>
          <w:sz w:val="24"/>
          <w:szCs w:val="24"/>
        </w:rPr>
        <w:t xml:space="preserve">. Eq. (7) reproduces the directly estimated VN30–VN100 coefficient at every scale and frequency to within 4.4 × 10⁻¹⁶. We compute all quantities scale by scale and average them over the reliable range (Section 4.4). Because M is a linear combination of A and B, the decomposition also follows from index-level moments alone (Box 1).</w:t>
      </w:r>
    </w:p>
    <w:p>
      <w:pPr>
        <w:pStyle w:val="tablecaption0"/>
      </w:pPr>
      <w:r>
        <w:rPr>
          <w:bCs/>
          <w:b/>
        </w:rPr>
        <w:t xml:space="preserve">Box 1</w:t>
      </w:r>
      <w:r>
        <w:t xml:space="preserve"> </w:t>
      </w:r>
      <w:r>
        <w:t xml:space="preserve">Decomposition of a nested correlation from index-level inputs</w:t>
      </w:r>
    </w:p>
    <w:tbl>
      <w:tblPr>
        <w:tblStyle w:val="TableGrid"/>
        <w:tblW w:type="pct" w:w="5000"/>
        <w:tblLook w:firstRow="1" w:lastRow="0" w:firstColumn="0" w:lastColumn="0" w:noHBand="0" w:noVBand="0" w:val="0020"/>
        <w:jc w:val="start"/>
      </w:tblPr>
      <w:tblGrid>
        <w:gridCol w:w="2934"/>
        <w:gridCol w:w="3099"/>
        <w:gridCol w:w="3327"/>
      </w:tblGrid>
      <w:tr>
        <w:trPr>
          <w:tblHeader w:val="true"/>
        </w:trPr>
        <w:tc>
          <w:tcPr>
            <w:tcW w:w="2934" w:type="dxa"/>
          </w:tcPr>
          <w:p>
            <w:pPr>
              <w:spacing w:before="0" w:after="0" w:line="240" w:lineRule="auto"/>
              <w:jc w:val="left"/>
            </w:pPr>
            <w:r>
              <w:rPr>
                <w:sz w:val="20"/>
                <w:szCs w:val="20"/>
              </w:rPr>
              <w:t xml:space="preserve">Step</w:t>
            </w:r>
          </w:p>
        </w:tc>
        <w:tc>
          <w:tcPr>
            <w:tcW w:w="3099" w:type="dxa"/>
          </w:tcPr>
          <w:p>
            <w:pPr>
              <w:spacing w:before="0" w:after="0" w:line="240" w:lineRule="auto"/>
              <w:jc w:val="left"/>
            </w:pPr>
            <w:r>
              <w:rPr>
                <w:sz w:val="20"/>
                <w:szCs w:val="20"/>
              </w:rPr>
              <w:t xml:space="preserve">Computation</w:t>
            </w:r>
          </w:p>
        </w:tc>
        <w:tc>
          <w:tcPr>
            <w:tcW w:w="3327" w:type="dxa"/>
          </w:tcPr>
          <w:p>
            <w:pPr>
              <w:spacing w:before="0" w:after="0" w:line="240" w:lineRule="auto"/>
              <w:jc w:val="left"/>
            </w:pPr>
            <w:r>
              <w:rPr>
                <w:sz w:val="20"/>
                <w:szCs w:val="20"/>
              </w:rPr>
              <w:t xml:space="preserve">VN30 in VN100, daily</w:t>
            </w:r>
          </w:p>
        </w:tc>
      </w:tr>
      <w:tr>
        <w:tc>
          <w:tcPr>
            <w:tcW w:w="2934" w:type="dxa"/>
          </w:tcPr>
          <w:p>
            <w:pPr>
              <w:spacing w:before="0" w:after="0" w:line="240" w:lineRule="auto"/>
              <w:jc w:val="left"/>
            </w:pPr>
            <w:r>
              <w:rPr>
                <w:sz w:val="20"/>
                <w:szCs w:val="20"/>
              </w:rPr>
              <w:t xml:space="preserve">1. Inputs</w:t>
            </w:r>
          </w:p>
        </w:tc>
        <w:tc>
          <w:tcPr>
            <w:tcW w:w="3099" w:type="dxa"/>
          </w:tcPr>
          <w:p>
            <w:pPr>
              <w:spacing w:before="0" w:after="0" w:line="240" w:lineRule="auto"/>
              <w:jc w:val="left"/>
            </w:pPr>
            <w:r>
              <w:rPr>
                <w:sz w:val="20"/>
                <w:szCs w:val="20"/>
              </w:rPr>
              <w:t xml:space="preserve">w; σ</w:t>
            </w:r>
            <w:r>
              <w:rPr>
                <w:vertAlign w:val="subscript"/>
                <w:sz w:val="20"/>
                <w:szCs w:val="20"/>
              </w:rPr>
              <w:t xml:space="preserve">A</w:t>
            </w:r>
            <w:r>
              <w:rPr>
                <w:sz w:val="20"/>
                <w:szCs w:val="20"/>
              </w:rPr>
              <w:t xml:space="preserve">, σ</w:t>
            </w:r>
            <w:r>
              <w:rPr>
                <w:vertAlign w:val="subscript"/>
                <w:sz w:val="20"/>
                <w:szCs w:val="20"/>
              </w:rPr>
              <w:t xml:space="preserve">B</w:t>
            </w:r>
            <w:r>
              <w:rPr>
                <w:sz w:val="20"/>
                <w:szCs w:val="20"/>
              </w:rPr>
              <w:t xml:space="preserve">; ρ</w:t>
            </w:r>
            <w:r>
              <w:rPr>
                <w:vertAlign w:val="subscript"/>
                <w:sz w:val="20"/>
                <w:szCs w:val="20"/>
              </w:rPr>
              <w:t xml:space="preserve">AB</w:t>
            </w:r>
          </w:p>
        </w:tc>
        <w:tc>
          <w:tcPr>
            <w:tcW w:w="3327" w:type="dxa"/>
          </w:tcPr>
          <w:p>
            <w:pPr>
              <w:spacing w:before="0" w:after="0" w:line="240" w:lineRule="auto"/>
              <w:jc w:val="left"/>
            </w:pPr>
            <w:r>
              <w:rPr>
                <w:sz w:val="20"/>
                <w:szCs w:val="20"/>
              </w:rPr>
              <w:t xml:space="preserve">w = 0.6826; σ</w:t>
            </w:r>
            <w:r>
              <w:rPr>
                <w:vertAlign w:val="subscript"/>
                <w:sz w:val="20"/>
                <w:szCs w:val="20"/>
              </w:rPr>
              <w:t xml:space="preserve">A</w:t>
            </w:r>
            <w:r>
              <w:rPr>
                <w:sz w:val="20"/>
                <w:szCs w:val="20"/>
              </w:rPr>
              <w:t xml:space="preserve"> </w:t>
            </w:r>
            <w:r>
              <w:rPr>
                <w:sz w:val="20"/>
                <w:szCs w:val="20"/>
              </w:rPr>
              <w:t xml:space="preserve">= 0.0121, σ</w:t>
            </w:r>
            <w:r>
              <w:rPr>
                <w:vertAlign w:val="subscript"/>
                <w:sz w:val="20"/>
                <w:szCs w:val="20"/>
              </w:rPr>
              <w:t xml:space="preserve">B</w:t>
            </w:r>
            <w:r>
              <w:rPr>
                <w:sz w:val="20"/>
                <w:szCs w:val="20"/>
              </w:rPr>
              <w:t xml:space="preserve"> </w:t>
            </w:r>
            <w:r>
              <w:rPr>
                <w:sz w:val="20"/>
                <w:szCs w:val="20"/>
              </w:rPr>
              <w:t xml:space="preserve">= 0.0119; ρ</w:t>
            </w:r>
            <w:r>
              <w:rPr>
                <w:vertAlign w:val="subscript"/>
                <w:sz w:val="20"/>
                <w:szCs w:val="20"/>
              </w:rPr>
              <w:t xml:space="preserve">AB</w:t>
            </w:r>
            <w:r>
              <w:rPr>
                <w:sz w:val="20"/>
                <w:szCs w:val="20"/>
              </w:rPr>
              <w:t xml:space="preserve"> </w:t>
            </w:r>
            <w:r>
              <w:rPr>
                <w:sz w:val="20"/>
                <w:szCs w:val="20"/>
              </w:rPr>
              <w:t xml:space="preserve">= 0.9885</w:t>
            </w:r>
          </w:p>
        </w:tc>
      </w:tr>
      <w:tr>
        <w:tc>
          <w:tcPr>
            <w:tcW w:w="2934" w:type="dxa"/>
          </w:tcPr>
          <w:p>
            <w:pPr>
              <w:spacing w:before="0" w:after="0" w:line="240" w:lineRule="auto"/>
              <w:jc w:val="left"/>
            </w:pPr>
            <w:r>
              <w:rPr>
                <w:sz w:val="20"/>
                <w:szCs w:val="20"/>
              </w:rPr>
              <w:t xml:space="preserve">2. Volatility of remaining constituents</w:t>
            </w:r>
          </w:p>
        </w:tc>
        <w:tc>
          <w:tcPr>
            <w:tcW w:w="3099" w:type="dxa"/>
          </w:tcPr>
          <w:p>
            <w:pPr>
              <w:spacing w:before="0" w:after="0" w:line="240" w:lineRule="auto"/>
              <w:jc w:val="left"/>
            </w:pPr>
            <w:r>
              <w:rPr>
                <w:sz w:val="20"/>
                <w:szCs w:val="20"/>
              </w:rPr>
              <w:t xml:space="preserve">σ</w:t>
            </w:r>
            <w:r>
              <w:rPr>
                <w:vertAlign w:val="subscript"/>
                <w:sz w:val="20"/>
                <w:szCs w:val="20"/>
              </w:rPr>
              <w:t xml:space="preserve">M</w:t>
            </w:r>
            <w:r>
              <w:rPr>
                <w:sz w:val="20"/>
                <w:szCs w:val="20"/>
              </w:rPr>
              <w:t xml:space="preserve"> </w:t>
            </w:r>
            <w:r>
              <w:rPr>
                <w:sz w:val="20"/>
                <w:szCs w:val="20"/>
              </w:rPr>
              <w:t xml:space="preserve">= (σ²</w:t>
            </w:r>
            <w:r>
              <w:rPr>
                <w:vertAlign w:val="subscript"/>
                <w:sz w:val="20"/>
                <w:szCs w:val="20"/>
              </w:rPr>
              <w:t xml:space="preserve">B</w:t>
            </w:r>
            <w:r>
              <w:rPr>
                <w:sz w:val="20"/>
                <w:szCs w:val="20"/>
              </w:rPr>
              <w:t xml:space="preserve"> </w:t>
            </w:r>
            <w:r>
              <w:rPr>
                <w:sz w:val="20"/>
                <w:szCs w:val="20"/>
              </w:rPr>
              <w:t xml:space="preserve">− 2wρ</w:t>
            </w:r>
            <w:r>
              <w:rPr>
                <w:vertAlign w:val="subscript"/>
                <w:sz w:val="20"/>
                <w:szCs w:val="20"/>
              </w:rPr>
              <w:t xml:space="preserve">AB</w:t>
            </w:r>
            <w:r>
              <w:rPr>
                <w:sz w:val="20"/>
                <w:szCs w:val="20"/>
              </w:rPr>
              <w:t xml:space="preserve"> </w:t>
            </w:r>
            <w:r>
              <w:rPr>
                <w:sz w:val="20"/>
                <w:szCs w:val="20"/>
              </w:rPr>
              <w:t xml:space="preserve">σ</w:t>
            </w:r>
            <w:r>
              <w:rPr>
                <w:vertAlign w:val="subscript"/>
                <w:sz w:val="20"/>
                <w:szCs w:val="20"/>
              </w:rPr>
              <w:t xml:space="preserve">A</w:t>
            </w:r>
            <w:r>
              <w:rPr>
                <w:sz w:val="20"/>
                <w:szCs w:val="20"/>
              </w:rPr>
              <w:t xml:space="preserve"> </w:t>
            </w:r>
            <w:r>
              <w:rPr>
                <w:sz w:val="20"/>
                <w:szCs w:val="20"/>
              </w:rPr>
              <w:t xml:space="preserve">σ</w:t>
            </w:r>
            <w:r>
              <w:rPr>
                <w:vertAlign w:val="subscript"/>
                <w:sz w:val="20"/>
                <w:szCs w:val="20"/>
              </w:rPr>
              <w:t xml:space="preserve">B</w:t>
            </w:r>
            <w:r>
              <w:rPr>
                <w:sz w:val="20"/>
                <w:szCs w:val="20"/>
              </w:rPr>
              <w:t xml:space="preserve"> </w:t>
            </w:r>
            <w:r>
              <w:rPr>
                <w:sz w:val="20"/>
                <w:szCs w:val="20"/>
              </w:rPr>
              <w:t xml:space="preserve">+ w²σ²</w:t>
            </w:r>
            <w:r>
              <w:rPr>
                <w:vertAlign w:val="subscript"/>
                <w:sz w:val="20"/>
                <w:szCs w:val="20"/>
              </w:rPr>
              <w:t xml:space="preserve">A</w:t>
            </w:r>
            <w:r>
              <w:rPr>
                <w:sz w:val="20"/>
                <w:szCs w:val="20"/>
              </w:rPr>
              <w:t xml:space="preserve">)</w:t>
            </w:r>
            <w:r>
              <w:rPr>
                <w:vertAlign w:val="superscript"/>
                <w:sz w:val="20"/>
                <w:szCs w:val="20"/>
              </w:rPr>
              <w:t xml:space="preserve">1/2</w:t>
            </w:r>
            <w:r>
              <w:rPr>
                <w:sz w:val="20"/>
                <w:szCs w:val="20"/>
              </w:rPr>
              <w:t xml:space="preserve">/(1 − w)</w:t>
            </w:r>
          </w:p>
        </w:tc>
        <w:tc>
          <w:tcPr>
            <w:tcW w:w="3327" w:type="dxa"/>
          </w:tcPr>
          <w:p>
            <w:pPr>
              <w:spacing w:before="0" w:after="0" w:line="240" w:lineRule="auto"/>
              <w:jc w:val="left"/>
            </w:pPr>
            <w:r>
              <w:rPr>
                <w:sz w:val="20"/>
                <w:szCs w:val="20"/>
              </w:rPr>
              <w:t xml:space="preserve">σ</w:t>
            </w:r>
            <w:r>
              <w:rPr>
                <w:vertAlign w:val="subscript"/>
                <w:sz w:val="20"/>
                <w:szCs w:val="20"/>
              </w:rPr>
              <w:t xml:space="preserve">M</w:t>
            </w:r>
            <w:r>
              <w:rPr>
                <w:sz w:val="20"/>
                <w:szCs w:val="20"/>
              </w:rPr>
              <w:t xml:space="preserve"> </w:t>
            </w:r>
            <w:r>
              <w:rPr>
                <w:sz w:val="20"/>
                <w:szCs w:val="20"/>
              </w:rPr>
              <w:t xml:space="preserve">= 0.0124</w:t>
            </w:r>
          </w:p>
        </w:tc>
      </w:tr>
      <w:tr>
        <w:tc>
          <w:tcPr>
            <w:tcW w:w="2934" w:type="dxa"/>
          </w:tcPr>
          <w:p>
            <w:pPr>
              <w:spacing w:before="0" w:after="0" w:line="240" w:lineRule="auto"/>
              <w:jc w:val="left"/>
            </w:pPr>
            <w:r>
              <w:rPr>
                <w:sz w:val="20"/>
                <w:szCs w:val="20"/>
              </w:rPr>
              <w:t xml:space="preserve">3. Relative amplitude</w:t>
            </w:r>
          </w:p>
        </w:tc>
        <w:tc>
          <w:tcPr>
            <w:tcW w:w="3099" w:type="dxa"/>
          </w:tcPr>
          <w:p>
            <w:pPr>
              <w:spacing w:before="0" w:after="0" w:line="240" w:lineRule="auto"/>
              <w:jc w:val="left"/>
            </w:pPr>
            <w:r>
              <w:rPr>
                <w:sz w:val="20"/>
                <w:szCs w:val="20"/>
              </w:rPr>
              <w:t xml:space="preserve">κ = (1 − w)σ</w:t>
            </w:r>
            <w:r>
              <w:rPr>
                <w:vertAlign w:val="subscript"/>
                <w:sz w:val="20"/>
                <w:szCs w:val="20"/>
              </w:rPr>
              <w:t xml:space="preserve">M</w:t>
            </w:r>
            <w:r>
              <w:rPr>
                <w:sz w:val="20"/>
                <w:szCs w:val="20"/>
              </w:rPr>
              <w:t xml:space="preserve">/(wσ</w:t>
            </w:r>
            <w:r>
              <w:rPr>
                <w:vertAlign w:val="subscript"/>
                <w:sz w:val="20"/>
                <w:szCs w:val="20"/>
              </w:rPr>
              <w:t xml:space="preserve">A</w:t>
            </w:r>
            <w:r>
              <w:rPr>
                <w:sz w:val="20"/>
                <w:szCs w:val="20"/>
              </w:rPr>
              <w:t xml:space="preserve">)</w:t>
            </w:r>
          </w:p>
        </w:tc>
        <w:tc>
          <w:tcPr>
            <w:tcW w:w="3327" w:type="dxa"/>
          </w:tcPr>
          <w:p>
            <w:pPr>
              <w:spacing w:before="0" w:after="0" w:line="240" w:lineRule="auto"/>
              <w:jc w:val="left"/>
            </w:pPr>
            <w:r>
              <w:rPr>
                <w:sz w:val="20"/>
                <w:szCs w:val="20"/>
              </w:rPr>
              <w:t xml:space="preserve">κ = 0.475</w:t>
            </w:r>
          </w:p>
        </w:tc>
      </w:tr>
      <w:tr>
        <w:tc>
          <w:tcPr>
            <w:tcW w:w="2934" w:type="dxa"/>
          </w:tcPr>
          <w:p>
            <w:pPr>
              <w:spacing w:before="0" w:after="0" w:line="240" w:lineRule="auto"/>
              <w:jc w:val="left"/>
            </w:pPr>
            <w:r>
              <w:rPr>
                <w:sz w:val="20"/>
                <w:szCs w:val="20"/>
              </w:rPr>
              <w:t xml:space="preserve">4. Benchmark and bound</w:t>
            </w:r>
          </w:p>
        </w:tc>
        <w:tc>
          <w:tcPr>
            <w:tcW w:w="3099" w:type="dxa"/>
          </w:tcPr>
          <w:p>
            <w:pPr>
              <w:spacing w:before="0" w:after="0" w:line="240" w:lineRule="auto"/>
              <w:jc w:val="left"/>
            </w:pPr>
            <w:r>
              <w:rPr>
                <w:sz w:val="20"/>
                <w:szCs w:val="20"/>
              </w:rPr>
              <w:t xml:space="preserve">ρ̲ = (1 + κ²)</w:t>
            </w:r>
            <w:r>
              <w:rPr>
                <w:vertAlign w:val="superscript"/>
                <w:sz w:val="20"/>
                <w:szCs w:val="20"/>
              </w:rPr>
              <w:t xml:space="preserve">−1/2</w:t>
            </w:r>
            <w:r>
              <w:rPr>
                <w:sz w:val="20"/>
                <w:szCs w:val="20"/>
              </w:rPr>
              <w:t xml:space="preserve">; bound (1 − κ²)</w:t>
            </w:r>
            <w:r>
              <w:rPr>
                <w:vertAlign w:val="superscript"/>
                <w:sz w:val="20"/>
                <w:szCs w:val="20"/>
              </w:rPr>
              <w:t xml:space="preserve">1/2</w:t>
            </w:r>
          </w:p>
        </w:tc>
        <w:tc>
          <w:tcPr>
            <w:tcW w:w="3327" w:type="dxa"/>
          </w:tcPr>
          <w:p>
            <w:pPr>
              <w:spacing w:before="0" w:after="0" w:line="240" w:lineRule="auto"/>
              <w:jc w:val="left"/>
            </w:pPr>
            <w:r>
              <w:rPr>
                <w:sz w:val="20"/>
                <w:szCs w:val="20"/>
              </w:rPr>
              <w:t xml:space="preserve">ρ̲ = 0.903; bound 0.880</w:t>
            </w:r>
          </w:p>
        </w:tc>
      </w:tr>
      <w:tr>
        <w:tc>
          <w:tcPr>
            <w:tcW w:w="2934" w:type="dxa"/>
          </w:tcPr>
          <w:p>
            <w:pPr>
              <w:spacing w:before="0" w:after="0" w:line="240" w:lineRule="auto"/>
              <w:jc w:val="left"/>
            </w:pPr>
            <w:r>
              <w:rPr>
                <w:sz w:val="20"/>
                <w:szCs w:val="20"/>
              </w:rPr>
              <w:t xml:space="preserve">5. Purged coefficient</w:t>
            </w:r>
          </w:p>
        </w:tc>
        <w:tc>
          <w:tcPr>
            <w:tcW w:w="3099" w:type="dxa"/>
          </w:tcPr>
          <w:p>
            <w:pPr>
              <w:spacing w:before="0" w:after="0" w:line="240" w:lineRule="auto"/>
              <w:jc w:val="left"/>
            </w:pPr>
            <w:r>
              <w:rPr>
                <w:sz w:val="20"/>
                <w:szCs w:val="20"/>
              </w:rPr>
              <w:t xml:space="preserve">ρ</w:t>
            </w:r>
            <w:r>
              <w:rPr>
                <w:vertAlign w:val="subscript"/>
                <w:sz w:val="20"/>
                <w:szCs w:val="20"/>
              </w:rPr>
              <w:t xml:space="preserve">AM</w:t>
            </w:r>
            <w:r>
              <w:rPr>
                <w:sz w:val="20"/>
                <w:szCs w:val="20"/>
              </w:rPr>
              <w:t xml:space="preserve"> </w:t>
            </w:r>
            <w:r>
              <w:rPr>
                <w:sz w:val="20"/>
                <w:szCs w:val="20"/>
              </w:rPr>
              <w:t xml:space="preserve">= (ρ</w:t>
            </w:r>
            <w:r>
              <w:rPr>
                <w:vertAlign w:val="subscript"/>
                <w:sz w:val="20"/>
                <w:szCs w:val="20"/>
              </w:rPr>
              <w:t xml:space="preserve">AB</w:t>
            </w:r>
            <w:r>
              <w:rPr>
                <w:sz w:val="20"/>
                <w:szCs w:val="20"/>
              </w:rPr>
              <w:t xml:space="preserve"> </w:t>
            </w:r>
            <w:r>
              <w:rPr>
                <w:sz w:val="20"/>
                <w:szCs w:val="20"/>
              </w:rPr>
              <w:t xml:space="preserve">σ</w:t>
            </w:r>
            <w:r>
              <w:rPr>
                <w:vertAlign w:val="subscript"/>
                <w:sz w:val="20"/>
                <w:szCs w:val="20"/>
              </w:rPr>
              <w:t xml:space="preserve">B</w:t>
            </w:r>
            <w:r>
              <w:rPr>
                <w:sz w:val="20"/>
                <w:szCs w:val="20"/>
              </w:rPr>
              <w:t xml:space="preserve"> </w:t>
            </w:r>
            <w:r>
              <w:rPr>
                <w:sz w:val="20"/>
                <w:szCs w:val="20"/>
              </w:rPr>
              <w:t xml:space="preserve">− wσ</w:t>
            </w:r>
            <w:r>
              <w:rPr>
                <w:vertAlign w:val="subscript"/>
                <w:sz w:val="20"/>
                <w:szCs w:val="20"/>
              </w:rPr>
              <w:t xml:space="preserve">A</w:t>
            </w:r>
            <w:r>
              <w:rPr>
                <w:sz w:val="20"/>
                <w:szCs w:val="20"/>
              </w:rPr>
              <w:t xml:space="preserve">)/[(1 − w)σ</w:t>
            </w:r>
            <w:r>
              <w:rPr>
                <w:vertAlign w:val="subscript"/>
                <w:sz w:val="20"/>
                <w:szCs w:val="20"/>
              </w:rPr>
              <w:t xml:space="preserve">M</w:t>
            </w:r>
            <w:r>
              <w:rPr>
                <w:sz w:val="20"/>
                <w:szCs w:val="20"/>
              </w:rPr>
              <w:t xml:space="preserve">]</w:t>
            </w:r>
          </w:p>
        </w:tc>
        <w:tc>
          <w:tcPr>
            <w:tcW w:w="3327" w:type="dxa"/>
          </w:tcPr>
          <w:p>
            <w:pPr>
              <w:spacing w:before="0" w:after="0" w:line="240" w:lineRule="auto"/>
              <w:jc w:val="left"/>
            </w:pPr>
            <w:r>
              <w:rPr>
                <w:sz w:val="20"/>
                <w:szCs w:val="20"/>
              </w:rPr>
              <w:t xml:space="preserve">ρ</w:t>
            </w:r>
            <w:r>
              <w:rPr>
                <w:vertAlign w:val="subscript"/>
                <w:sz w:val="20"/>
                <w:szCs w:val="20"/>
              </w:rPr>
              <w:t xml:space="preserve">AM</w:t>
            </w:r>
            <w:r>
              <w:rPr>
                <w:sz w:val="20"/>
                <w:szCs w:val="20"/>
              </w:rPr>
              <w:t xml:space="preserve"> </w:t>
            </w:r>
            <w:r>
              <w:rPr>
                <w:sz w:val="20"/>
                <w:szCs w:val="20"/>
              </w:rPr>
              <w:t xml:space="preserve">= 0.889</w:t>
            </w:r>
          </w:p>
        </w:tc>
      </w:tr>
      <w:tr>
        <w:tc>
          <w:tcPr>
            <w:tcW w:w="2934" w:type="dxa"/>
          </w:tcPr>
          <w:p>
            <w:pPr>
              <w:spacing w:before="0" w:after="0" w:line="240" w:lineRule="auto"/>
              <w:jc w:val="left"/>
            </w:pPr>
            <w:r>
              <w:rPr>
                <w:sz w:val="20"/>
                <w:szCs w:val="20"/>
              </w:rPr>
              <w:t xml:space="preserve">6. Sensitivity</w:t>
            </w:r>
          </w:p>
        </w:tc>
        <w:tc>
          <w:tcPr>
            <w:tcW w:w="3099" w:type="dxa"/>
          </w:tcPr>
          <w:p>
            <w:pPr>
              <w:spacing w:before="0" w:after="0" w:line="240" w:lineRule="auto"/>
              <w:jc w:val="left"/>
            </w:pPr>
            <w:r>
              <w:rPr>
                <w:sz w:val="20"/>
                <w:szCs w:val="20"/>
              </w:rPr>
              <w:t xml:space="preserve">Eq. (10)</w:t>
            </w:r>
          </w:p>
        </w:tc>
        <w:tc>
          <w:tcPr>
            <w:tcW w:w="3327" w:type="dxa"/>
          </w:tcPr>
          <w:p>
            <w:pPr>
              <w:spacing w:before="0" w:after="0" w:line="240" w:lineRule="auto"/>
              <w:jc w:val="left"/>
            </w:pPr>
            <w:r>
              <w:rPr>
                <w:sz w:val="20"/>
                <w:szCs w:val="20"/>
              </w:rPr>
              <w:t xml:space="preserve">0.103 (inverse 9.7)</w:t>
            </w:r>
          </w:p>
        </w:tc>
      </w:tr>
    </w:tbl>
    <w:p>
      <w:pPr>
        <w:pStyle w:val="Compact"/>
      </w:pPr>
      <w:r>
        <w:rPr>
          <w:sz w:val="20"/>
          <w:szCs w:val="20"/>
        </w:rPr>
        <w:t xml:space="preserve">Notes: Pearson moments of daily log returns, February 2014 to December 2025. Steps 2 and 5 reproduce the volatility and the correlation of the directly constructed overlap-purged series P</w:t>
      </w:r>
      <w:r>
        <w:rPr>
          <w:vertAlign w:val="subscript"/>
          <w:sz w:val="20"/>
          <w:szCs w:val="20"/>
        </w:rPr>
        <w:t xml:space="preserve">cap</w:t>
      </w:r>
      <w:r>
        <w:rPr>
          <w:sz w:val="20"/>
          <w:szCs w:val="20"/>
        </w:rPr>
        <w:t xml:space="preserve"> </w:t>
      </w:r>
      <w:r>
        <w:rPr>
          <w:sz w:val="20"/>
          <w:szCs w:val="20"/>
        </w:rPr>
        <w:t xml:space="preserve">exactly; subscripts A, B and M: child, parent and remaining constituents. Source: Authors’ calculations.</w:t>
      </w:r>
    </w:p>
    <w:p>
      <w:pPr>
        <w:pStyle w:val="heading20"/>
        <w:numPr>
          <w:ilvl w:val="0"/>
          <w:numId w:val="0"/>
        </w:numPr>
      </w:pPr>
      <w:r>
        <w:rPr>
          <w:rFonts w:ascii="Times New Roman" w:hAnsi="Times New Roman" w:cs="Times New Roman" w:eastAsia="Times New Roman"/>
          <w:b/>
          <w:sz w:val="24"/>
          <w:szCs w:val="24"/>
        </w:rPr>
        <w:t xml:space="preserve">4.3 Weight uncertainty</w:t>
      </w:r>
    </w:p>
    <w:p>
      <w:pPr>
        <w:pStyle w:val="p1a"/>
        <w:spacing w:before="0" w:after="120" w:line="300" w:lineRule="auto"/>
        <w:jc w:val="both"/>
      </w:pPr>
      <w:r>
        <w:rPr>
          <w:rFonts w:ascii="Times New Roman" w:hAnsi="Times New Roman" w:cs="Times New Roman" w:eastAsia="Times New Roman"/>
          <w:sz w:val="24"/>
          <w:szCs w:val="24"/>
        </w:rPr>
        <w:t xml:space="preserve">Capitalizations drift between semi-annual reviews. If the true weight w</w:t>
      </w:r>
      <w:r>
        <w:rPr>
          <w:rFonts w:ascii="Times New Roman" w:hAnsi="Times New Roman" w:cs="Times New Roman" w:eastAsia="Times New Roman"/>
          <w:vertAlign w:val="subscript"/>
          <w:sz w:val="24"/>
          <w:szCs w:val="24"/>
        </w:rPr>
        <w:t xml:space="preserve">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differs from w, the purged series becomes</w:t>
      </w:r>
    </w:p>
    <w:p>
      <w:pPr>
        <w:pStyle w:val="BodyText"/>
        <w:spacing w:before="0" w:after="120" w:line="300" w:lineRule="auto"/>
      </w:pPr>
      <m:oMathPara>
        <m:oMathParaPr>
          <m:jc m:val="center"/>
        </m:oMathParaPr>
        <m:oMath>
          <m:sSub>
            <m:e>
              <m:acc>
                <m:accPr>
                  <m:chr m:val="̂"/>
                </m:accPr>
                <m:e>
                  <m:r>
                    <m:t>M</m:t>
                  </m:r>
                </m:e>
              </m:acc>
            </m:e>
            <m:sub>
              <m:r>
                <m:t>t</m:t>
              </m:r>
            </m:sub>
          </m:sSub>
          <m:r>
            <m:rPr>
              <m:sty m:val="p"/>
            </m:rPr>
            <m:t>=</m:t>
          </m:r>
          <m:f>
            <m:fPr>
              <m:type m:val="bar"/>
            </m:fPr>
            <m:num>
              <m:r>
                <m:t>1</m:t>
              </m:r>
              <m:r>
                <m:rPr>
                  <m:sty m:val="p"/>
                </m:rPr>
                <m:t>−</m:t>
              </m:r>
              <m:sSub>
                <m:e>
                  <m:r>
                    <m:t>w</m:t>
                  </m:r>
                </m:e>
                <m:sub>
                  <m:r>
                    <m:t>t</m:t>
                  </m:r>
                </m:sub>
              </m:sSub>
            </m:num>
            <m:den>
              <m:r>
                <m:t>1</m:t>
              </m:r>
              <m:r>
                <m:rPr>
                  <m:sty m:val="p"/>
                </m:rPr>
                <m:t>−</m:t>
              </m:r>
              <m:r>
                <m:t>w</m:t>
              </m:r>
            </m:den>
          </m:f>
          <m:sSub>
            <m:e>
              <m:r>
                <m:t>M</m:t>
              </m:r>
            </m:e>
            <m:sub>
              <m:r>
                <m:t>t</m:t>
              </m:r>
            </m:sub>
          </m:sSub>
          <m:r>
            <m:rPr>
              <m:sty m:val="p"/>
            </m:rPr>
            <m:t>+</m:t>
          </m:r>
          <m:f>
            <m:fPr>
              <m:type m:val="bar"/>
            </m:fPr>
            <m:num>
              <m:sSub>
                <m:e>
                  <m:r>
                    <m:t>w</m:t>
                  </m:r>
                </m:e>
                <m:sub>
                  <m:r>
                    <m:t>t</m:t>
                  </m:r>
                </m:sub>
              </m:sSub>
              <m:r>
                <m:rPr>
                  <m:sty m:val="p"/>
                </m:rPr>
                <m:t>−</m:t>
              </m:r>
              <m:r>
                <m:t>w</m:t>
              </m:r>
            </m:num>
            <m:den>
              <m:r>
                <m:t>1</m:t>
              </m:r>
              <m:r>
                <m:rPr>
                  <m:sty m:val="p"/>
                </m:rPr>
                <m:t>−</m:t>
              </m:r>
              <m:r>
                <m:t>w</m:t>
              </m:r>
            </m:den>
          </m:f>
          <m:sSub>
            <m:e>
              <m:r>
                <m:t>A</m:t>
              </m:r>
            </m:e>
            <m:sub>
              <m:r>
                <m:t>t</m:t>
              </m:r>
            </m:sub>
          </m:sSub>
          <m:r>
            <m:rPr>
              <m:sty m:val="p"/>
            </m:rPr>
            <m:t>,</m:t>
          </m:r>
          <m:r>
            <m:t>  </m:t>
          </m:r>
          <m:d>
            <m:dPr>
              <m:begChr m:val="("/>
              <m:endChr m:val=")"/>
              <m:sepChr m:val=""/>
              <m:grow/>
            </m:dPr>
            <m:e>
              <m:r>
                <m:t>12</m:t>
              </m:r>
            </m:e>
          </m:d>
        </m:oMath>
      </m:oMathPara>
    </w:p>
    <w:p>
      <w:pPr>
        <w:pStyle w:val="FirstParagraph"/>
        <w:spacing w:before="0" w:after="120" w:line="300" w:lineRule="auto"/>
        <w:jc w:val="both"/>
      </w:pPr>
      <w:r>
        <w:rPr>
          <w:rFonts w:ascii="Times New Roman" w:hAnsi="Times New Roman" w:cs="Times New Roman" w:eastAsia="Times New Roman"/>
          <w:sz w:val="24"/>
          <w:szCs w:val="24"/>
        </w:rPr>
        <w:t xml:space="preserve">so large-cap returns leak into P</w:t>
      </w:r>
      <w:r>
        <w:rPr>
          <w:rFonts w:ascii="Times New Roman" w:hAnsi="Times New Roman" w:cs="Times New Roman" w:eastAsia="Times New Roman"/>
          <w:vertAlign w:val="subscript"/>
          <w:sz w:val="24"/>
          <w:szCs w:val="24"/>
        </w:rPr>
        <w:t xml:space="preserve">cap</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in proportion to the weight error w</w:t>
      </w:r>
      <w:r>
        <w:rPr>
          <w:rFonts w:ascii="Times New Roman" w:hAnsi="Times New Roman" w:cs="Times New Roman" w:eastAsia="Times New Roman"/>
          <w:vertAlign w:val="subscript"/>
          <w:sz w:val="24"/>
          <w:szCs w:val="24"/>
        </w:rPr>
        <w:t xml:space="preserve">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 and P</w:t>
      </w:r>
      <w:r>
        <w:rPr>
          <w:rFonts w:ascii="Times New Roman" w:hAnsi="Times New Roman" w:cs="Times New Roman" w:eastAsia="Times New Roman"/>
          <w:vertAlign w:val="subscript"/>
          <w:sz w:val="24"/>
          <w:szCs w:val="24"/>
        </w:rPr>
        <w:t xml:space="preserve">cap</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and VN30 are disjoint only at the exact weight. With a single factsheet snapshot we cannot rebuild the weight path, so each bootstrap replicate draws w from U(0.60, 0.75), an interval around the factsheet weight that allows drift in either direction, and recomputes P</w:t>
      </w:r>
      <w:r>
        <w:rPr>
          <w:rFonts w:ascii="Times New Roman" w:hAnsi="Times New Roman" w:cs="Times New Roman" w:eastAsia="Times New Roman"/>
          <w:vertAlign w:val="subscript"/>
          <w:sz w:val="24"/>
          <w:szCs w:val="24"/>
        </w:rPr>
        <w:t xml:space="preserve">cap</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and every statistic. Table S2 evaluates each quantity on a weight grid. The benchmark and sensitivity depend on the data only through κ and are less exposed to weight error than ρ</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w:t>
      </w:r>
    </w:p>
    <w:p>
      <w:pPr>
        <w:pStyle w:val="heading20"/>
        <w:numPr>
          <w:ilvl w:val="0"/>
          <w:numId w:val="0"/>
        </w:numPr>
      </w:pPr>
      <w:r>
        <w:rPr>
          <w:rFonts w:ascii="Times New Roman" w:hAnsi="Times New Roman" w:cs="Times New Roman" w:eastAsia="Times New Roman"/>
          <w:b/>
          <w:sz w:val="24"/>
          <w:szCs w:val="24"/>
        </w:rPr>
        <w:t xml:space="preserve">4.4 Reliability thresholds and inference</w:t>
      </w:r>
    </w:p>
    <w:p>
      <w:pPr>
        <w:pStyle w:val="p1a"/>
        <w:spacing w:before="0" w:after="120" w:line="300" w:lineRule="auto"/>
        <w:jc w:val="both"/>
      </w:pPr>
      <w:r>
        <w:rPr>
          <w:rFonts w:ascii="Times New Roman" w:hAnsi="Times New Roman" w:cs="Times New Roman" w:eastAsia="Times New Roman"/>
          <w:sz w:val="24"/>
          <w:szCs w:val="24"/>
        </w:rPr>
        <w:t xml:space="preserve">The DCCA coefficient becomes noisy at large scales, where boxes are few. For each sample size we simulate Gaussian white-noise pairs with correlations of −0.3, 0, 0.3, 0.5, 0.7 and 0.9 (1,002 per frequency) and set s</w:t>
      </w:r>
      <w:r>
        <w:rPr>
          <w:rFonts w:ascii="Times New Roman" w:hAnsi="Times New Roman" w:cs="Times New Roman" w:eastAsia="Times New Roman"/>
          <w:vertAlign w:val="subscript"/>
          <w:sz w:val="24"/>
          <w:szCs w:val="24"/>
        </w:rPr>
        <w:t xml:space="preserve">rel</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to the largest scale before the worst-case mean absolute error on 40 log-spaced scales first exceeds 0.05. We fixed the grid and tolerance in advance. A GARCH(1,1)-t(5) calibration (generalized autoregressive conditional heteroskedasticity with Student-t errors; 300 simulations) checks heavy tails.</w:t>
      </w:r>
    </w:p>
    <w:p>
      <w:pPr>
        <w:pStyle w:val="BodyText"/>
        <w:spacing w:before="0" w:after="120" w:line="300" w:lineRule="auto"/>
        <w:jc w:val="both"/>
      </w:pPr>
      <w:r>
        <w:rPr>
          <w:rFonts w:ascii="Times New Roman" w:hAnsi="Times New Roman" w:cs="Times New Roman" w:eastAsia="Times New Roman"/>
          <w:sz w:val="24"/>
          <w:szCs w:val="24"/>
        </w:rPr>
        <w:t xml:space="preserve">Coefficients at different scales come from the same series, so for all inference we resample the data with the stationary block bootstrap (Politis and Romano 1994) with mean blocks of about 20 trading days and recompute every curve and statistic in each replicate. We use 499 replicates for the DCCA statistics of Tables 4–6 and for the decomposition, hedge-effectiveness and tail-dependence statistics; 399 for the like-for-like gap under weight uncertainty; 199 for the trimmed-bar checks of Section 5.4 and Tables S7 and S15 and the 30-minute block-length checks of Table S6; and 999 for the factor-model, lead–lag and materiality (Table S14) statistics and for the Forbes–Rigobon tests under VN30 quartiles, across weights and with 2021 added. The remaining Forbes–Rigobon and relative-error statistics use 1,999 replicates.</w:t>
      </w:r>
    </w:p>
    <w:p>
      <w:pPr>
        <w:pStyle w:val="BodyText"/>
        <w:spacing w:before="0" w:after="120" w:line="300" w:lineRule="auto"/>
        <w:jc w:val="both"/>
      </w:pPr>
      <w:r>
        <w:rPr>
          <w:rFonts w:ascii="Times New Roman" w:hAnsi="Times New Roman" w:cs="Times New Roman" w:eastAsia="Times New Roman"/>
          <w:sz w:val="24"/>
          <w:szCs w:val="24"/>
        </w:rPr>
        <w:t xml:space="preserve">Intervals are percentile 95% intervals, capped at ±1 for correlations. With B = 499 replicates, percentile p-values cannot fall below 0.004 (reported as p &lt; 0.005): p = 2 min{k₋ + 1, k₊ + 1}/(B + 1), where k₋ and k₊ count replicates at or below and at or above zero. With 19 tests, the smallest attainable Holm-adjusted value is 0.076. One-sided Forbes–Rigobon p-values use the re-centered bootstrap distribution, and p-values for Δβ and the residual-variance ratio are studentized. Because of the resolution limit, slope tests also use studentized p-values, 2Φ(−|β̂|/se</w:t>
      </w:r>
      <w:r>
        <w:rPr>
          <w:rFonts w:ascii="Times New Roman" w:hAnsi="Times New Roman" w:cs="Times New Roman" w:eastAsia="Times New Roman"/>
          <w:vertAlign w:val="subscript"/>
          <w:sz w:val="24"/>
          <w:szCs w:val="24"/>
        </w:rPr>
        <w:t xml:space="preserve">boot</w:t>
      </w:r>
      <w:r>
        <w:rPr>
          <w:rFonts w:ascii="Times New Roman" w:hAnsi="Times New Roman" w:cs="Times New Roman" w:eastAsia="Times New Roman"/>
          <w:sz w:val="24"/>
          <w:szCs w:val="24"/>
        </w:rPr>
        <w:t xml:space="preserve">), adjusted by the Holm (1979) and Benjamini and Hochberg (1995) procedures in two families: the original 19 reliable-range tests and the eight broad-market tests of H2. We test equivalence of the VN30–VN100 slope to zero with two one-sided tests (TOST; Schuirmann 1987) and a margin of 0.001 per unit of ln s. Over the 4.5 units of the M30 reliable range, such a slope moves the coefficient by less than a tenth of the 0.05 tolerance.</w:t>
      </w:r>
    </w:p>
    <w:p>
      <w:pPr>
        <w:pStyle w:val="heading20"/>
        <w:numPr>
          <w:ilvl w:val="0"/>
          <w:numId w:val="0"/>
        </w:numPr>
      </w:pPr>
      <w:r>
        <w:rPr>
          <w:rFonts w:ascii="Times New Roman" w:hAnsi="Times New Roman" w:cs="Times New Roman" w:eastAsia="Times New Roman"/>
          <w:b/>
          <w:sz w:val="24"/>
          <w:szCs w:val="24"/>
        </w:rPr>
        <w:t xml:space="preserve">4.5 Scaling regressions and slope channels</w:t>
      </w:r>
    </w:p>
    <w:p>
      <w:pPr>
        <w:pStyle w:val="p1a"/>
        <w:spacing w:before="0" w:after="120" w:line="300" w:lineRule="auto"/>
        <w:jc w:val="both"/>
      </w:pPr>
      <w:r>
        <w:rPr>
          <w:rFonts w:ascii="Times New Roman" w:hAnsi="Times New Roman" w:cs="Times New Roman" w:eastAsia="Times New Roman"/>
          <w:sz w:val="24"/>
          <w:szCs w:val="24"/>
        </w:rPr>
        <w:t xml:space="preserve">We measure horizon dependence by the slope β of</w:t>
      </w:r>
    </w:p>
    <w:p>
      <w:pPr>
        <w:pStyle w:val="BodyText"/>
        <w:spacing w:before="0" w:after="120" w:line="300" w:lineRule="auto"/>
      </w:pPr>
      <m:oMathPara>
        <m:oMathParaPr>
          <m:jc m:val="center"/>
        </m:oMathParaPr>
        <m:oMath>
          <m:sSub>
            <m:e>
              <m:r>
                <m:t>ρ</m:t>
              </m:r>
            </m:e>
            <m:sub>
              <m:r>
                <m:t>X</m:t>
              </m:r>
              <m:r>
                <m:t>Y</m:t>
              </m:r>
            </m:sub>
          </m:sSub>
          <m:d>
            <m:dPr>
              <m:begChr m:val="("/>
              <m:endChr m:val=")"/>
              <m:sepChr m:val=""/>
              <m:grow/>
            </m:dPr>
            <m:e>
              <m:r>
                <m:t>s</m:t>
              </m:r>
            </m:e>
          </m:d>
          <m:r>
            <m:rPr>
              <m:sty m:val="p"/>
            </m:rPr>
            <m:t>=</m:t>
          </m:r>
          <m:r>
            <m:t>α</m:t>
          </m:r>
          <m:r>
            <m:rPr>
              <m:sty m:val="p"/>
            </m:rPr>
            <m:t>+</m:t>
          </m:r>
          <m:r>
            <m:t>β</m:t>
          </m:r>
          <m:r>
            <m:rPr>
              <m:sty m:val="p"/>
            </m:rPr>
            <m:t>ln</m:t>
          </m:r>
          <m:r>
            <m:t>s</m:t>
          </m:r>
          <m:r>
            <m:rPr>
              <m:sty m:val="p"/>
            </m:rPr>
            <m:t>+</m:t>
          </m:r>
          <m:r>
            <m:t>u</m:t>
          </m:r>
          <m:d>
            <m:dPr>
              <m:begChr m:val="("/>
              <m:endChr m:val=")"/>
              <m:sepChr m:val=""/>
              <m:grow/>
            </m:dPr>
            <m:e>
              <m:r>
                <m:t>s</m:t>
              </m:r>
            </m:e>
          </m:d>
          <m:r>
            <m:rPr>
              <m:sty m:val="p"/>
            </m:rPr>
            <m:t>,</m:t>
          </m:r>
          <m:r>
            <m:t>  </m:t>
          </m:r>
          <m:d>
            <m:dPr>
              <m:begChr m:val="("/>
              <m:endChr m:val=")"/>
              <m:sepChr m:val=""/>
              <m:grow/>
            </m:dPr>
            <m:e>
              <m:r>
                <m:t>13</m:t>
              </m:r>
            </m:e>
          </m:d>
        </m:oMath>
      </m:oMathPara>
    </w:p>
    <w:p>
      <w:pPr>
        <w:pStyle w:val="FirstParagraph"/>
        <w:spacing w:before="0" w:after="120" w:line="300" w:lineRule="auto"/>
        <w:jc w:val="both"/>
      </w:pPr>
      <w:r>
        <w:rPr>
          <w:rFonts w:ascii="Times New Roman" w:hAnsi="Times New Roman" w:cs="Times New Roman" w:eastAsia="Times New Roman"/>
          <w:sz w:val="24"/>
          <w:szCs w:val="24"/>
        </w:rPr>
        <w:t xml:space="preserve">over s ≤ s</w:t>
      </w:r>
      <w:r>
        <w:rPr>
          <w:rFonts w:ascii="Times New Roman" w:hAnsi="Times New Roman" w:cs="Times New Roman" w:eastAsia="Times New Roman"/>
          <w:vertAlign w:val="subscript"/>
          <w:sz w:val="24"/>
          <w:szCs w:val="24"/>
        </w:rPr>
        <w:t xml:space="preserve">rel</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(full-range slopes in Table S1). For the nested pair, Eq. (7) splits the slope into a ρ</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channel and a κ channel,</w:t>
      </w:r>
    </w:p>
    <w:p>
      <w:pPr>
        <w:pStyle w:val="BodyText"/>
        <w:spacing w:before="0" w:after="120" w:line="300" w:lineRule="auto"/>
      </w:pPr>
      <m:oMathPara>
        <m:oMathParaPr>
          <m:jc m:val="center"/>
        </m:oMathParaPr>
        <m:oMath>
          <m:f>
            <m:fPr>
              <m:type m:val="bar"/>
            </m:fPr>
            <m:num>
              <m:r>
                <m:t>d</m:t>
              </m:r>
              <m:sSub>
                <m:e>
                  <m:r>
                    <m:t>ρ</m:t>
                  </m:r>
                </m:e>
                <m:sub>
                  <m:r>
                    <m:t>A</m:t>
                  </m:r>
                  <m:r>
                    <m:t>B</m:t>
                  </m:r>
                </m:sub>
              </m:sSub>
            </m:num>
            <m:den>
              <m:r>
                <m:t>d</m:t>
              </m:r>
              <m:r>
                <m:rPr>
                  <m:sty m:val="p"/>
                </m:rPr>
                <m:t>ln</m:t>
              </m:r>
              <m:r>
                <m:t>s</m:t>
              </m:r>
            </m:den>
          </m:f>
          <m:r>
            <m:rPr>
              <m:sty m:val="p"/>
            </m:rPr>
            <m:t>=</m:t>
          </m:r>
          <m:f>
            <m:fPr>
              <m:type m:val="bar"/>
            </m:fPr>
            <m:num>
              <m:r>
                <m:rPr>
                  <m:sty m:val="p"/>
                </m:rPr>
                <m:t>∂</m:t>
              </m:r>
              <m:sSub>
                <m:e>
                  <m:r>
                    <m:t>ρ</m:t>
                  </m:r>
                </m:e>
                <m:sub>
                  <m:r>
                    <m:t>A</m:t>
                  </m:r>
                  <m:r>
                    <m:t>B</m:t>
                  </m:r>
                </m:sub>
              </m:sSub>
            </m:num>
            <m:den>
              <m:r>
                <m:rPr>
                  <m:sty m:val="p"/>
                </m:rPr>
                <m:t>∂</m:t>
              </m:r>
              <m:sSub>
                <m:e>
                  <m:r>
                    <m:t>ρ</m:t>
                  </m:r>
                </m:e>
                <m:sub>
                  <m:r>
                    <m:t>A</m:t>
                  </m:r>
                  <m:r>
                    <m:t>M</m:t>
                  </m:r>
                </m:sub>
              </m:sSub>
            </m:den>
          </m:f>
          <m:f>
            <m:fPr>
              <m:type m:val="bar"/>
            </m:fPr>
            <m:num>
              <m:r>
                <m:t>d</m:t>
              </m:r>
              <m:sSub>
                <m:e>
                  <m:r>
                    <m:t>ρ</m:t>
                  </m:r>
                </m:e>
                <m:sub>
                  <m:r>
                    <m:t>A</m:t>
                  </m:r>
                  <m:r>
                    <m:t>M</m:t>
                  </m:r>
                </m:sub>
              </m:sSub>
            </m:num>
            <m:den>
              <m:r>
                <m:t>d</m:t>
              </m:r>
              <m:r>
                <m:rPr>
                  <m:sty m:val="p"/>
                </m:rPr>
                <m:t>ln</m:t>
              </m:r>
              <m:r>
                <m:t>s</m:t>
              </m:r>
            </m:den>
          </m:f>
          <m:r>
            <m:rPr>
              <m:sty m:val="p"/>
            </m:rPr>
            <m:t>+</m:t>
          </m:r>
          <m:f>
            <m:fPr>
              <m:type m:val="bar"/>
            </m:fPr>
            <m:num>
              <m:r>
                <m:rPr>
                  <m:sty m:val="p"/>
                </m:rPr>
                <m:t>∂</m:t>
              </m:r>
              <m:sSub>
                <m:e>
                  <m:r>
                    <m:t>ρ</m:t>
                  </m:r>
                </m:e>
                <m:sub>
                  <m:r>
                    <m:t>A</m:t>
                  </m:r>
                  <m:r>
                    <m:t>B</m:t>
                  </m:r>
                </m:sub>
              </m:sSub>
            </m:num>
            <m:den>
              <m:r>
                <m:rPr>
                  <m:sty m:val="p"/>
                </m:rPr>
                <m:t>∂</m:t>
              </m:r>
              <m:r>
                <m:t>κ</m:t>
              </m:r>
            </m:den>
          </m:f>
          <m:f>
            <m:fPr>
              <m:type m:val="bar"/>
            </m:fPr>
            <m:num>
              <m:r>
                <m:t>d</m:t>
              </m:r>
              <m:r>
                <m:t>κ</m:t>
              </m:r>
            </m:num>
            <m:den>
              <m:r>
                <m:t>d</m:t>
              </m:r>
              <m:r>
                <m:rPr>
                  <m:sty m:val="p"/>
                </m:rPr>
                <m:t>ln</m:t>
              </m:r>
              <m:r>
                <m:t>s</m:t>
              </m:r>
            </m:den>
          </m:f>
          <m:r>
            <m:rPr>
              <m:sty m:val="p"/>
            </m:rPr>
            <m:t>,</m:t>
          </m:r>
          <m:r>
            <m:t>  </m:t>
          </m:r>
          <m:f>
            <m:fPr>
              <m:type m:val="bar"/>
            </m:fPr>
            <m:num>
              <m:r>
                <m:rPr>
                  <m:sty m:val="p"/>
                </m:rPr>
                <m:t>∂</m:t>
              </m:r>
              <m:sSub>
                <m:e>
                  <m:r>
                    <m:t>ρ</m:t>
                  </m:r>
                </m:e>
                <m:sub>
                  <m:r>
                    <m:t>A</m:t>
                  </m:r>
                  <m:r>
                    <m:t>B</m:t>
                  </m:r>
                </m:sub>
              </m:sSub>
            </m:num>
            <m:den>
              <m:r>
                <m:rPr>
                  <m:sty m:val="p"/>
                </m:rPr>
                <m:t>∂</m:t>
              </m:r>
              <m:r>
                <m:t>κ</m:t>
              </m:r>
            </m:den>
          </m:f>
          <m:r>
            <m:rPr>
              <m:sty m:val="p"/>
            </m:rPr>
            <m:t>=</m:t>
          </m:r>
          <m:r>
            <m:rPr>
              <m:sty m:val="p"/>
            </m:rPr>
            <m:t>−</m:t>
          </m:r>
          <m:f>
            <m:fPr>
              <m:type m:val="bar"/>
            </m:fPr>
            <m:num>
              <m:r>
                <m:t>κ</m:t>
              </m:r>
              <m:d>
                <m:dPr>
                  <m:begChr m:val="("/>
                  <m:endChr m:val=")"/>
                  <m:sepChr m:val=""/>
                  <m:grow/>
                </m:dPr>
                <m:e>
                  <m:r>
                    <m:t>1</m:t>
                  </m:r>
                  <m:r>
                    <m:rPr>
                      <m:sty m:val="p"/>
                    </m:rPr>
                    <m:t>−</m:t>
                  </m:r>
                  <m:sSubSup>
                    <m:e>
                      <m:r>
                        <m:t>ρ</m:t>
                      </m:r>
                    </m:e>
                    <m:sub>
                      <m:r>
                        <m:t>A</m:t>
                      </m:r>
                      <m:r>
                        <m:t>M</m:t>
                      </m:r>
                    </m:sub>
                    <m:sup>
                      <m:r>
                        <m:t>2</m:t>
                      </m:r>
                    </m:sup>
                  </m:sSubSup>
                </m:e>
              </m:d>
            </m:num>
            <m:den>
              <m:sSup>
                <m:e>
                  <m:d>
                    <m:dPr>
                      <m:begChr m:val="("/>
                      <m:endChr m:val=")"/>
                      <m:sepChr m:val=""/>
                      <m:grow/>
                    </m:dPr>
                    <m:e>
                      <m:r>
                        <m:t>1</m:t>
                      </m:r>
                      <m:r>
                        <m:rPr>
                          <m:sty m:val="p"/>
                        </m:rPr>
                        <m:t>+</m:t>
                      </m:r>
                      <m:sSup>
                        <m:e>
                          <m:r>
                            <m:t>κ</m:t>
                          </m:r>
                        </m:e>
                        <m:sup>
                          <m:r>
                            <m:t>2</m:t>
                          </m:r>
                        </m:sup>
                      </m:sSup>
                      <m:r>
                        <m:rPr>
                          <m:sty m:val="p"/>
                        </m:rPr>
                        <m:t>+</m:t>
                      </m:r>
                      <m:r>
                        <m:t>2</m:t>
                      </m:r>
                      <m:r>
                        <m:t>κ</m:t>
                      </m:r>
                      <m:sSub>
                        <m:e>
                          <m:r>
                            <m:t>ρ</m:t>
                          </m:r>
                        </m:e>
                        <m:sub>
                          <m:r>
                            <m:t>A</m:t>
                          </m:r>
                          <m:r>
                            <m:t>M</m:t>
                          </m:r>
                        </m:sub>
                      </m:sSub>
                    </m:e>
                  </m:d>
                </m:e>
                <m:sup>
                  <m:r>
                    <m:t>3</m:t>
                  </m:r>
                  <m:r>
                    <m:rPr>
                      <m:sty m:val="p"/>
                    </m:rPr>
                    <m:t>/</m:t>
                  </m:r>
                  <m:r>
                    <m:t>2</m:t>
                  </m:r>
                </m:sup>
              </m:sSup>
            </m:den>
          </m:f>
          <m:r>
            <m:rPr>
              <m:sty m:val="p"/>
            </m:rPr>
            <m:t>,</m:t>
          </m:r>
          <m:r>
            <m:t>  </m:t>
          </m:r>
          <m:d>
            <m:dPr>
              <m:begChr m:val="("/>
              <m:endChr m:val=")"/>
              <m:sepChr m:val=""/>
              <m:grow/>
            </m:dPr>
            <m:e>
              <m:r>
                <m:t>14</m:t>
              </m:r>
            </m:e>
          </m:d>
        </m:oMath>
      </m:oMathPara>
    </w:p>
    <w:p>
      <w:pPr>
        <w:pStyle w:val="FirstParagraph"/>
        <w:spacing w:before="0" w:after="120" w:line="300" w:lineRule="auto"/>
        <w:jc w:val="both"/>
      </w:pPr>
      <w:r>
        <w:rPr>
          <w:rFonts w:ascii="Times New Roman" w:hAnsi="Times New Roman" w:cs="Times New Roman" w:eastAsia="Times New Roman"/>
          <w:sz w:val="24"/>
          <w:szCs w:val="24"/>
        </w:rPr>
        <w:t xml:space="preserve">so horizon dependence in ρ</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reaches ρ</w:t>
      </w:r>
      <w:r>
        <w:rPr>
          <w:rFonts w:ascii="Times New Roman" w:hAnsi="Times New Roman" w:cs="Times New Roman" w:eastAsia="Times New Roman"/>
          <w:vertAlign w:val="subscript"/>
          <w:sz w:val="24"/>
          <w:szCs w:val="24"/>
        </w:rPr>
        <w:t xml:space="preserve">AB</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damped by the sensitivity of Eq. (10).</w:t>
      </w:r>
    </w:p>
    <w:p>
      <w:pPr>
        <w:pStyle w:val="heading20"/>
        <w:numPr>
          <w:ilvl w:val="0"/>
          <w:numId w:val="0"/>
        </w:numPr>
      </w:pPr>
      <w:r>
        <w:rPr>
          <w:rFonts w:ascii="Times New Roman" w:hAnsi="Times New Roman" w:cs="Times New Roman" w:eastAsia="Times New Roman"/>
          <w:b/>
          <w:sz w:val="24"/>
          <w:szCs w:val="24"/>
        </w:rPr>
        <w:t xml:space="preserve">4.6 Volatility conditioning and contagion tests</w:t>
      </w:r>
    </w:p>
    <w:p>
      <w:pPr>
        <w:pStyle w:val="p1a"/>
        <w:spacing w:before="0" w:after="120" w:line="300" w:lineRule="auto"/>
        <w:jc w:val="both"/>
      </w:pPr>
      <w:r>
        <w:rPr>
          <w:rFonts w:ascii="Times New Roman" w:hAnsi="Times New Roman" w:cs="Times New Roman" w:eastAsia="Times New Roman"/>
          <w:sz w:val="24"/>
          <w:szCs w:val="24"/>
        </w:rPr>
        <w:t xml:space="preserve">If y</w:t>
      </w:r>
      <w:r>
        <w:rPr>
          <w:rFonts w:ascii="Times New Roman" w:hAnsi="Times New Roman" w:cs="Times New Roman" w:eastAsia="Times New Roman"/>
          <w:vertAlign w:val="subscript"/>
          <w:sz w:val="24"/>
          <w:szCs w:val="24"/>
        </w:rPr>
        <w:t xml:space="preserve">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α + βx</w:t>
      </w:r>
      <w:r>
        <w:rPr>
          <w:rFonts w:ascii="Times New Roman" w:hAnsi="Times New Roman" w:cs="Times New Roman" w:eastAsia="Times New Roman"/>
          <w:vertAlign w:val="subscript"/>
          <w:sz w:val="24"/>
          <w:szCs w:val="24"/>
        </w:rPr>
        <w:t xml:space="preserve">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ε</w:t>
      </w:r>
      <w:r>
        <w:rPr>
          <w:rFonts w:ascii="Times New Roman" w:hAnsi="Times New Roman" w:cs="Times New Roman" w:eastAsia="Times New Roman"/>
          <w:vertAlign w:val="subscript"/>
          <w:sz w:val="24"/>
          <w:szCs w:val="24"/>
        </w:rPr>
        <w:t xml:space="preserve">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with Var(ε</w:t>
      </w:r>
      <w:r>
        <w:rPr>
          <w:rFonts w:ascii="Times New Roman" w:hAnsi="Times New Roman" w:cs="Times New Roman" w:eastAsia="Times New Roman"/>
          <w:vertAlign w:val="subscript"/>
          <w:sz w:val="24"/>
          <w:szCs w:val="24"/>
        </w:rPr>
        <w:t xml:space="preserve">t</w:t>
      </w:r>
      <w:r>
        <w:rPr>
          <w:rFonts w:ascii="Times New Roman" w:hAnsi="Times New Roman" w:cs="Times New Roman" w:eastAsia="Times New Roman"/>
          <w:sz w:val="24"/>
          <w:szCs w:val="24"/>
        </w:rPr>
        <w:t xml:space="preserve">) = σ²</w:t>
      </w:r>
      <w:r>
        <w:rPr>
          <w:rFonts w:ascii="Times New Roman" w:hAnsi="Times New Roman" w:cs="Times New Roman" w:eastAsia="Times New Roman"/>
          <w:vertAlign w:val="subscript"/>
          <w:sz w:val="24"/>
          <w:szCs w:val="24"/>
        </w:rPr>
        <w:t xml:space="preserve">ε</w:t>
      </w:r>
      <w:r>
        <w:rPr>
          <w:rFonts w:ascii="Times New Roman" w:hAnsi="Times New Roman" w:cs="Times New Roman" w:eastAsia="Times New Roman"/>
          <w:sz w:val="24"/>
          <w:szCs w:val="24"/>
        </w:rPr>
        <w:t xml:space="preserve">, the correlation [1 + σ²</w:t>
      </w:r>
      <w:r>
        <w:rPr>
          <w:rFonts w:ascii="Times New Roman" w:hAnsi="Times New Roman" w:cs="Times New Roman" w:eastAsia="Times New Roman"/>
          <w:vertAlign w:val="subscript"/>
          <w:sz w:val="24"/>
          <w:szCs w:val="24"/>
        </w:rPr>
        <w:t xml:space="preserve">ε</w:t>
      </w:r>
      <w:r>
        <w:rPr>
          <w:rFonts w:ascii="Times New Roman" w:hAnsi="Times New Roman" w:cs="Times New Roman" w:eastAsia="Times New Roman"/>
          <w:sz w:val="24"/>
          <w:szCs w:val="24"/>
        </w:rPr>
        <w:t xml:space="preserve">/(β²σ²</w:t>
      </w:r>
      <w:r>
        <w:rPr>
          <w:rFonts w:ascii="Times New Roman" w:hAnsi="Times New Roman" w:cs="Times New Roman" w:eastAsia="Times New Roman"/>
          <w:vertAlign w:val="subscript"/>
          <w:sz w:val="24"/>
          <w:szCs w:val="24"/>
        </w:rPr>
        <w:t xml:space="preserve">x</w:t>
      </w:r>
      <w:r>
        <w:rPr>
          <w:rFonts w:ascii="Times New Roman" w:hAnsi="Times New Roman" w:cs="Times New Roman" w:eastAsia="Times New Roman"/>
          <w:sz w:val="24"/>
          <w:szCs w:val="24"/>
        </w:rPr>
        <w:t xml:space="preserve">)]</w:t>
      </w:r>
      <w:r>
        <w:rPr>
          <w:rFonts w:ascii="Times New Roman" w:hAnsi="Times New Roman" w:cs="Times New Roman" w:eastAsia="Times New Roman"/>
          <w:vertAlign w:val="superscript"/>
          <w:sz w:val="24"/>
          <w:szCs w:val="24"/>
        </w:rPr>
        <w:t xml:space="preserve">−1/2</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rises with the variance of x even when β and σ²</w:t>
      </w:r>
      <w:r>
        <w:rPr>
          <w:rFonts w:ascii="Times New Roman" w:hAnsi="Times New Roman" w:cs="Times New Roman" w:eastAsia="Times New Roman"/>
          <w:vertAlign w:val="subscript"/>
          <w:sz w:val="24"/>
          <w:szCs w:val="24"/>
        </w:rPr>
        <w:t xml:space="preserve">ε</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are constant. Forbes and Rigobon (2002) adjust the crisis correlation as</w:t>
      </w:r>
    </w:p>
    <w:p>
      <w:pPr>
        <w:pStyle w:val="BodyText"/>
        <w:spacing w:before="0" w:after="120" w:line="300" w:lineRule="auto"/>
      </w:pPr>
      <m:oMathPara>
        <m:oMathParaPr>
          <m:jc m:val="center"/>
        </m:oMathParaPr>
        <m:oMath>
          <m:sSup>
            <m:e>
              <m:r>
                <m:t>ρ</m:t>
              </m:r>
            </m:e>
            <m:sup>
              <m:r>
                <m:rPr>
                  <m:sty m:val="p"/>
                </m:rPr>
                <m:t>*</m:t>
              </m:r>
            </m:sup>
          </m:sSup>
          <m:r>
            <m:rPr>
              <m:sty m:val="p"/>
            </m:rPr>
            <m:t>=</m:t>
          </m:r>
          <m:f>
            <m:fPr>
              <m:type m:val="bar"/>
            </m:fPr>
            <m:num>
              <m:sSub>
                <m:e>
                  <m:r>
                    <m:t>ρ</m:t>
                  </m:r>
                </m:e>
                <m:sub>
                  <m:r>
                    <m:rPr>
                      <m:sty m:val="p"/>
                    </m:rPr>
                    <m:t>h</m:t>
                  </m:r>
                  <m:r>
                    <m:rPr>
                      <m:sty m:val="p"/>
                    </m:rPr>
                    <m:t>i</m:t>
                  </m:r>
                  <m:r>
                    <m:rPr>
                      <m:sty m:val="p"/>
                    </m:rPr>
                    <m:t>g</m:t>
                  </m:r>
                  <m:r>
                    <m:rPr>
                      <m:sty m:val="p"/>
                    </m:rPr>
                    <m:t>h</m:t>
                  </m:r>
                </m:sub>
              </m:sSub>
            </m:num>
            <m:den>
              <m:rad>
                <m:radPr>
                  <m:degHide m:val="on"/>
                </m:radPr>
                <m:deg/>
                <m:e>
                  <m:r>
                    <m:t>1</m:t>
                  </m:r>
                  <m:r>
                    <m:rPr>
                      <m:sty m:val="p"/>
                    </m:rPr>
                    <m:t>+</m:t>
                  </m:r>
                  <m:r>
                    <m:t>δ</m:t>
                  </m:r>
                  <m:r>
                    <m:t> </m:t>
                  </m:r>
                  <m:d>
                    <m:dPr>
                      <m:begChr m:val="("/>
                      <m:endChr m:val=")"/>
                      <m:sepChr m:val=""/>
                      <m:grow/>
                    </m:dPr>
                    <m:e>
                      <m:r>
                        <m:t>1</m:t>
                      </m:r>
                      <m:r>
                        <m:rPr>
                          <m:sty m:val="p"/>
                        </m:rPr>
                        <m:t>−</m:t>
                      </m:r>
                      <m:sSubSup>
                        <m:e>
                          <m:r>
                            <m:t>ρ</m:t>
                          </m:r>
                        </m:e>
                        <m:sub>
                          <m:r>
                            <m:rPr>
                              <m:sty m:val="p"/>
                            </m:rPr>
                            <m:t>h</m:t>
                          </m:r>
                          <m:r>
                            <m:rPr>
                              <m:sty m:val="p"/>
                            </m:rPr>
                            <m:t>i</m:t>
                          </m:r>
                          <m:r>
                            <m:rPr>
                              <m:sty m:val="p"/>
                            </m:rPr>
                            <m:t>g</m:t>
                          </m:r>
                          <m:r>
                            <m:rPr>
                              <m:sty m:val="p"/>
                            </m:rPr>
                            <m:t>h</m:t>
                          </m:r>
                        </m:sub>
                        <m:sup>
                          <m:r>
                            <m:t>2</m:t>
                          </m:r>
                        </m:sup>
                      </m:sSubSup>
                    </m:e>
                  </m:d>
                </m:e>
              </m:rad>
            </m:den>
          </m:f>
          <m:r>
            <m:rPr>
              <m:sty m:val="p"/>
            </m:rPr>
            <m:t>,</m:t>
          </m:r>
          <m:r>
            <m:t>  </m:t>
          </m:r>
          <m:r>
            <m:t>δ</m:t>
          </m:r>
          <m:r>
            <m:rPr>
              <m:sty m:val="p"/>
            </m:rPr>
            <m:t>=</m:t>
          </m:r>
          <m:f>
            <m:fPr>
              <m:type m:val="bar"/>
            </m:fPr>
            <m:num>
              <m:sSubSup>
                <m:e>
                  <m:r>
                    <m:t>σ</m:t>
                  </m:r>
                </m:e>
                <m:sub>
                  <m:r>
                    <m:t>x</m:t>
                  </m:r>
                  <m:r>
                    <m:rPr>
                      <m:sty m:val="p"/>
                    </m:rPr>
                    <m:t>,</m:t>
                  </m:r>
                  <m:r>
                    <m:rPr>
                      <m:sty m:val="p"/>
                    </m:rPr>
                    <m:t>h</m:t>
                  </m:r>
                  <m:r>
                    <m:rPr>
                      <m:sty m:val="p"/>
                    </m:rPr>
                    <m:t>i</m:t>
                  </m:r>
                  <m:r>
                    <m:rPr>
                      <m:sty m:val="p"/>
                    </m:rPr>
                    <m:t>g</m:t>
                  </m:r>
                  <m:r>
                    <m:rPr>
                      <m:sty m:val="p"/>
                    </m:rPr>
                    <m:t>h</m:t>
                  </m:r>
                </m:sub>
                <m:sup>
                  <m:r>
                    <m:t>2</m:t>
                  </m:r>
                </m:sup>
              </m:sSubSup>
              <m:r>
                <m:rPr>
                  <m:sty m:val="p"/>
                </m:rPr>
                <m:t>−</m:t>
              </m:r>
              <m:sSubSup>
                <m:e>
                  <m:r>
                    <m:t>σ</m:t>
                  </m:r>
                </m:e>
                <m:sub>
                  <m:r>
                    <m:t>x</m:t>
                  </m:r>
                  <m:r>
                    <m:rPr>
                      <m:sty m:val="p"/>
                    </m:rPr>
                    <m:t>,</m:t>
                  </m:r>
                  <m:r>
                    <m:rPr>
                      <m:sty m:val="p"/>
                    </m:rPr>
                    <m:t>l</m:t>
                  </m:r>
                  <m:r>
                    <m:rPr>
                      <m:sty m:val="p"/>
                    </m:rPr>
                    <m:t>o</m:t>
                  </m:r>
                  <m:r>
                    <m:rPr>
                      <m:sty m:val="p"/>
                    </m:rPr>
                    <m:t>w</m:t>
                  </m:r>
                </m:sub>
                <m:sup>
                  <m:r>
                    <m:t>2</m:t>
                  </m:r>
                </m:sup>
              </m:sSubSup>
            </m:num>
            <m:den>
              <m:sSubSup>
                <m:e>
                  <m:r>
                    <m:t>σ</m:t>
                  </m:r>
                </m:e>
                <m:sub>
                  <m:r>
                    <m:t>x</m:t>
                  </m:r>
                  <m:r>
                    <m:rPr>
                      <m:sty m:val="p"/>
                    </m:rPr>
                    <m:t>,</m:t>
                  </m:r>
                  <m:r>
                    <m:rPr>
                      <m:sty m:val="p"/>
                    </m:rPr>
                    <m:t>l</m:t>
                  </m:r>
                  <m:r>
                    <m:rPr>
                      <m:sty m:val="p"/>
                    </m:rPr>
                    <m:t>o</m:t>
                  </m:r>
                  <m:r>
                    <m:rPr>
                      <m:sty m:val="p"/>
                    </m:rPr>
                    <m:t>w</m:t>
                  </m:r>
                </m:sub>
                <m:sup>
                  <m:r>
                    <m:t>2</m:t>
                  </m:r>
                </m:sup>
              </m:sSubSup>
            </m:den>
          </m:f>
          <m:r>
            <m:rPr>
              <m:sty m:val="p"/>
            </m:rPr>
            <m:t>,</m:t>
          </m:r>
          <m:r>
            <m:t>  </m:t>
          </m:r>
          <m:d>
            <m:dPr>
              <m:begChr m:val="("/>
              <m:endChr m:val=")"/>
              <m:sepChr m:val=""/>
              <m:grow/>
            </m:dPr>
            <m:e>
              <m:r>
                <m:t>15</m:t>
              </m:r>
            </m:e>
          </m:d>
        </m:oMath>
      </m:oMathPara>
    </w:p>
    <w:p>
      <w:pPr>
        <w:pStyle w:val="FirstParagraph"/>
        <w:spacing w:before="0" w:after="120" w:line="300" w:lineRule="auto"/>
        <w:jc w:val="both"/>
      </w:pPr>
      <w:r>
        <w:rPr>
          <w:rFonts w:ascii="Times New Roman" w:hAnsi="Times New Roman" w:cs="Times New Roman" w:eastAsia="Times New Roman"/>
          <w:sz w:val="24"/>
          <w:szCs w:val="24"/>
        </w:rPr>
        <w:t xml:space="preserve">with y = P</w:t>
      </w:r>
      <w:r>
        <w:rPr>
          <w:rFonts w:ascii="Times New Roman" w:hAnsi="Times New Roman" w:cs="Times New Roman" w:eastAsia="Times New Roman"/>
          <w:vertAlign w:val="subscript"/>
          <w:sz w:val="24"/>
          <w:szCs w:val="24"/>
        </w:rPr>
        <w:t xml:space="preserve">cap</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and x = VN30. The adjustment assumes constant β and σ²</w:t>
      </w:r>
      <w:r>
        <w:rPr>
          <w:rFonts w:ascii="Times New Roman" w:hAnsi="Times New Roman" w:cs="Times New Roman" w:eastAsia="Times New Roman"/>
          <w:vertAlign w:val="subscript"/>
          <w:sz w:val="24"/>
          <w:szCs w:val="24"/>
        </w:rPr>
        <w:t xml:space="preserve">ε</w:t>
      </w:r>
      <w:r>
        <w:rPr>
          <w:rFonts w:ascii="Times New Roman" w:hAnsi="Times New Roman" w:cs="Times New Roman" w:eastAsia="Times New Roman"/>
          <w:sz w:val="24"/>
          <w:szCs w:val="24"/>
        </w:rPr>
        <w:t xml:space="preserve">; if crises raise idiosyncratic variance, ρ* is biased toward no contagion (Corsetti et al. 2005). We therefore also test, regime by regime, for changes in the residual variance and in the loading β; a change in β is contagion in the sense of Corsetti et al. (2005), and β is the structural parameter of Rigobon (2003). Regimes are chronological episodes, VNINDEX volatility quartiles or VN30 volatility quartiles; the last sorts on the conditioning variable rather than on a series containing P</w:t>
      </w:r>
      <w:r>
        <w:rPr>
          <w:rFonts w:ascii="Times New Roman" w:hAnsi="Times New Roman" w:cs="Times New Roman" w:eastAsia="Times New Roman"/>
          <w:vertAlign w:val="subscript"/>
          <w:sz w:val="24"/>
          <w:szCs w:val="24"/>
        </w:rPr>
        <w:t xml:space="preserve">cap</w:t>
      </w:r>
      <w:r>
        <w:rPr>
          <w:rFonts w:ascii="Times New Roman" w:hAnsi="Times New Roman" w:cs="Times New Roman" w:eastAsia="Times New Roman"/>
          <w:sz w:val="24"/>
          <w:szCs w:val="24"/>
        </w:rPr>
        <w:t xml:space="preserve">. Statistics are Pearson moments of daily returns, bootstrapped within regimes. We do not test nested pairs, because the parent contains the conditioning index.</w:t>
      </w:r>
    </w:p>
    <w:p>
      <w:pPr>
        <w:pStyle w:val="heading20"/>
        <w:numPr>
          <w:ilvl w:val="0"/>
          <w:numId w:val="0"/>
        </w:numPr>
      </w:pPr>
      <w:r>
        <w:rPr>
          <w:rFonts w:ascii="Times New Roman" w:hAnsi="Times New Roman" w:cs="Times New Roman" w:eastAsia="Times New Roman"/>
          <w:b/>
          <w:sz w:val="24"/>
          <w:szCs w:val="24"/>
        </w:rPr>
        <w:t xml:space="preserve">4.7 Portfolio variance: in-sample misstatement and out-of-sample evaluation</w:t>
      </w:r>
    </w:p>
    <w:p>
      <w:pPr>
        <w:pStyle w:val="p1a"/>
        <w:spacing w:before="0" w:after="120" w:line="300" w:lineRule="auto"/>
        <w:jc w:val="both"/>
      </w:pPr>
      <w:r>
        <w:rPr>
          <w:rFonts w:ascii="Times New Roman" w:hAnsi="Times New Roman" w:cs="Times New Roman" w:eastAsia="Times New Roman"/>
          <w:sz w:val="24"/>
          <w:szCs w:val="24"/>
        </w:rPr>
        <w:t xml:space="preserve">For an equally weighted two-asset position, replacing the regime correlation ρ</w:t>
      </w:r>
      <w:r>
        <w:rPr>
          <w:rFonts w:ascii="Times New Roman" w:hAnsi="Times New Roman" w:cs="Times New Roman" w:eastAsia="Times New Roman"/>
          <w:vertAlign w:val="subscript"/>
          <w:sz w:val="24"/>
          <w:szCs w:val="24"/>
        </w:rPr>
        <w:t xml:space="preserve">r</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by the static correlation ρ</w:t>
      </w:r>
      <w:r>
        <w:rPr>
          <w:rFonts w:ascii="Times New Roman" w:hAnsi="Times New Roman" w:cs="Times New Roman" w:eastAsia="Times New Roman"/>
          <w:vertAlign w:val="subscript"/>
          <w:sz w:val="24"/>
          <w:szCs w:val="24"/>
        </w:rPr>
        <w:t xml:space="preserve">st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changes the portfolio variance by the relative error (RE)</w:t>
      </w:r>
    </w:p>
    <w:p>
      <w:pPr>
        <w:pStyle w:val="BodyText"/>
        <w:spacing w:before="0" w:after="120" w:line="300" w:lineRule="auto"/>
      </w:pPr>
      <m:oMathPara>
        <m:oMathParaPr>
          <m:jc m:val="center"/>
        </m:oMathParaPr>
        <m:oMath>
          <m:r>
            <m:rPr>
              <m:sty m:val="p"/>
            </m:rPr>
            <m:t>R</m:t>
          </m:r>
          <m:r>
            <m:rPr>
              <m:sty m:val="p"/>
            </m:rPr>
            <m:t>E</m:t>
          </m:r>
          <m:r>
            <m:rPr>
              <m:sty m:val="p"/>
            </m:rPr>
            <m:t>=</m:t>
          </m:r>
          <m:f>
            <m:fPr>
              <m:type m:val="bar"/>
            </m:fPr>
            <m:num>
              <m:sSub>
                <m:e>
                  <m:r>
                    <m:t>ρ</m:t>
                  </m:r>
                </m:e>
                <m:sub>
                  <m:r>
                    <m:rPr>
                      <m:sty m:val="p"/>
                    </m:rPr>
                    <m:t>s</m:t>
                  </m:r>
                  <m:r>
                    <m:rPr>
                      <m:sty m:val="p"/>
                    </m:rPr>
                    <m:t>t</m:t>
                  </m:r>
                </m:sub>
              </m:sSub>
              <m:r>
                <m:rPr>
                  <m:sty m:val="p"/>
                </m:rPr>
                <m:t>−</m:t>
              </m:r>
              <m:sSub>
                <m:e>
                  <m:r>
                    <m:t>ρ</m:t>
                  </m:r>
                </m:e>
                <m:sub>
                  <m:r>
                    <m:t>r</m:t>
                  </m:r>
                </m:sub>
              </m:sSub>
            </m:num>
            <m:den>
              <m:f>
                <m:fPr>
                  <m:type m:val="lin"/>
                </m:fPr>
                <m:num>
                  <m:r>
                    <m:t>1</m:t>
                  </m:r>
                </m:num>
                <m:den>
                  <m:r>
                    <m:t>2</m:t>
                  </m:r>
                </m:den>
              </m:f>
              <m:d>
                <m:dPr>
                  <m:begChr m:val="("/>
                  <m:endChr m:val=")"/>
                  <m:sepChr m:val=""/>
                  <m:grow/>
                </m:dPr>
                <m:e>
                  <m:sSub>
                    <m:e>
                      <m:r>
                        <m:t>σ</m:t>
                      </m:r>
                    </m:e>
                    <m:sub>
                      <m:r>
                        <m:t>1</m:t>
                      </m:r>
                    </m:sub>
                  </m:sSub>
                  <m:r>
                    <m:rPr>
                      <m:sty m:val="p"/>
                    </m:rPr>
                    <m:t>/</m:t>
                  </m:r>
                  <m:sSub>
                    <m:e>
                      <m:r>
                        <m:t>σ</m:t>
                      </m:r>
                    </m:e>
                    <m:sub>
                      <m:r>
                        <m:t>2</m:t>
                      </m:r>
                    </m:sub>
                  </m:sSub>
                  <m:r>
                    <m:rPr>
                      <m:sty m:val="p"/>
                    </m:rPr>
                    <m:t>+</m:t>
                  </m:r>
                  <m:sSub>
                    <m:e>
                      <m:r>
                        <m:t>σ</m:t>
                      </m:r>
                    </m:e>
                    <m:sub>
                      <m:r>
                        <m:t>2</m:t>
                      </m:r>
                    </m:sub>
                  </m:sSub>
                  <m:r>
                    <m:rPr>
                      <m:sty m:val="p"/>
                    </m:rPr>
                    <m:t>/</m:t>
                  </m:r>
                  <m:sSub>
                    <m:e>
                      <m:r>
                        <m:t>σ</m:t>
                      </m:r>
                    </m:e>
                    <m:sub>
                      <m:r>
                        <m:t>1</m:t>
                      </m:r>
                    </m:sub>
                  </m:sSub>
                </m:e>
              </m:d>
              <m:r>
                <m:rPr>
                  <m:sty m:val="p"/>
                </m:rPr>
                <m:t>+</m:t>
              </m:r>
              <m:sSub>
                <m:e>
                  <m:r>
                    <m:t>ρ</m:t>
                  </m:r>
                </m:e>
                <m:sub>
                  <m:r>
                    <m:t>r</m:t>
                  </m:r>
                </m:sub>
              </m:sSub>
            </m:den>
          </m:f>
          <m:r>
            <m:rPr>
              <m:sty m:val="p"/>
            </m:rPr>
            <m:t>,</m:t>
          </m:r>
          <m:r>
            <m:t>  </m:t>
          </m:r>
          <m:d>
            <m:dPr>
              <m:begChr m:val="("/>
              <m:endChr m:val=")"/>
              <m:sepChr m:val=""/>
              <m:grow/>
            </m:dPr>
            <m:e>
              <m:r>
                <m:t>16</m:t>
              </m:r>
            </m:e>
          </m:d>
        </m:oMath>
      </m:oMathPara>
    </w:p>
    <w:p>
      <w:pPr>
        <w:pStyle w:val="FirstParagraph"/>
        <w:spacing w:before="0" w:after="120" w:line="300" w:lineRule="auto"/>
        <w:jc w:val="both"/>
      </w:pPr>
      <w:r>
        <w:rPr>
          <w:rFonts w:ascii="Times New Roman" w:hAnsi="Times New Roman" w:cs="Times New Roman" w:eastAsia="Times New Roman"/>
          <w:sz w:val="24"/>
          <w:szCs w:val="24"/>
        </w:rPr>
        <w:t xml:space="preserve">with regime volatilities σ₁ and σ₂, so only the correlation differs. We obtain intervals by resampling the full sample jointly and re-estimating ρ</w:t>
      </w:r>
      <w:r>
        <w:rPr>
          <w:rFonts w:ascii="Times New Roman" w:hAnsi="Times New Roman" w:cs="Times New Roman" w:eastAsia="Times New Roman"/>
          <w:vertAlign w:val="subscript"/>
          <w:sz w:val="24"/>
          <w:szCs w:val="24"/>
        </w:rPr>
        <w:t xml:space="preserve">st</w:t>
      </w:r>
      <w:r>
        <w:rPr>
          <w:rFonts w:ascii="Times New Roman" w:hAnsi="Times New Roman" w:cs="Times New Roman" w:eastAsia="Times New Roman"/>
          <w:sz w:val="24"/>
          <w:szCs w:val="24"/>
        </w:rPr>
        <w:t xml:space="preserve">, and compare |RE| with the bootstrap relative standard error of the regime variance. Because these regimes are ex post, we also estimate correlations on 2014–2022 and evaluate forecasts on 2023–2025. Forecasts share one-step-ahead RiskMetrics variances (λ = 0.94; J.P. Morgan/Reuters 1996) and differ only in the correlation: static, EWMA with the same λ, or a regime correlation chosen in real time from lagged rolling volatility with thresholds fixed in the estimation window. Losses are QLIKE (Patton 2011) and squared error, compared by the Diebold and Mariano (1995) test with a Newey and West (1987) variance (five lags).</w:t>
      </w:r>
    </w:p>
    <w:p>
      <w:pPr>
        <w:pStyle w:val="heading1"/>
        <w:numPr>
          <w:ilvl w:val="0"/>
          <w:numId w:val="0"/>
        </w:numPr>
      </w:pPr>
      <w:r>
        <w:rPr>
          <w:rFonts w:ascii="Times New Roman" w:hAnsi="Times New Roman" w:cs="Times New Roman" w:eastAsia="Times New Roman"/>
          <w:b/>
          <w:sz w:val="24"/>
          <w:szCs w:val="24"/>
        </w:rPr>
        <w:t xml:space="preserve">5 Results</w:t>
      </w:r>
    </w:p>
    <w:p>
      <w:pPr>
        <w:pStyle w:val="heading20"/>
        <w:numPr>
          <w:ilvl w:val="0"/>
          <w:numId w:val="0"/>
        </w:numPr>
      </w:pPr>
      <w:r>
        <w:rPr>
          <w:rFonts w:ascii="Times New Roman" w:hAnsi="Times New Roman" w:cs="Times New Roman" w:eastAsia="Times New Roman"/>
          <w:b/>
          <w:sz w:val="24"/>
          <w:szCs w:val="24"/>
        </w:rPr>
        <w:t xml:space="preserve">5.1 Summary statistics and reliability</w:t>
      </w:r>
    </w:p>
    <w:p>
      <w:pPr>
        <w:pStyle w:val="p1a"/>
        <w:spacing w:before="0" w:after="120" w:line="300" w:lineRule="auto"/>
        <w:jc w:val="both"/>
      </w:pPr>
      <w:r>
        <w:rPr>
          <w:rFonts w:ascii="Times New Roman" w:hAnsi="Times New Roman" w:cs="Times New Roman" w:eastAsia="Times New Roman"/>
          <w:sz w:val="24"/>
          <w:szCs w:val="24"/>
        </w:rPr>
        <w:t xml:space="preserve">Table 2 reports descriptive statistics and Table 3 the reliability thresholds.</w:t>
      </w:r>
    </w:p>
    <w:p>
      <w:pPr>
        <w:pStyle w:val="tablecaption0"/>
      </w:pPr>
      <w:r>
        <w:rPr>
          <w:bCs/>
          <w:b/>
        </w:rPr>
        <w:t xml:space="preserve">Table 2</w:t>
      </w:r>
      <w:r>
        <w:t xml:space="preserve"> </w:t>
      </w:r>
      <w:r>
        <w:t xml:space="preserve">Descriptive statistics of log returns</w:t>
      </w:r>
    </w:p>
    <w:tbl>
      <w:tblPr>
        <w:tblStyle w:val="TableGrid"/>
        <w:tblW w:type="pct" w:w="5000"/>
        <w:tblLook w:firstRow="1" w:lastRow="0" w:firstColumn="0" w:lastColumn="0" w:noHBand="0" w:noVBand="0" w:val="0020"/>
        <w:jc w:val="start"/>
      </w:tblPr>
      <w:tblGrid>
        <w:gridCol w:w="1186"/>
        <w:gridCol w:w="929"/>
        <w:gridCol w:w="1057"/>
        <w:gridCol w:w="1057"/>
        <w:gridCol w:w="1444"/>
        <w:gridCol w:w="929"/>
        <w:gridCol w:w="929"/>
        <w:gridCol w:w="1830"/>
      </w:tblGrid>
      <w:tr>
        <w:trPr>
          <w:tblHeader w:val="true"/>
        </w:trPr>
        <w:tc>
          <w:tcPr>
            <w:tcW w:w="1186" w:type="dxa"/>
          </w:tcPr>
          <w:p>
            <w:pPr>
              <w:spacing w:before="0" w:after="0" w:line="240" w:lineRule="auto"/>
              <w:jc w:val="left"/>
            </w:pPr>
            <w:r>
              <w:rPr>
                <w:sz w:val="20"/>
                <w:szCs w:val="20"/>
              </w:rPr>
              <w:t xml:space="preserve">Series</w:t>
            </w:r>
          </w:p>
        </w:tc>
        <w:tc>
          <w:tcPr>
            <w:tcW w:w="929" w:type="dxa"/>
          </w:tcPr>
          <w:p>
            <w:pPr>
              <w:spacing w:before="0" w:after="0" w:line="240" w:lineRule="auto"/>
              <w:jc w:val="left"/>
            </w:pPr>
            <w:r>
              <w:rPr>
                <w:sz w:val="20"/>
                <w:szCs w:val="20"/>
              </w:rPr>
              <w:t xml:space="preserve">Freq.</w:t>
            </w:r>
          </w:p>
        </w:tc>
        <w:tc>
          <w:tcPr>
            <w:tcW w:w="1057" w:type="dxa"/>
          </w:tcPr>
          <w:p>
            <w:pPr>
              <w:spacing w:before="0" w:after="0" w:line="240" w:lineRule="auto"/>
              <w:jc w:val="left"/>
            </w:pPr>
            <w:r>
              <w:rPr>
                <w:sz w:val="20"/>
                <w:szCs w:val="20"/>
              </w:rPr>
              <w:t xml:space="preserve">N</w:t>
            </w:r>
          </w:p>
        </w:tc>
        <w:tc>
          <w:tcPr>
            <w:tcW w:w="1057" w:type="dxa"/>
          </w:tcPr>
          <w:p>
            <w:pPr>
              <w:spacing w:before="0" w:after="0" w:line="240" w:lineRule="auto"/>
              <w:jc w:val="left"/>
            </w:pPr>
            <w:r>
              <w:rPr>
                <w:sz w:val="20"/>
                <w:szCs w:val="20"/>
              </w:rPr>
              <w:t xml:space="preserve">Mean</w:t>
            </w:r>
          </w:p>
        </w:tc>
        <w:tc>
          <w:tcPr>
            <w:tcW w:w="1444" w:type="dxa"/>
          </w:tcPr>
          <w:p>
            <w:pPr>
              <w:spacing w:before="0" w:after="0" w:line="240" w:lineRule="auto"/>
              <w:jc w:val="left"/>
            </w:pPr>
            <w:r>
              <w:rPr>
                <w:sz w:val="20"/>
                <w:szCs w:val="20"/>
              </w:rPr>
              <w:t xml:space="preserve">Std. dev.</w:t>
            </w:r>
          </w:p>
        </w:tc>
        <w:tc>
          <w:tcPr>
            <w:tcW w:w="929" w:type="dxa"/>
          </w:tcPr>
          <w:p>
            <w:pPr>
              <w:spacing w:before="0" w:after="0" w:line="240" w:lineRule="auto"/>
              <w:jc w:val="left"/>
            </w:pPr>
            <w:r>
              <w:rPr>
                <w:sz w:val="20"/>
                <w:szCs w:val="20"/>
              </w:rPr>
              <w:t xml:space="preserve">Skew.</w:t>
            </w:r>
          </w:p>
        </w:tc>
        <w:tc>
          <w:tcPr>
            <w:tcW w:w="929" w:type="dxa"/>
          </w:tcPr>
          <w:p>
            <w:pPr>
              <w:spacing w:before="0" w:after="0" w:line="240" w:lineRule="auto"/>
              <w:jc w:val="left"/>
            </w:pPr>
            <w:r>
              <w:rPr>
                <w:sz w:val="20"/>
                <w:szCs w:val="20"/>
              </w:rPr>
              <w:t xml:space="preserve">Kurt.</w:t>
            </w:r>
          </w:p>
        </w:tc>
        <w:tc>
          <w:tcPr>
            <w:tcW w:w="1830" w:type="dxa"/>
          </w:tcPr>
          <w:p>
            <w:pPr>
              <w:spacing w:before="0" w:after="0" w:line="240" w:lineRule="auto"/>
              <w:jc w:val="left"/>
            </w:pPr>
            <w:r>
              <w:rPr>
                <w:sz w:val="20"/>
                <w:szCs w:val="20"/>
              </w:rPr>
              <w:t xml:space="preserve">Jarque–Bera</w:t>
            </w:r>
          </w:p>
        </w:tc>
      </w:tr>
      <w:tr>
        <w:tc>
          <w:tcPr>
            <w:tcW w:w="1186" w:type="dxa"/>
          </w:tcPr>
          <w:p>
            <w:pPr>
              <w:spacing w:before="0" w:after="0" w:line="240" w:lineRule="auto"/>
              <w:jc w:val="left"/>
            </w:pPr>
            <w:r>
              <w:rPr>
                <w:sz w:val="20"/>
                <w:szCs w:val="20"/>
              </w:rPr>
              <w:t xml:space="preserve">VN30</w:t>
            </w:r>
          </w:p>
        </w:tc>
        <w:tc>
          <w:tcPr>
            <w:tcW w:w="929" w:type="dxa"/>
          </w:tcPr>
          <w:p>
            <w:pPr>
              <w:spacing w:before="0" w:after="0" w:line="240" w:lineRule="auto"/>
              <w:jc w:val="left"/>
            </w:pPr>
            <w:r>
              <w:rPr>
                <w:sz w:val="20"/>
                <w:szCs w:val="20"/>
              </w:rPr>
              <w:t xml:space="preserve">1D</w:t>
            </w:r>
          </w:p>
        </w:tc>
        <w:tc>
          <w:tcPr>
            <w:tcW w:w="1057" w:type="dxa"/>
          </w:tcPr>
          <w:p>
            <w:pPr>
              <w:spacing w:before="0" w:after="0" w:line="240" w:lineRule="auto"/>
              <w:jc w:val="left"/>
            </w:pPr>
            <w:r>
              <w:rPr>
                <w:sz w:val="20"/>
                <w:szCs w:val="20"/>
              </w:rPr>
              <w:t xml:space="preserve">2,963</w:t>
            </w:r>
          </w:p>
        </w:tc>
        <w:tc>
          <w:tcPr>
            <w:tcW w:w="1057" w:type="dxa"/>
          </w:tcPr>
          <w:p>
            <w:pPr>
              <w:spacing w:before="0" w:after="0" w:line="240" w:lineRule="auto"/>
              <w:jc w:val="left"/>
            </w:pPr>
            <w:r>
              <w:rPr>
                <w:sz w:val="20"/>
                <w:szCs w:val="20"/>
              </w:rPr>
              <w:t xml:space="preserve">0.0004</w:t>
            </w:r>
          </w:p>
        </w:tc>
        <w:tc>
          <w:tcPr>
            <w:tcW w:w="1444" w:type="dxa"/>
          </w:tcPr>
          <w:p>
            <w:pPr>
              <w:spacing w:before="0" w:after="0" w:line="240" w:lineRule="auto"/>
              <w:jc w:val="left"/>
            </w:pPr>
            <w:r>
              <w:rPr>
                <w:sz w:val="20"/>
                <w:szCs w:val="20"/>
              </w:rPr>
              <w:t xml:space="preserve">0.0121</w:t>
            </w:r>
          </w:p>
        </w:tc>
        <w:tc>
          <w:tcPr>
            <w:tcW w:w="929" w:type="dxa"/>
          </w:tcPr>
          <w:p>
            <w:pPr>
              <w:spacing w:before="0" w:after="0" w:line="240" w:lineRule="auto"/>
              <w:jc w:val="left"/>
            </w:pPr>
            <w:r>
              <w:rPr>
                <w:sz w:val="20"/>
                <w:szCs w:val="20"/>
              </w:rPr>
              <w:t xml:space="preserve">−0.83</w:t>
            </w:r>
          </w:p>
        </w:tc>
        <w:tc>
          <w:tcPr>
            <w:tcW w:w="929" w:type="dxa"/>
          </w:tcPr>
          <w:p>
            <w:pPr>
              <w:spacing w:before="0" w:after="0" w:line="240" w:lineRule="auto"/>
              <w:jc w:val="left"/>
            </w:pPr>
            <w:r>
              <w:rPr>
                <w:sz w:val="20"/>
                <w:szCs w:val="20"/>
              </w:rPr>
              <w:t xml:space="preserve">7.81</w:t>
            </w:r>
          </w:p>
        </w:tc>
        <w:tc>
          <w:tcPr>
            <w:tcW w:w="1830" w:type="dxa"/>
          </w:tcPr>
          <w:p>
            <w:pPr>
              <w:spacing w:before="0" w:after="0" w:line="240" w:lineRule="auto"/>
              <w:jc w:val="left"/>
            </w:pPr>
            <w:r>
              <w:rPr>
                <w:sz w:val="20"/>
                <w:szCs w:val="20"/>
              </w:rPr>
              <w:t xml:space="preserve">3,202***</w:t>
            </w:r>
          </w:p>
        </w:tc>
      </w:tr>
      <w:tr>
        <w:tc>
          <w:tcPr>
            <w:tcW w:w="1186" w:type="dxa"/>
          </w:tcPr>
          <w:p>
            <w:pPr>
              <w:spacing w:before="0" w:after="0" w:line="240" w:lineRule="auto"/>
              <w:jc w:val="left"/>
            </w:pPr>
            <w:r>
              <w:rPr>
                <w:sz w:val="20"/>
                <w:szCs w:val="20"/>
              </w:rPr>
              <w:t xml:space="preserve">VN30</w:t>
            </w:r>
          </w:p>
        </w:tc>
        <w:tc>
          <w:tcPr>
            <w:tcW w:w="929" w:type="dxa"/>
          </w:tcPr>
          <w:p>
            <w:pPr>
              <w:spacing w:before="0" w:after="0" w:line="240" w:lineRule="auto"/>
              <w:jc w:val="left"/>
            </w:pPr>
            <w:r>
              <w:rPr>
                <w:sz w:val="20"/>
                <w:szCs w:val="20"/>
              </w:rPr>
              <w:t xml:space="preserve">M30</w:t>
            </w:r>
          </w:p>
        </w:tc>
        <w:tc>
          <w:tcPr>
            <w:tcW w:w="1057" w:type="dxa"/>
          </w:tcPr>
          <w:p>
            <w:pPr>
              <w:spacing w:before="0" w:after="0" w:line="240" w:lineRule="auto"/>
              <w:jc w:val="left"/>
            </w:pPr>
            <w:r>
              <w:rPr>
                <w:sz w:val="20"/>
                <w:szCs w:val="20"/>
              </w:rPr>
              <w:t xml:space="preserve">21,942</w:t>
            </w:r>
          </w:p>
        </w:tc>
        <w:tc>
          <w:tcPr>
            <w:tcW w:w="1057" w:type="dxa"/>
          </w:tcPr>
          <w:p>
            <w:pPr>
              <w:spacing w:before="0" w:after="0" w:line="240" w:lineRule="auto"/>
              <w:jc w:val="left"/>
            </w:pPr>
            <w:r>
              <w:rPr>
                <w:sz w:val="20"/>
                <w:szCs w:val="20"/>
              </w:rPr>
              <w:t xml:space="preserve">0.0001</w:t>
            </w:r>
          </w:p>
        </w:tc>
        <w:tc>
          <w:tcPr>
            <w:tcW w:w="1444" w:type="dxa"/>
          </w:tcPr>
          <w:p>
            <w:pPr>
              <w:spacing w:before="0" w:after="0" w:line="240" w:lineRule="auto"/>
              <w:jc w:val="left"/>
            </w:pPr>
            <w:r>
              <w:rPr>
                <w:sz w:val="20"/>
                <w:szCs w:val="20"/>
              </w:rPr>
              <w:t xml:space="preserve">0.0039</w:t>
            </w:r>
          </w:p>
        </w:tc>
        <w:tc>
          <w:tcPr>
            <w:tcW w:w="929" w:type="dxa"/>
          </w:tcPr>
          <w:p>
            <w:pPr>
              <w:spacing w:before="0" w:after="0" w:line="240" w:lineRule="auto"/>
              <w:jc w:val="left"/>
            </w:pPr>
            <w:r>
              <w:rPr>
                <w:sz w:val="20"/>
                <w:szCs w:val="20"/>
              </w:rPr>
              <w:t xml:space="preserve">−1.62</w:t>
            </w:r>
          </w:p>
        </w:tc>
        <w:tc>
          <w:tcPr>
            <w:tcW w:w="929" w:type="dxa"/>
          </w:tcPr>
          <w:p>
            <w:pPr>
              <w:spacing w:before="0" w:after="0" w:line="240" w:lineRule="auto"/>
              <w:jc w:val="left"/>
            </w:pPr>
            <w:r>
              <w:rPr>
                <w:sz w:val="20"/>
                <w:szCs w:val="20"/>
              </w:rPr>
              <w:t xml:space="preserve">36.16</w:t>
            </w:r>
          </w:p>
        </w:tc>
        <w:tc>
          <w:tcPr>
            <w:tcW w:w="1830" w:type="dxa"/>
          </w:tcPr>
          <w:p>
            <w:pPr>
              <w:spacing w:before="0" w:after="0" w:line="240" w:lineRule="auto"/>
              <w:jc w:val="left"/>
            </w:pPr>
            <w:r>
              <w:rPr>
                <w:sz w:val="20"/>
                <w:szCs w:val="20"/>
              </w:rPr>
              <w:t xml:space="preserve">1,014,769***</w:t>
            </w:r>
          </w:p>
        </w:tc>
      </w:tr>
      <w:tr>
        <w:tc>
          <w:tcPr>
            <w:tcW w:w="1186" w:type="dxa"/>
          </w:tcPr>
          <w:p>
            <w:pPr>
              <w:spacing w:before="0" w:after="0" w:line="240" w:lineRule="auto"/>
              <w:jc w:val="left"/>
            </w:pPr>
            <w:r>
              <w:rPr>
                <w:sz w:val="20"/>
                <w:szCs w:val="20"/>
              </w:rPr>
              <w:t xml:space="preserve">VN30</w:t>
            </w:r>
          </w:p>
        </w:tc>
        <w:tc>
          <w:tcPr>
            <w:tcW w:w="929" w:type="dxa"/>
          </w:tcPr>
          <w:p>
            <w:pPr>
              <w:spacing w:before="0" w:after="0" w:line="240" w:lineRule="auto"/>
              <w:jc w:val="left"/>
            </w:pPr>
            <w:r>
              <w:rPr>
                <w:sz w:val="20"/>
                <w:szCs w:val="20"/>
              </w:rPr>
              <w:t xml:space="preserve">H1</w:t>
            </w:r>
          </w:p>
        </w:tc>
        <w:tc>
          <w:tcPr>
            <w:tcW w:w="1057" w:type="dxa"/>
          </w:tcPr>
          <w:p>
            <w:pPr>
              <w:spacing w:before="0" w:after="0" w:line="240" w:lineRule="auto"/>
              <w:jc w:val="left"/>
            </w:pPr>
            <w:r>
              <w:rPr>
                <w:sz w:val="20"/>
                <w:szCs w:val="20"/>
              </w:rPr>
              <w:t xml:space="preserve">13,523</w:t>
            </w:r>
          </w:p>
        </w:tc>
        <w:tc>
          <w:tcPr>
            <w:tcW w:w="1057" w:type="dxa"/>
          </w:tcPr>
          <w:p>
            <w:pPr>
              <w:spacing w:before="0" w:after="0" w:line="240" w:lineRule="auto"/>
              <w:jc w:val="left"/>
            </w:pPr>
            <w:r>
              <w:rPr>
                <w:sz w:val="20"/>
                <w:szCs w:val="20"/>
              </w:rPr>
              <w:t xml:space="preserve">0.0001</w:t>
            </w:r>
          </w:p>
        </w:tc>
        <w:tc>
          <w:tcPr>
            <w:tcW w:w="1444" w:type="dxa"/>
          </w:tcPr>
          <w:p>
            <w:pPr>
              <w:spacing w:before="0" w:after="0" w:line="240" w:lineRule="auto"/>
              <w:jc w:val="left"/>
            </w:pPr>
            <w:r>
              <w:rPr>
                <w:sz w:val="20"/>
                <w:szCs w:val="20"/>
              </w:rPr>
              <w:t xml:space="preserve">0.0051</w:t>
            </w:r>
          </w:p>
        </w:tc>
        <w:tc>
          <w:tcPr>
            <w:tcW w:w="929" w:type="dxa"/>
          </w:tcPr>
          <w:p>
            <w:pPr>
              <w:spacing w:before="0" w:after="0" w:line="240" w:lineRule="auto"/>
              <w:jc w:val="left"/>
            </w:pPr>
            <w:r>
              <w:rPr>
                <w:sz w:val="20"/>
                <w:szCs w:val="20"/>
              </w:rPr>
              <w:t xml:space="preserve">−1.33</w:t>
            </w:r>
          </w:p>
        </w:tc>
        <w:tc>
          <w:tcPr>
            <w:tcW w:w="929" w:type="dxa"/>
          </w:tcPr>
          <w:p>
            <w:pPr>
              <w:spacing w:before="0" w:after="0" w:line="240" w:lineRule="auto"/>
              <w:jc w:val="left"/>
            </w:pPr>
            <w:r>
              <w:rPr>
                <w:sz w:val="20"/>
                <w:szCs w:val="20"/>
              </w:rPr>
              <w:t xml:space="preserve">18.20</w:t>
            </w:r>
          </w:p>
        </w:tc>
        <w:tc>
          <w:tcPr>
            <w:tcW w:w="1830" w:type="dxa"/>
          </w:tcPr>
          <w:p>
            <w:pPr>
              <w:spacing w:before="0" w:after="0" w:line="240" w:lineRule="auto"/>
              <w:jc w:val="left"/>
            </w:pPr>
            <w:r>
              <w:rPr>
                <w:sz w:val="20"/>
                <w:szCs w:val="20"/>
              </w:rPr>
              <w:t xml:space="preserve">134,167***</w:t>
            </w:r>
          </w:p>
        </w:tc>
      </w:tr>
      <w:tr>
        <w:tc>
          <w:tcPr>
            <w:tcW w:w="1186" w:type="dxa"/>
          </w:tcPr>
          <w:p>
            <w:pPr>
              <w:spacing w:before="0" w:after="0" w:line="240" w:lineRule="auto"/>
              <w:jc w:val="left"/>
            </w:pPr>
            <w:r>
              <w:rPr>
                <w:sz w:val="20"/>
                <w:szCs w:val="20"/>
              </w:rPr>
              <w:t xml:space="preserve">VN30</w:t>
            </w:r>
          </w:p>
        </w:tc>
        <w:tc>
          <w:tcPr>
            <w:tcW w:w="929" w:type="dxa"/>
          </w:tcPr>
          <w:p>
            <w:pPr>
              <w:spacing w:before="0" w:after="0" w:line="240" w:lineRule="auto"/>
              <w:jc w:val="left"/>
            </w:pPr>
            <w:r>
              <w:rPr>
                <w:sz w:val="20"/>
                <w:szCs w:val="20"/>
              </w:rPr>
              <w:t xml:space="preserve">H4</w:t>
            </w:r>
          </w:p>
        </w:tc>
        <w:tc>
          <w:tcPr>
            <w:tcW w:w="1057" w:type="dxa"/>
          </w:tcPr>
          <w:p>
            <w:pPr>
              <w:spacing w:before="0" w:after="0" w:line="240" w:lineRule="auto"/>
              <w:jc w:val="left"/>
            </w:pPr>
            <w:r>
              <w:rPr>
                <w:sz w:val="20"/>
                <w:szCs w:val="20"/>
              </w:rPr>
              <w:t xml:space="preserve">5,410</w:t>
            </w:r>
          </w:p>
        </w:tc>
        <w:tc>
          <w:tcPr>
            <w:tcW w:w="1057" w:type="dxa"/>
          </w:tcPr>
          <w:p>
            <w:pPr>
              <w:spacing w:before="0" w:after="0" w:line="240" w:lineRule="auto"/>
              <w:jc w:val="left"/>
            </w:pPr>
            <w:r>
              <w:rPr>
                <w:sz w:val="20"/>
                <w:szCs w:val="20"/>
              </w:rPr>
              <w:t xml:space="preserve">0.0001</w:t>
            </w:r>
          </w:p>
        </w:tc>
        <w:tc>
          <w:tcPr>
            <w:tcW w:w="1444" w:type="dxa"/>
          </w:tcPr>
          <w:p>
            <w:pPr>
              <w:spacing w:before="0" w:after="0" w:line="240" w:lineRule="auto"/>
              <w:jc w:val="left"/>
            </w:pPr>
            <w:r>
              <w:rPr>
                <w:sz w:val="20"/>
                <w:szCs w:val="20"/>
              </w:rPr>
              <w:t xml:space="preserve">0.0084</w:t>
            </w:r>
          </w:p>
        </w:tc>
        <w:tc>
          <w:tcPr>
            <w:tcW w:w="929" w:type="dxa"/>
          </w:tcPr>
          <w:p>
            <w:pPr>
              <w:spacing w:before="0" w:after="0" w:line="240" w:lineRule="auto"/>
              <w:jc w:val="left"/>
            </w:pPr>
            <w:r>
              <w:rPr>
                <w:sz w:val="20"/>
                <w:szCs w:val="20"/>
              </w:rPr>
              <w:t xml:space="preserve">−1.17</w:t>
            </w:r>
          </w:p>
        </w:tc>
        <w:tc>
          <w:tcPr>
            <w:tcW w:w="929" w:type="dxa"/>
          </w:tcPr>
          <w:p>
            <w:pPr>
              <w:spacing w:before="0" w:after="0" w:line="240" w:lineRule="auto"/>
              <w:jc w:val="left"/>
            </w:pPr>
            <w:r>
              <w:rPr>
                <w:sz w:val="20"/>
                <w:szCs w:val="20"/>
              </w:rPr>
              <w:t xml:space="preserve">11.23</w:t>
            </w:r>
          </w:p>
        </w:tc>
        <w:tc>
          <w:tcPr>
            <w:tcW w:w="1830" w:type="dxa"/>
          </w:tcPr>
          <w:p>
            <w:pPr>
              <w:spacing w:before="0" w:after="0" w:line="240" w:lineRule="auto"/>
              <w:jc w:val="left"/>
            </w:pPr>
            <w:r>
              <w:rPr>
                <w:sz w:val="20"/>
                <w:szCs w:val="20"/>
              </w:rPr>
              <w:t xml:space="preserve">16,490***</w:t>
            </w:r>
          </w:p>
        </w:tc>
      </w:tr>
      <w:tr>
        <w:tc>
          <w:tcPr>
            <w:tcW w:w="1186" w:type="dxa"/>
          </w:tcPr>
          <w:p>
            <w:pPr>
              <w:spacing w:before="0" w:after="0" w:line="240" w:lineRule="auto"/>
              <w:jc w:val="left"/>
            </w:pPr>
            <w:r>
              <w:rPr>
                <w:sz w:val="20"/>
                <w:szCs w:val="20"/>
              </w:rPr>
              <w:t xml:space="preserve">VN100</w:t>
            </w:r>
          </w:p>
        </w:tc>
        <w:tc>
          <w:tcPr>
            <w:tcW w:w="929" w:type="dxa"/>
          </w:tcPr>
          <w:p>
            <w:pPr>
              <w:spacing w:before="0" w:after="0" w:line="240" w:lineRule="auto"/>
              <w:jc w:val="left"/>
            </w:pPr>
            <w:r>
              <w:rPr>
                <w:sz w:val="20"/>
                <w:szCs w:val="20"/>
              </w:rPr>
              <w:t xml:space="preserve">1D</w:t>
            </w:r>
          </w:p>
        </w:tc>
        <w:tc>
          <w:tcPr>
            <w:tcW w:w="1057" w:type="dxa"/>
          </w:tcPr>
          <w:p>
            <w:pPr>
              <w:spacing w:before="0" w:after="0" w:line="240" w:lineRule="auto"/>
              <w:jc w:val="left"/>
            </w:pPr>
            <w:r>
              <w:rPr>
                <w:sz w:val="20"/>
                <w:szCs w:val="20"/>
              </w:rPr>
              <w:t xml:space="preserve">2,963</w:t>
            </w:r>
          </w:p>
        </w:tc>
        <w:tc>
          <w:tcPr>
            <w:tcW w:w="1057" w:type="dxa"/>
          </w:tcPr>
          <w:p>
            <w:pPr>
              <w:spacing w:before="0" w:after="0" w:line="240" w:lineRule="auto"/>
              <w:jc w:val="left"/>
            </w:pPr>
            <w:r>
              <w:rPr>
                <w:sz w:val="20"/>
                <w:szCs w:val="20"/>
              </w:rPr>
              <w:t xml:space="preserve">0.0004</w:t>
            </w:r>
          </w:p>
        </w:tc>
        <w:tc>
          <w:tcPr>
            <w:tcW w:w="1444" w:type="dxa"/>
          </w:tcPr>
          <w:p>
            <w:pPr>
              <w:spacing w:before="0" w:after="0" w:line="240" w:lineRule="auto"/>
              <w:jc w:val="left"/>
            </w:pPr>
            <w:r>
              <w:rPr>
                <w:sz w:val="20"/>
                <w:szCs w:val="20"/>
              </w:rPr>
              <w:t xml:space="preserve">0.0119</w:t>
            </w:r>
          </w:p>
        </w:tc>
        <w:tc>
          <w:tcPr>
            <w:tcW w:w="929" w:type="dxa"/>
          </w:tcPr>
          <w:p>
            <w:pPr>
              <w:spacing w:before="0" w:after="0" w:line="240" w:lineRule="auto"/>
              <w:jc w:val="left"/>
            </w:pPr>
            <w:r>
              <w:rPr>
                <w:sz w:val="20"/>
                <w:szCs w:val="20"/>
              </w:rPr>
              <w:t xml:space="preserve">−0.96</w:t>
            </w:r>
          </w:p>
        </w:tc>
        <w:tc>
          <w:tcPr>
            <w:tcW w:w="929" w:type="dxa"/>
          </w:tcPr>
          <w:p>
            <w:pPr>
              <w:spacing w:before="0" w:after="0" w:line="240" w:lineRule="auto"/>
              <w:jc w:val="left"/>
            </w:pPr>
            <w:r>
              <w:rPr>
                <w:sz w:val="20"/>
                <w:szCs w:val="20"/>
              </w:rPr>
              <w:t xml:space="preserve">8.21</w:t>
            </w:r>
          </w:p>
        </w:tc>
        <w:tc>
          <w:tcPr>
            <w:tcW w:w="1830" w:type="dxa"/>
          </w:tcPr>
          <w:p>
            <w:pPr>
              <w:spacing w:before="0" w:after="0" w:line="240" w:lineRule="auto"/>
              <w:jc w:val="left"/>
            </w:pPr>
            <w:r>
              <w:rPr>
                <w:sz w:val="20"/>
                <w:szCs w:val="20"/>
              </w:rPr>
              <w:t xml:space="preserve">3,804***</w:t>
            </w:r>
          </w:p>
        </w:tc>
      </w:tr>
      <w:tr>
        <w:tc>
          <w:tcPr>
            <w:tcW w:w="1186" w:type="dxa"/>
          </w:tcPr>
          <w:p>
            <w:pPr>
              <w:spacing w:before="0" w:after="0" w:line="240" w:lineRule="auto"/>
              <w:jc w:val="left"/>
            </w:pPr>
            <w:r>
              <w:rPr>
                <w:sz w:val="20"/>
                <w:szCs w:val="20"/>
              </w:rPr>
              <w:t xml:space="preserve">VN100</w:t>
            </w:r>
          </w:p>
        </w:tc>
        <w:tc>
          <w:tcPr>
            <w:tcW w:w="929" w:type="dxa"/>
          </w:tcPr>
          <w:p>
            <w:pPr>
              <w:spacing w:before="0" w:after="0" w:line="240" w:lineRule="auto"/>
              <w:jc w:val="left"/>
            </w:pPr>
            <w:r>
              <w:rPr>
                <w:sz w:val="20"/>
                <w:szCs w:val="20"/>
              </w:rPr>
              <w:t xml:space="preserve">M30</w:t>
            </w:r>
          </w:p>
        </w:tc>
        <w:tc>
          <w:tcPr>
            <w:tcW w:w="1057" w:type="dxa"/>
          </w:tcPr>
          <w:p>
            <w:pPr>
              <w:spacing w:before="0" w:after="0" w:line="240" w:lineRule="auto"/>
              <w:jc w:val="left"/>
            </w:pPr>
            <w:r>
              <w:rPr>
                <w:sz w:val="20"/>
                <w:szCs w:val="20"/>
              </w:rPr>
              <w:t xml:space="preserve">21,942</w:t>
            </w:r>
          </w:p>
        </w:tc>
        <w:tc>
          <w:tcPr>
            <w:tcW w:w="1057" w:type="dxa"/>
          </w:tcPr>
          <w:p>
            <w:pPr>
              <w:spacing w:before="0" w:after="0" w:line="240" w:lineRule="auto"/>
              <w:jc w:val="left"/>
            </w:pPr>
            <w:r>
              <w:rPr>
                <w:sz w:val="20"/>
                <w:szCs w:val="20"/>
              </w:rPr>
              <w:t xml:space="preserve">0.0000</w:t>
            </w:r>
          </w:p>
        </w:tc>
        <w:tc>
          <w:tcPr>
            <w:tcW w:w="1444" w:type="dxa"/>
          </w:tcPr>
          <w:p>
            <w:pPr>
              <w:spacing w:before="0" w:after="0" w:line="240" w:lineRule="auto"/>
              <w:jc w:val="left"/>
            </w:pPr>
            <w:r>
              <w:rPr>
                <w:sz w:val="20"/>
                <w:szCs w:val="20"/>
              </w:rPr>
              <w:t xml:space="preserve">0.0038</w:t>
            </w:r>
          </w:p>
        </w:tc>
        <w:tc>
          <w:tcPr>
            <w:tcW w:w="929" w:type="dxa"/>
          </w:tcPr>
          <w:p>
            <w:pPr>
              <w:spacing w:before="0" w:after="0" w:line="240" w:lineRule="auto"/>
              <w:jc w:val="left"/>
            </w:pPr>
            <w:r>
              <w:rPr>
                <w:sz w:val="20"/>
                <w:szCs w:val="20"/>
              </w:rPr>
              <w:t xml:space="preserve">−1.83</w:t>
            </w:r>
          </w:p>
        </w:tc>
        <w:tc>
          <w:tcPr>
            <w:tcW w:w="929" w:type="dxa"/>
          </w:tcPr>
          <w:p>
            <w:pPr>
              <w:spacing w:before="0" w:after="0" w:line="240" w:lineRule="auto"/>
              <w:jc w:val="left"/>
            </w:pPr>
            <w:r>
              <w:rPr>
                <w:sz w:val="20"/>
                <w:szCs w:val="20"/>
              </w:rPr>
              <w:t xml:space="preserve">37.63</w:t>
            </w:r>
          </w:p>
        </w:tc>
        <w:tc>
          <w:tcPr>
            <w:tcW w:w="1830" w:type="dxa"/>
          </w:tcPr>
          <w:p>
            <w:pPr>
              <w:spacing w:before="0" w:after="0" w:line="240" w:lineRule="auto"/>
              <w:jc w:val="left"/>
            </w:pPr>
            <w:r>
              <w:rPr>
                <w:sz w:val="20"/>
                <w:szCs w:val="20"/>
              </w:rPr>
              <w:t xml:space="preserve">1,108,959***</w:t>
            </w:r>
          </w:p>
        </w:tc>
      </w:tr>
      <w:tr>
        <w:tc>
          <w:tcPr>
            <w:tcW w:w="1186" w:type="dxa"/>
          </w:tcPr>
          <w:p>
            <w:pPr>
              <w:spacing w:before="0" w:after="0" w:line="240" w:lineRule="auto"/>
              <w:jc w:val="left"/>
            </w:pPr>
            <w:r>
              <w:rPr>
                <w:sz w:val="20"/>
                <w:szCs w:val="20"/>
              </w:rPr>
              <w:t xml:space="preserve">VN100</w:t>
            </w:r>
          </w:p>
        </w:tc>
        <w:tc>
          <w:tcPr>
            <w:tcW w:w="929" w:type="dxa"/>
          </w:tcPr>
          <w:p>
            <w:pPr>
              <w:spacing w:before="0" w:after="0" w:line="240" w:lineRule="auto"/>
              <w:jc w:val="left"/>
            </w:pPr>
            <w:r>
              <w:rPr>
                <w:sz w:val="20"/>
                <w:szCs w:val="20"/>
              </w:rPr>
              <w:t xml:space="preserve">H1</w:t>
            </w:r>
          </w:p>
        </w:tc>
        <w:tc>
          <w:tcPr>
            <w:tcW w:w="1057" w:type="dxa"/>
          </w:tcPr>
          <w:p>
            <w:pPr>
              <w:spacing w:before="0" w:after="0" w:line="240" w:lineRule="auto"/>
              <w:jc w:val="left"/>
            </w:pPr>
            <w:r>
              <w:rPr>
                <w:sz w:val="20"/>
                <w:szCs w:val="20"/>
              </w:rPr>
              <w:t xml:space="preserve">13,523</w:t>
            </w:r>
          </w:p>
        </w:tc>
        <w:tc>
          <w:tcPr>
            <w:tcW w:w="1057" w:type="dxa"/>
          </w:tcPr>
          <w:p>
            <w:pPr>
              <w:spacing w:before="0" w:after="0" w:line="240" w:lineRule="auto"/>
              <w:jc w:val="left"/>
            </w:pPr>
            <w:r>
              <w:rPr>
                <w:sz w:val="20"/>
                <w:szCs w:val="20"/>
              </w:rPr>
              <w:t xml:space="preserve">0.0001</w:t>
            </w:r>
          </w:p>
        </w:tc>
        <w:tc>
          <w:tcPr>
            <w:tcW w:w="1444" w:type="dxa"/>
          </w:tcPr>
          <w:p>
            <w:pPr>
              <w:spacing w:before="0" w:after="0" w:line="240" w:lineRule="auto"/>
              <w:jc w:val="left"/>
            </w:pPr>
            <w:r>
              <w:rPr>
                <w:sz w:val="20"/>
                <w:szCs w:val="20"/>
              </w:rPr>
              <w:t xml:space="preserve">0.0050</w:t>
            </w:r>
          </w:p>
        </w:tc>
        <w:tc>
          <w:tcPr>
            <w:tcW w:w="929" w:type="dxa"/>
          </w:tcPr>
          <w:p>
            <w:pPr>
              <w:spacing w:before="0" w:after="0" w:line="240" w:lineRule="auto"/>
              <w:jc w:val="left"/>
            </w:pPr>
            <w:r>
              <w:rPr>
                <w:sz w:val="20"/>
                <w:szCs w:val="20"/>
              </w:rPr>
              <w:t xml:space="preserve">−1.50</w:t>
            </w:r>
          </w:p>
        </w:tc>
        <w:tc>
          <w:tcPr>
            <w:tcW w:w="929" w:type="dxa"/>
          </w:tcPr>
          <w:p>
            <w:pPr>
              <w:spacing w:before="0" w:after="0" w:line="240" w:lineRule="auto"/>
              <w:jc w:val="left"/>
            </w:pPr>
            <w:r>
              <w:rPr>
                <w:sz w:val="20"/>
                <w:szCs w:val="20"/>
              </w:rPr>
              <w:t xml:space="preserve">19.36</w:t>
            </w:r>
          </w:p>
        </w:tc>
        <w:tc>
          <w:tcPr>
            <w:tcW w:w="1830" w:type="dxa"/>
          </w:tcPr>
          <w:p>
            <w:pPr>
              <w:spacing w:before="0" w:after="0" w:line="240" w:lineRule="auto"/>
              <w:jc w:val="left"/>
            </w:pPr>
            <w:r>
              <w:rPr>
                <w:sz w:val="20"/>
                <w:szCs w:val="20"/>
              </w:rPr>
              <w:t xml:space="preserve">155,896***</w:t>
            </w:r>
          </w:p>
        </w:tc>
      </w:tr>
      <w:tr>
        <w:tc>
          <w:tcPr>
            <w:tcW w:w="1186" w:type="dxa"/>
          </w:tcPr>
          <w:p>
            <w:pPr>
              <w:spacing w:before="0" w:after="0" w:line="240" w:lineRule="auto"/>
              <w:jc w:val="left"/>
            </w:pPr>
            <w:r>
              <w:rPr>
                <w:sz w:val="20"/>
                <w:szCs w:val="20"/>
              </w:rPr>
              <w:t xml:space="preserve">VN100</w:t>
            </w:r>
          </w:p>
        </w:tc>
        <w:tc>
          <w:tcPr>
            <w:tcW w:w="929" w:type="dxa"/>
          </w:tcPr>
          <w:p>
            <w:pPr>
              <w:spacing w:before="0" w:after="0" w:line="240" w:lineRule="auto"/>
              <w:jc w:val="left"/>
            </w:pPr>
            <w:r>
              <w:rPr>
                <w:sz w:val="20"/>
                <w:szCs w:val="20"/>
              </w:rPr>
              <w:t xml:space="preserve">H4</w:t>
            </w:r>
          </w:p>
        </w:tc>
        <w:tc>
          <w:tcPr>
            <w:tcW w:w="1057" w:type="dxa"/>
          </w:tcPr>
          <w:p>
            <w:pPr>
              <w:spacing w:before="0" w:after="0" w:line="240" w:lineRule="auto"/>
              <w:jc w:val="left"/>
            </w:pPr>
            <w:r>
              <w:rPr>
                <w:sz w:val="20"/>
                <w:szCs w:val="20"/>
              </w:rPr>
              <w:t xml:space="preserve">5,410</w:t>
            </w:r>
          </w:p>
        </w:tc>
        <w:tc>
          <w:tcPr>
            <w:tcW w:w="1057" w:type="dxa"/>
          </w:tcPr>
          <w:p>
            <w:pPr>
              <w:spacing w:before="0" w:after="0" w:line="240" w:lineRule="auto"/>
              <w:jc w:val="left"/>
            </w:pPr>
            <w:r>
              <w:rPr>
                <w:sz w:val="20"/>
                <w:szCs w:val="20"/>
              </w:rPr>
              <w:t xml:space="preserve">0.0002</w:t>
            </w:r>
          </w:p>
        </w:tc>
        <w:tc>
          <w:tcPr>
            <w:tcW w:w="1444" w:type="dxa"/>
          </w:tcPr>
          <w:p>
            <w:pPr>
              <w:spacing w:before="0" w:after="0" w:line="240" w:lineRule="auto"/>
              <w:jc w:val="left"/>
            </w:pPr>
            <w:r>
              <w:rPr>
                <w:sz w:val="20"/>
                <w:szCs w:val="20"/>
              </w:rPr>
              <w:t xml:space="preserve">0.0082</w:t>
            </w:r>
          </w:p>
        </w:tc>
        <w:tc>
          <w:tcPr>
            <w:tcW w:w="929" w:type="dxa"/>
          </w:tcPr>
          <w:p>
            <w:pPr>
              <w:spacing w:before="0" w:after="0" w:line="240" w:lineRule="auto"/>
              <w:jc w:val="left"/>
            </w:pPr>
            <w:r>
              <w:rPr>
                <w:sz w:val="20"/>
                <w:szCs w:val="20"/>
              </w:rPr>
              <w:t xml:space="preserve">−1.30</w:t>
            </w:r>
          </w:p>
        </w:tc>
        <w:tc>
          <w:tcPr>
            <w:tcW w:w="929" w:type="dxa"/>
          </w:tcPr>
          <w:p>
            <w:pPr>
              <w:spacing w:before="0" w:after="0" w:line="240" w:lineRule="auto"/>
              <w:jc w:val="left"/>
            </w:pPr>
            <w:r>
              <w:rPr>
                <w:sz w:val="20"/>
                <w:szCs w:val="20"/>
              </w:rPr>
              <w:t xml:space="preserve">11.76</w:t>
            </w:r>
          </w:p>
        </w:tc>
        <w:tc>
          <w:tcPr>
            <w:tcW w:w="1830" w:type="dxa"/>
          </w:tcPr>
          <w:p>
            <w:pPr>
              <w:spacing w:before="0" w:after="0" w:line="240" w:lineRule="auto"/>
              <w:jc w:val="left"/>
            </w:pPr>
            <w:r>
              <w:rPr>
                <w:sz w:val="20"/>
                <w:szCs w:val="20"/>
              </w:rPr>
              <w:t xml:space="preserve">18,833***</w:t>
            </w:r>
          </w:p>
        </w:tc>
      </w:tr>
      <w:tr>
        <w:tc>
          <w:tcPr>
            <w:tcW w:w="1186" w:type="dxa"/>
          </w:tcPr>
          <w:p>
            <w:pPr>
              <w:spacing w:before="0" w:after="0" w:line="240" w:lineRule="auto"/>
              <w:jc w:val="left"/>
            </w:pPr>
            <w:r>
              <w:rPr>
                <w:sz w:val="20"/>
                <w:szCs w:val="20"/>
              </w:rPr>
              <w:t xml:space="preserve">VNINDEX</w:t>
            </w:r>
          </w:p>
        </w:tc>
        <w:tc>
          <w:tcPr>
            <w:tcW w:w="929" w:type="dxa"/>
          </w:tcPr>
          <w:p>
            <w:pPr>
              <w:spacing w:before="0" w:after="0" w:line="240" w:lineRule="auto"/>
              <w:jc w:val="left"/>
            </w:pPr>
            <w:r>
              <w:rPr>
                <w:sz w:val="20"/>
                <w:szCs w:val="20"/>
              </w:rPr>
              <w:t xml:space="preserve">1D</w:t>
            </w:r>
          </w:p>
        </w:tc>
        <w:tc>
          <w:tcPr>
            <w:tcW w:w="1057" w:type="dxa"/>
          </w:tcPr>
          <w:p>
            <w:pPr>
              <w:spacing w:before="0" w:after="0" w:line="240" w:lineRule="auto"/>
              <w:jc w:val="left"/>
            </w:pPr>
            <w:r>
              <w:rPr>
                <w:sz w:val="20"/>
                <w:szCs w:val="20"/>
              </w:rPr>
              <w:t xml:space="preserve">2,963</w:t>
            </w:r>
          </w:p>
        </w:tc>
        <w:tc>
          <w:tcPr>
            <w:tcW w:w="1057" w:type="dxa"/>
          </w:tcPr>
          <w:p>
            <w:pPr>
              <w:spacing w:before="0" w:after="0" w:line="240" w:lineRule="auto"/>
              <w:jc w:val="left"/>
            </w:pPr>
            <w:r>
              <w:rPr>
                <w:sz w:val="20"/>
                <w:szCs w:val="20"/>
              </w:rPr>
              <w:t xml:space="preserve">0.0004</w:t>
            </w:r>
          </w:p>
        </w:tc>
        <w:tc>
          <w:tcPr>
            <w:tcW w:w="1444" w:type="dxa"/>
          </w:tcPr>
          <w:p>
            <w:pPr>
              <w:spacing w:before="0" w:after="0" w:line="240" w:lineRule="auto"/>
              <w:jc w:val="left"/>
            </w:pPr>
            <w:r>
              <w:rPr>
                <w:sz w:val="20"/>
                <w:szCs w:val="20"/>
              </w:rPr>
              <w:t xml:space="preserve">0.0115</w:t>
            </w:r>
          </w:p>
        </w:tc>
        <w:tc>
          <w:tcPr>
            <w:tcW w:w="929" w:type="dxa"/>
          </w:tcPr>
          <w:p>
            <w:pPr>
              <w:spacing w:before="0" w:after="0" w:line="240" w:lineRule="auto"/>
              <w:jc w:val="left"/>
            </w:pPr>
            <w:r>
              <w:rPr>
                <w:sz w:val="20"/>
                <w:szCs w:val="20"/>
              </w:rPr>
              <w:t xml:space="preserve">−0.98</w:t>
            </w:r>
          </w:p>
        </w:tc>
        <w:tc>
          <w:tcPr>
            <w:tcW w:w="929" w:type="dxa"/>
          </w:tcPr>
          <w:p>
            <w:pPr>
              <w:spacing w:before="0" w:after="0" w:line="240" w:lineRule="auto"/>
              <w:jc w:val="left"/>
            </w:pPr>
            <w:r>
              <w:rPr>
                <w:sz w:val="20"/>
                <w:szCs w:val="20"/>
              </w:rPr>
              <w:t xml:space="preserve">8.27</w:t>
            </w:r>
          </w:p>
        </w:tc>
        <w:tc>
          <w:tcPr>
            <w:tcW w:w="1830" w:type="dxa"/>
          </w:tcPr>
          <w:p>
            <w:pPr>
              <w:spacing w:before="0" w:after="0" w:line="240" w:lineRule="auto"/>
              <w:jc w:val="left"/>
            </w:pPr>
            <w:r>
              <w:rPr>
                <w:sz w:val="20"/>
                <w:szCs w:val="20"/>
              </w:rPr>
              <w:t xml:space="preserve">3,898***</w:t>
            </w:r>
          </w:p>
        </w:tc>
      </w:tr>
      <w:tr>
        <w:tc>
          <w:tcPr>
            <w:tcW w:w="1186" w:type="dxa"/>
          </w:tcPr>
          <w:p>
            <w:pPr>
              <w:spacing w:before="0" w:after="0" w:line="240" w:lineRule="auto"/>
              <w:jc w:val="left"/>
            </w:pPr>
            <w:r>
              <w:rPr>
                <w:sz w:val="20"/>
                <w:szCs w:val="20"/>
              </w:rPr>
              <w:t xml:space="preserve">VNINDEX</w:t>
            </w:r>
          </w:p>
        </w:tc>
        <w:tc>
          <w:tcPr>
            <w:tcW w:w="929" w:type="dxa"/>
          </w:tcPr>
          <w:p>
            <w:pPr>
              <w:spacing w:before="0" w:after="0" w:line="240" w:lineRule="auto"/>
              <w:jc w:val="left"/>
            </w:pPr>
            <w:r>
              <w:rPr>
                <w:sz w:val="20"/>
                <w:szCs w:val="20"/>
              </w:rPr>
              <w:t xml:space="preserve">M30</w:t>
            </w:r>
          </w:p>
        </w:tc>
        <w:tc>
          <w:tcPr>
            <w:tcW w:w="1057" w:type="dxa"/>
          </w:tcPr>
          <w:p>
            <w:pPr>
              <w:spacing w:before="0" w:after="0" w:line="240" w:lineRule="auto"/>
              <w:jc w:val="left"/>
            </w:pPr>
            <w:r>
              <w:rPr>
                <w:sz w:val="20"/>
                <w:szCs w:val="20"/>
              </w:rPr>
              <w:t xml:space="preserve">21,942</w:t>
            </w:r>
          </w:p>
        </w:tc>
        <w:tc>
          <w:tcPr>
            <w:tcW w:w="1057" w:type="dxa"/>
          </w:tcPr>
          <w:p>
            <w:pPr>
              <w:spacing w:before="0" w:after="0" w:line="240" w:lineRule="auto"/>
              <w:jc w:val="left"/>
            </w:pPr>
            <w:r>
              <w:rPr>
                <w:sz w:val="20"/>
                <w:szCs w:val="20"/>
              </w:rPr>
              <w:t xml:space="preserve">0.0000</w:t>
            </w:r>
          </w:p>
        </w:tc>
        <w:tc>
          <w:tcPr>
            <w:tcW w:w="1444" w:type="dxa"/>
          </w:tcPr>
          <w:p>
            <w:pPr>
              <w:spacing w:before="0" w:after="0" w:line="240" w:lineRule="auto"/>
              <w:jc w:val="left"/>
            </w:pPr>
            <w:r>
              <w:rPr>
                <w:sz w:val="20"/>
                <w:szCs w:val="20"/>
              </w:rPr>
              <w:t xml:space="preserve">0.0037</w:t>
            </w:r>
          </w:p>
        </w:tc>
        <w:tc>
          <w:tcPr>
            <w:tcW w:w="929" w:type="dxa"/>
          </w:tcPr>
          <w:p>
            <w:pPr>
              <w:spacing w:before="0" w:after="0" w:line="240" w:lineRule="auto"/>
              <w:jc w:val="left"/>
            </w:pPr>
            <w:r>
              <w:rPr>
                <w:sz w:val="20"/>
                <w:szCs w:val="20"/>
              </w:rPr>
              <w:t xml:space="preserve">−2.04</w:t>
            </w:r>
          </w:p>
        </w:tc>
        <w:tc>
          <w:tcPr>
            <w:tcW w:w="929" w:type="dxa"/>
          </w:tcPr>
          <w:p>
            <w:pPr>
              <w:spacing w:before="0" w:after="0" w:line="240" w:lineRule="auto"/>
              <w:jc w:val="left"/>
            </w:pPr>
            <w:r>
              <w:rPr>
                <w:sz w:val="20"/>
                <w:szCs w:val="20"/>
              </w:rPr>
              <w:t xml:space="preserve">40.64</w:t>
            </w:r>
          </w:p>
        </w:tc>
        <w:tc>
          <w:tcPr>
            <w:tcW w:w="1830" w:type="dxa"/>
          </w:tcPr>
          <w:p>
            <w:pPr>
              <w:spacing w:before="0" w:after="0" w:line="240" w:lineRule="auto"/>
              <w:jc w:val="left"/>
            </w:pPr>
            <w:r>
              <w:rPr>
                <w:sz w:val="20"/>
                <w:szCs w:val="20"/>
              </w:rPr>
              <w:t xml:space="preserve">1,310,762***</w:t>
            </w:r>
          </w:p>
        </w:tc>
      </w:tr>
      <w:tr>
        <w:tc>
          <w:tcPr>
            <w:tcW w:w="1186" w:type="dxa"/>
          </w:tcPr>
          <w:p>
            <w:pPr>
              <w:spacing w:before="0" w:after="0" w:line="240" w:lineRule="auto"/>
              <w:jc w:val="left"/>
            </w:pPr>
            <w:r>
              <w:rPr>
                <w:sz w:val="20"/>
                <w:szCs w:val="20"/>
              </w:rPr>
              <w:t xml:space="preserve">VNINDEX</w:t>
            </w:r>
          </w:p>
        </w:tc>
        <w:tc>
          <w:tcPr>
            <w:tcW w:w="929" w:type="dxa"/>
          </w:tcPr>
          <w:p>
            <w:pPr>
              <w:spacing w:before="0" w:after="0" w:line="240" w:lineRule="auto"/>
              <w:jc w:val="left"/>
            </w:pPr>
            <w:r>
              <w:rPr>
                <w:sz w:val="20"/>
                <w:szCs w:val="20"/>
              </w:rPr>
              <w:t xml:space="preserve">H1</w:t>
            </w:r>
          </w:p>
        </w:tc>
        <w:tc>
          <w:tcPr>
            <w:tcW w:w="1057" w:type="dxa"/>
          </w:tcPr>
          <w:p>
            <w:pPr>
              <w:spacing w:before="0" w:after="0" w:line="240" w:lineRule="auto"/>
              <w:jc w:val="left"/>
            </w:pPr>
            <w:r>
              <w:rPr>
                <w:sz w:val="20"/>
                <w:szCs w:val="20"/>
              </w:rPr>
              <w:t xml:space="preserve">13,523</w:t>
            </w:r>
          </w:p>
        </w:tc>
        <w:tc>
          <w:tcPr>
            <w:tcW w:w="1057" w:type="dxa"/>
          </w:tcPr>
          <w:p>
            <w:pPr>
              <w:spacing w:before="0" w:after="0" w:line="240" w:lineRule="auto"/>
              <w:jc w:val="left"/>
            </w:pPr>
            <w:r>
              <w:rPr>
                <w:sz w:val="20"/>
                <w:szCs w:val="20"/>
              </w:rPr>
              <w:t xml:space="preserve">0.0001</w:t>
            </w:r>
          </w:p>
        </w:tc>
        <w:tc>
          <w:tcPr>
            <w:tcW w:w="1444" w:type="dxa"/>
          </w:tcPr>
          <w:p>
            <w:pPr>
              <w:spacing w:before="0" w:after="0" w:line="240" w:lineRule="auto"/>
              <w:jc w:val="left"/>
            </w:pPr>
            <w:r>
              <w:rPr>
                <w:sz w:val="20"/>
                <w:szCs w:val="20"/>
              </w:rPr>
              <w:t xml:space="preserve">0.0049</w:t>
            </w:r>
          </w:p>
        </w:tc>
        <w:tc>
          <w:tcPr>
            <w:tcW w:w="929" w:type="dxa"/>
          </w:tcPr>
          <w:p>
            <w:pPr>
              <w:spacing w:before="0" w:after="0" w:line="240" w:lineRule="auto"/>
              <w:jc w:val="left"/>
            </w:pPr>
            <w:r>
              <w:rPr>
                <w:sz w:val="20"/>
                <w:szCs w:val="20"/>
              </w:rPr>
              <w:t xml:space="preserve">−1.56</w:t>
            </w:r>
          </w:p>
        </w:tc>
        <w:tc>
          <w:tcPr>
            <w:tcW w:w="929" w:type="dxa"/>
          </w:tcPr>
          <w:p>
            <w:pPr>
              <w:spacing w:before="0" w:after="0" w:line="240" w:lineRule="auto"/>
              <w:jc w:val="left"/>
            </w:pPr>
            <w:r>
              <w:rPr>
                <w:sz w:val="20"/>
                <w:szCs w:val="20"/>
              </w:rPr>
              <w:t xml:space="preserve">19.54</w:t>
            </w:r>
          </w:p>
        </w:tc>
        <w:tc>
          <w:tcPr>
            <w:tcW w:w="1830" w:type="dxa"/>
          </w:tcPr>
          <w:p>
            <w:pPr>
              <w:spacing w:before="0" w:after="0" w:line="240" w:lineRule="auto"/>
              <w:jc w:val="left"/>
            </w:pPr>
            <w:r>
              <w:rPr>
                <w:sz w:val="20"/>
                <w:szCs w:val="20"/>
              </w:rPr>
              <w:t xml:space="preserve">159,748***</w:t>
            </w:r>
          </w:p>
        </w:tc>
      </w:tr>
      <w:tr>
        <w:tc>
          <w:tcPr>
            <w:tcW w:w="1186" w:type="dxa"/>
          </w:tcPr>
          <w:p>
            <w:pPr>
              <w:spacing w:before="0" w:after="0" w:line="240" w:lineRule="auto"/>
              <w:jc w:val="left"/>
            </w:pPr>
            <w:r>
              <w:rPr>
                <w:sz w:val="20"/>
                <w:szCs w:val="20"/>
              </w:rPr>
              <w:t xml:space="preserve">VNINDEX</w:t>
            </w:r>
          </w:p>
        </w:tc>
        <w:tc>
          <w:tcPr>
            <w:tcW w:w="929" w:type="dxa"/>
          </w:tcPr>
          <w:p>
            <w:pPr>
              <w:spacing w:before="0" w:after="0" w:line="240" w:lineRule="auto"/>
              <w:jc w:val="left"/>
            </w:pPr>
            <w:r>
              <w:rPr>
                <w:sz w:val="20"/>
                <w:szCs w:val="20"/>
              </w:rPr>
              <w:t xml:space="preserve">H4</w:t>
            </w:r>
          </w:p>
        </w:tc>
        <w:tc>
          <w:tcPr>
            <w:tcW w:w="1057" w:type="dxa"/>
          </w:tcPr>
          <w:p>
            <w:pPr>
              <w:spacing w:before="0" w:after="0" w:line="240" w:lineRule="auto"/>
              <w:jc w:val="left"/>
            </w:pPr>
            <w:r>
              <w:rPr>
                <w:sz w:val="20"/>
                <w:szCs w:val="20"/>
              </w:rPr>
              <w:t xml:space="preserve">5,410</w:t>
            </w:r>
          </w:p>
        </w:tc>
        <w:tc>
          <w:tcPr>
            <w:tcW w:w="1057" w:type="dxa"/>
          </w:tcPr>
          <w:p>
            <w:pPr>
              <w:spacing w:before="0" w:after="0" w:line="240" w:lineRule="auto"/>
              <w:jc w:val="left"/>
            </w:pPr>
            <w:r>
              <w:rPr>
                <w:sz w:val="20"/>
                <w:szCs w:val="20"/>
              </w:rPr>
              <w:t xml:space="preserve">0.0002</w:t>
            </w:r>
          </w:p>
        </w:tc>
        <w:tc>
          <w:tcPr>
            <w:tcW w:w="1444" w:type="dxa"/>
          </w:tcPr>
          <w:p>
            <w:pPr>
              <w:spacing w:before="0" w:after="0" w:line="240" w:lineRule="auto"/>
              <w:jc w:val="left"/>
            </w:pPr>
            <w:r>
              <w:rPr>
                <w:sz w:val="20"/>
                <w:szCs w:val="20"/>
              </w:rPr>
              <w:t xml:space="preserve">0.0080</w:t>
            </w:r>
          </w:p>
        </w:tc>
        <w:tc>
          <w:tcPr>
            <w:tcW w:w="929" w:type="dxa"/>
          </w:tcPr>
          <w:p>
            <w:pPr>
              <w:spacing w:before="0" w:after="0" w:line="240" w:lineRule="auto"/>
              <w:jc w:val="left"/>
            </w:pPr>
            <w:r>
              <w:rPr>
                <w:sz w:val="20"/>
                <w:szCs w:val="20"/>
              </w:rPr>
              <w:t xml:space="preserve">−1.31</w:t>
            </w:r>
          </w:p>
        </w:tc>
        <w:tc>
          <w:tcPr>
            <w:tcW w:w="929" w:type="dxa"/>
          </w:tcPr>
          <w:p>
            <w:pPr>
              <w:spacing w:before="0" w:after="0" w:line="240" w:lineRule="auto"/>
              <w:jc w:val="left"/>
            </w:pPr>
            <w:r>
              <w:rPr>
                <w:sz w:val="20"/>
                <w:szCs w:val="20"/>
              </w:rPr>
              <w:t xml:space="preserve">11.99</w:t>
            </w:r>
          </w:p>
        </w:tc>
        <w:tc>
          <w:tcPr>
            <w:tcW w:w="1830" w:type="dxa"/>
          </w:tcPr>
          <w:p>
            <w:pPr>
              <w:spacing w:before="0" w:after="0" w:line="240" w:lineRule="auto"/>
              <w:jc w:val="left"/>
            </w:pPr>
            <w:r>
              <w:rPr>
                <w:sz w:val="20"/>
                <w:szCs w:val="20"/>
              </w:rPr>
              <w:t xml:space="preserve">19,767***</w:t>
            </w:r>
          </w:p>
        </w:tc>
      </w:tr>
      <w:tr>
        <w:tc>
          <w:tcPr>
            <w:tcW w:w="1186" w:type="dxa"/>
          </w:tcPr>
          <w:p>
            <w:pPr>
              <w:spacing w:before="0" w:after="0" w:line="240" w:lineRule="auto"/>
              <w:jc w:val="left"/>
            </w:pPr>
            <w:r>
              <w:rPr>
                <w:sz w:val="20"/>
                <w:szCs w:val="20"/>
              </w:rPr>
              <w:t xml:space="preserve">P</w:t>
            </w:r>
            <w:r>
              <w:rPr>
                <w:vertAlign w:val="subscript"/>
                <w:sz w:val="20"/>
                <w:szCs w:val="20"/>
              </w:rPr>
              <w:t xml:space="preserve">cap</w:t>
            </w:r>
          </w:p>
        </w:tc>
        <w:tc>
          <w:tcPr>
            <w:tcW w:w="929" w:type="dxa"/>
          </w:tcPr>
          <w:p>
            <w:pPr>
              <w:spacing w:before="0" w:after="0" w:line="240" w:lineRule="auto"/>
              <w:jc w:val="left"/>
            </w:pPr>
            <w:r>
              <w:rPr>
                <w:sz w:val="20"/>
                <w:szCs w:val="20"/>
              </w:rPr>
              <w:t xml:space="preserve">1D</w:t>
            </w:r>
          </w:p>
        </w:tc>
        <w:tc>
          <w:tcPr>
            <w:tcW w:w="1057" w:type="dxa"/>
          </w:tcPr>
          <w:p>
            <w:pPr>
              <w:spacing w:before="0" w:after="0" w:line="240" w:lineRule="auto"/>
              <w:jc w:val="left"/>
            </w:pPr>
            <w:r>
              <w:rPr>
                <w:sz w:val="20"/>
                <w:szCs w:val="20"/>
              </w:rPr>
              <w:t xml:space="preserve">2,963</w:t>
            </w:r>
          </w:p>
        </w:tc>
        <w:tc>
          <w:tcPr>
            <w:tcW w:w="1057" w:type="dxa"/>
          </w:tcPr>
          <w:p>
            <w:pPr>
              <w:spacing w:before="0" w:after="0" w:line="240" w:lineRule="auto"/>
              <w:jc w:val="left"/>
            </w:pPr>
            <w:r>
              <w:rPr>
                <w:sz w:val="20"/>
                <w:szCs w:val="20"/>
              </w:rPr>
              <w:t xml:space="preserve">0.0004</w:t>
            </w:r>
          </w:p>
        </w:tc>
        <w:tc>
          <w:tcPr>
            <w:tcW w:w="1444" w:type="dxa"/>
          </w:tcPr>
          <w:p>
            <w:pPr>
              <w:spacing w:before="0" w:after="0" w:line="240" w:lineRule="auto"/>
              <w:jc w:val="left"/>
            </w:pPr>
            <w:r>
              <w:rPr>
                <w:sz w:val="20"/>
                <w:szCs w:val="20"/>
              </w:rPr>
              <w:t xml:space="preserve">0.0124</w:t>
            </w:r>
          </w:p>
        </w:tc>
        <w:tc>
          <w:tcPr>
            <w:tcW w:w="929" w:type="dxa"/>
          </w:tcPr>
          <w:p>
            <w:pPr>
              <w:spacing w:before="0" w:after="0" w:line="240" w:lineRule="auto"/>
              <w:jc w:val="left"/>
            </w:pPr>
            <w:r>
              <w:rPr>
                <w:sz w:val="20"/>
                <w:szCs w:val="20"/>
              </w:rPr>
              <w:t xml:space="preserve">−1.07</w:t>
            </w:r>
          </w:p>
        </w:tc>
        <w:tc>
          <w:tcPr>
            <w:tcW w:w="929" w:type="dxa"/>
          </w:tcPr>
          <w:p>
            <w:pPr>
              <w:spacing w:before="0" w:after="0" w:line="240" w:lineRule="auto"/>
              <w:jc w:val="left"/>
            </w:pPr>
            <w:r>
              <w:rPr>
                <w:sz w:val="20"/>
                <w:szCs w:val="20"/>
              </w:rPr>
              <w:t xml:space="preserve">8.15</w:t>
            </w:r>
          </w:p>
        </w:tc>
        <w:tc>
          <w:tcPr>
            <w:tcW w:w="1830" w:type="dxa"/>
          </w:tcPr>
          <w:p>
            <w:pPr>
              <w:spacing w:before="0" w:after="0" w:line="240" w:lineRule="auto"/>
              <w:jc w:val="left"/>
            </w:pPr>
            <w:r>
              <w:rPr>
                <w:sz w:val="20"/>
                <w:szCs w:val="20"/>
              </w:rPr>
              <w:t xml:space="preserve">3,837***</w:t>
            </w:r>
          </w:p>
        </w:tc>
      </w:tr>
      <w:tr>
        <w:tc>
          <w:tcPr>
            <w:tcW w:w="1186" w:type="dxa"/>
          </w:tcPr>
          <w:p>
            <w:pPr>
              <w:spacing w:before="0" w:after="0" w:line="240" w:lineRule="auto"/>
              <w:jc w:val="left"/>
            </w:pPr>
            <w:r>
              <w:rPr>
                <w:sz w:val="20"/>
                <w:szCs w:val="20"/>
              </w:rPr>
              <w:t xml:space="preserve">P</w:t>
            </w:r>
            <w:r>
              <w:rPr>
                <w:vertAlign w:val="subscript"/>
                <w:sz w:val="20"/>
                <w:szCs w:val="20"/>
              </w:rPr>
              <w:t xml:space="preserve">cap</w:t>
            </w:r>
          </w:p>
        </w:tc>
        <w:tc>
          <w:tcPr>
            <w:tcW w:w="929" w:type="dxa"/>
          </w:tcPr>
          <w:p>
            <w:pPr>
              <w:spacing w:before="0" w:after="0" w:line="240" w:lineRule="auto"/>
              <w:jc w:val="left"/>
            </w:pPr>
            <w:r>
              <w:rPr>
                <w:sz w:val="20"/>
                <w:szCs w:val="20"/>
              </w:rPr>
              <w:t xml:space="preserve">M30</w:t>
            </w:r>
          </w:p>
        </w:tc>
        <w:tc>
          <w:tcPr>
            <w:tcW w:w="1057" w:type="dxa"/>
          </w:tcPr>
          <w:p>
            <w:pPr>
              <w:spacing w:before="0" w:after="0" w:line="240" w:lineRule="auto"/>
              <w:jc w:val="left"/>
            </w:pPr>
            <w:r>
              <w:rPr>
                <w:sz w:val="20"/>
                <w:szCs w:val="20"/>
              </w:rPr>
              <w:t xml:space="preserve">21,942</w:t>
            </w:r>
          </w:p>
        </w:tc>
        <w:tc>
          <w:tcPr>
            <w:tcW w:w="1057" w:type="dxa"/>
          </w:tcPr>
          <w:p>
            <w:pPr>
              <w:spacing w:before="0" w:after="0" w:line="240" w:lineRule="auto"/>
              <w:jc w:val="left"/>
            </w:pPr>
            <w:r>
              <w:rPr>
                <w:sz w:val="20"/>
                <w:szCs w:val="20"/>
              </w:rPr>
              <w:t xml:space="preserve">0.0000</w:t>
            </w:r>
          </w:p>
        </w:tc>
        <w:tc>
          <w:tcPr>
            <w:tcW w:w="1444" w:type="dxa"/>
          </w:tcPr>
          <w:p>
            <w:pPr>
              <w:spacing w:before="0" w:after="0" w:line="240" w:lineRule="auto"/>
              <w:jc w:val="left"/>
            </w:pPr>
            <w:r>
              <w:rPr>
                <w:sz w:val="20"/>
                <w:szCs w:val="20"/>
              </w:rPr>
              <w:t xml:space="preserve">0.0041</w:t>
            </w:r>
          </w:p>
        </w:tc>
        <w:tc>
          <w:tcPr>
            <w:tcW w:w="929" w:type="dxa"/>
          </w:tcPr>
          <w:p>
            <w:pPr>
              <w:spacing w:before="0" w:after="0" w:line="240" w:lineRule="auto"/>
              <w:jc w:val="left"/>
            </w:pPr>
            <w:r>
              <w:rPr>
                <w:sz w:val="20"/>
                <w:szCs w:val="20"/>
              </w:rPr>
              <w:t xml:space="preserve">−1.87</w:t>
            </w:r>
          </w:p>
        </w:tc>
        <w:tc>
          <w:tcPr>
            <w:tcW w:w="929" w:type="dxa"/>
          </w:tcPr>
          <w:p>
            <w:pPr>
              <w:spacing w:before="0" w:after="0" w:line="240" w:lineRule="auto"/>
              <w:jc w:val="left"/>
            </w:pPr>
            <w:r>
              <w:rPr>
                <w:sz w:val="20"/>
                <w:szCs w:val="20"/>
              </w:rPr>
              <w:t xml:space="preserve">33.94</w:t>
            </w:r>
          </w:p>
        </w:tc>
        <w:tc>
          <w:tcPr>
            <w:tcW w:w="1830" w:type="dxa"/>
          </w:tcPr>
          <w:p>
            <w:pPr>
              <w:spacing w:before="0" w:after="0" w:line="240" w:lineRule="auto"/>
              <w:jc w:val="left"/>
            </w:pPr>
            <w:r>
              <w:rPr>
                <w:sz w:val="20"/>
                <w:szCs w:val="20"/>
              </w:rPr>
              <w:t xml:space="preserve">887,934***</w:t>
            </w:r>
          </w:p>
        </w:tc>
      </w:tr>
      <w:tr>
        <w:tc>
          <w:tcPr>
            <w:tcW w:w="1186" w:type="dxa"/>
          </w:tcPr>
          <w:p>
            <w:pPr>
              <w:spacing w:before="0" w:after="0" w:line="240" w:lineRule="auto"/>
              <w:jc w:val="left"/>
            </w:pPr>
            <w:r>
              <w:rPr>
                <w:sz w:val="20"/>
                <w:szCs w:val="20"/>
              </w:rPr>
              <w:t xml:space="preserve">P</w:t>
            </w:r>
            <w:r>
              <w:rPr>
                <w:vertAlign w:val="subscript"/>
                <w:sz w:val="20"/>
                <w:szCs w:val="20"/>
              </w:rPr>
              <w:t xml:space="preserve">cap</w:t>
            </w:r>
          </w:p>
        </w:tc>
        <w:tc>
          <w:tcPr>
            <w:tcW w:w="929" w:type="dxa"/>
          </w:tcPr>
          <w:p>
            <w:pPr>
              <w:spacing w:before="0" w:after="0" w:line="240" w:lineRule="auto"/>
              <w:jc w:val="left"/>
            </w:pPr>
            <w:r>
              <w:rPr>
                <w:sz w:val="20"/>
                <w:szCs w:val="20"/>
              </w:rPr>
              <w:t xml:space="preserve">H1</w:t>
            </w:r>
          </w:p>
        </w:tc>
        <w:tc>
          <w:tcPr>
            <w:tcW w:w="1057" w:type="dxa"/>
          </w:tcPr>
          <w:p>
            <w:pPr>
              <w:spacing w:before="0" w:after="0" w:line="240" w:lineRule="auto"/>
              <w:jc w:val="left"/>
            </w:pPr>
            <w:r>
              <w:rPr>
                <w:sz w:val="20"/>
                <w:szCs w:val="20"/>
              </w:rPr>
              <w:t xml:space="preserve">13,523</w:t>
            </w:r>
          </w:p>
        </w:tc>
        <w:tc>
          <w:tcPr>
            <w:tcW w:w="1057" w:type="dxa"/>
          </w:tcPr>
          <w:p>
            <w:pPr>
              <w:spacing w:before="0" w:after="0" w:line="240" w:lineRule="auto"/>
              <w:jc w:val="left"/>
            </w:pPr>
            <w:r>
              <w:rPr>
                <w:sz w:val="20"/>
                <w:szCs w:val="20"/>
              </w:rPr>
              <w:t xml:space="preserve">0.0001</w:t>
            </w:r>
          </w:p>
        </w:tc>
        <w:tc>
          <w:tcPr>
            <w:tcW w:w="1444" w:type="dxa"/>
          </w:tcPr>
          <w:p>
            <w:pPr>
              <w:spacing w:before="0" w:after="0" w:line="240" w:lineRule="auto"/>
              <w:jc w:val="left"/>
            </w:pPr>
            <w:r>
              <w:rPr>
                <w:sz w:val="20"/>
                <w:szCs w:val="20"/>
              </w:rPr>
              <w:t xml:space="preserve">0.0052</w:t>
            </w:r>
          </w:p>
        </w:tc>
        <w:tc>
          <w:tcPr>
            <w:tcW w:w="929" w:type="dxa"/>
          </w:tcPr>
          <w:p>
            <w:pPr>
              <w:spacing w:before="0" w:after="0" w:line="240" w:lineRule="auto"/>
              <w:jc w:val="left"/>
            </w:pPr>
            <w:r>
              <w:rPr>
                <w:sz w:val="20"/>
                <w:szCs w:val="20"/>
              </w:rPr>
              <w:t xml:space="preserve">−1.51</w:t>
            </w:r>
          </w:p>
        </w:tc>
        <w:tc>
          <w:tcPr>
            <w:tcW w:w="929" w:type="dxa"/>
          </w:tcPr>
          <w:p>
            <w:pPr>
              <w:spacing w:before="0" w:after="0" w:line="240" w:lineRule="auto"/>
              <w:jc w:val="left"/>
            </w:pPr>
            <w:r>
              <w:rPr>
                <w:sz w:val="20"/>
                <w:szCs w:val="20"/>
              </w:rPr>
              <w:t xml:space="preserve">18.81</w:t>
            </w:r>
          </w:p>
        </w:tc>
        <w:tc>
          <w:tcPr>
            <w:tcW w:w="1830" w:type="dxa"/>
          </w:tcPr>
          <w:p>
            <w:pPr>
              <w:spacing w:before="0" w:after="0" w:line="240" w:lineRule="auto"/>
              <w:jc w:val="left"/>
            </w:pPr>
            <w:r>
              <w:rPr>
                <w:sz w:val="20"/>
                <w:szCs w:val="20"/>
              </w:rPr>
              <w:t xml:space="preserve">145,968***</w:t>
            </w:r>
          </w:p>
        </w:tc>
      </w:tr>
      <w:tr>
        <w:tc>
          <w:tcPr>
            <w:tcW w:w="1186" w:type="dxa"/>
          </w:tcPr>
          <w:p>
            <w:pPr>
              <w:spacing w:before="0" w:after="0" w:line="240" w:lineRule="auto"/>
              <w:jc w:val="left"/>
            </w:pPr>
            <w:r>
              <w:rPr>
                <w:sz w:val="20"/>
                <w:szCs w:val="20"/>
              </w:rPr>
              <w:t xml:space="preserve">P</w:t>
            </w:r>
            <w:r>
              <w:rPr>
                <w:vertAlign w:val="subscript"/>
                <w:sz w:val="20"/>
                <w:szCs w:val="20"/>
              </w:rPr>
              <w:t xml:space="preserve">cap</w:t>
            </w:r>
          </w:p>
        </w:tc>
        <w:tc>
          <w:tcPr>
            <w:tcW w:w="929" w:type="dxa"/>
          </w:tcPr>
          <w:p>
            <w:pPr>
              <w:spacing w:before="0" w:after="0" w:line="240" w:lineRule="auto"/>
              <w:jc w:val="left"/>
            </w:pPr>
            <w:r>
              <w:rPr>
                <w:sz w:val="20"/>
                <w:szCs w:val="20"/>
              </w:rPr>
              <w:t xml:space="preserve">H4</w:t>
            </w:r>
          </w:p>
        </w:tc>
        <w:tc>
          <w:tcPr>
            <w:tcW w:w="1057" w:type="dxa"/>
          </w:tcPr>
          <w:p>
            <w:pPr>
              <w:spacing w:before="0" w:after="0" w:line="240" w:lineRule="auto"/>
              <w:jc w:val="left"/>
            </w:pPr>
            <w:r>
              <w:rPr>
                <w:sz w:val="20"/>
                <w:szCs w:val="20"/>
              </w:rPr>
              <w:t xml:space="preserve">5,410</w:t>
            </w:r>
          </w:p>
        </w:tc>
        <w:tc>
          <w:tcPr>
            <w:tcW w:w="1057" w:type="dxa"/>
          </w:tcPr>
          <w:p>
            <w:pPr>
              <w:spacing w:before="0" w:after="0" w:line="240" w:lineRule="auto"/>
              <w:jc w:val="left"/>
            </w:pPr>
            <w:r>
              <w:rPr>
                <w:sz w:val="20"/>
                <w:szCs w:val="20"/>
              </w:rPr>
              <w:t xml:space="preserve">0.0002</w:t>
            </w:r>
          </w:p>
        </w:tc>
        <w:tc>
          <w:tcPr>
            <w:tcW w:w="1444" w:type="dxa"/>
          </w:tcPr>
          <w:p>
            <w:pPr>
              <w:spacing w:before="0" w:after="0" w:line="240" w:lineRule="auto"/>
              <w:jc w:val="left"/>
            </w:pPr>
            <w:r>
              <w:rPr>
                <w:sz w:val="20"/>
                <w:szCs w:val="20"/>
              </w:rPr>
              <w:t xml:space="preserve">0.0086</w:t>
            </w:r>
          </w:p>
        </w:tc>
        <w:tc>
          <w:tcPr>
            <w:tcW w:w="929" w:type="dxa"/>
          </w:tcPr>
          <w:p>
            <w:pPr>
              <w:spacing w:before="0" w:after="0" w:line="240" w:lineRule="auto"/>
              <w:jc w:val="left"/>
            </w:pPr>
            <w:r>
              <w:rPr>
                <w:sz w:val="20"/>
                <w:szCs w:val="20"/>
              </w:rPr>
              <w:t xml:space="preserve">−1.33</w:t>
            </w:r>
          </w:p>
        </w:tc>
        <w:tc>
          <w:tcPr>
            <w:tcW w:w="929" w:type="dxa"/>
          </w:tcPr>
          <w:p>
            <w:pPr>
              <w:spacing w:before="0" w:after="0" w:line="240" w:lineRule="auto"/>
              <w:jc w:val="left"/>
            </w:pPr>
            <w:r>
              <w:rPr>
                <w:sz w:val="20"/>
                <w:szCs w:val="20"/>
              </w:rPr>
              <w:t xml:space="preserve">11.69</w:t>
            </w:r>
          </w:p>
        </w:tc>
        <w:tc>
          <w:tcPr>
            <w:tcW w:w="1830" w:type="dxa"/>
          </w:tcPr>
          <w:p>
            <w:pPr>
              <w:spacing w:before="0" w:after="0" w:line="240" w:lineRule="auto"/>
              <w:jc w:val="left"/>
            </w:pPr>
            <w:r>
              <w:rPr>
                <w:sz w:val="20"/>
                <w:szCs w:val="20"/>
              </w:rPr>
              <w:t xml:space="preserve">18,632***</w:t>
            </w:r>
          </w:p>
        </w:tc>
      </w:tr>
    </w:tbl>
    <w:p>
      <w:pPr>
        <w:pStyle w:val="Compact"/>
      </w:pPr>
      <w:r>
        <w:rPr>
          <w:sz w:val="20"/>
          <w:szCs w:val="20"/>
        </w:rPr>
        <w:t xml:space="preserve">Notes: Kurt.: non-excess kurtosis; P</w:t>
      </w:r>
      <w:r>
        <w:rPr>
          <w:vertAlign w:val="subscript"/>
          <w:sz w:val="20"/>
          <w:szCs w:val="20"/>
        </w:rPr>
        <w:t xml:space="preserve">cap</w:t>
      </w:r>
      <w:r>
        <w:rPr>
          <w:sz w:val="20"/>
          <w:szCs w:val="20"/>
        </w:rPr>
        <w:t xml:space="preserve">: overlap-purged series of Eq. (6); *** p &lt; 0.01. Source: Authors’ calculations based on HOSE index data (TradingView).</w:t>
      </w:r>
    </w:p>
    <w:p>
      <w:pPr>
        <w:pStyle w:val="BodyText"/>
        <w:spacing w:before="0" w:after="120" w:line="300" w:lineRule="auto"/>
        <w:jc w:val="both"/>
      </w:pPr>
      <w:r>
        <w:rPr>
          <w:rFonts w:ascii="Times New Roman" w:hAnsi="Times New Roman" w:cs="Times New Roman" w:eastAsia="Times New Roman"/>
          <w:sz w:val="24"/>
          <w:szCs w:val="24"/>
        </w:rPr>
        <w:t xml:space="preserve">P</w:t>
      </w:r>
      <w:r>
        <w:rPr>
          <w:rFonts w:ascii="Times New Roman" w:hAnsi="Times New Roman" w:cs="Times New Roman" w:eastAsia="Times New Roman"/>
          <w:vertAlign w:val="subscript"/>
          <w:sz w:val="24"/>
          <w:szCs w:val="24"/>
        </w:rPr>
        <w:t xml:space="preserve">cap</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has the highest daily standard deviation (0.0124) and VNINDEX the lowest (0.0115). All series are negatively skewed and leptokurtic (kurtosis above 33 at M30), and the Jarque–Bera test rejects normality for every series. Neither DCCA nor the block bootstrap requires Gaussian returns.</w:t>
      </w:r>
    </w:p>
    <w:p>
      <w:pPr>
        <w:pStyle w:val="tablecaption0"/>
      </w:pPr>
      <w:r>
        <w:rPr>
          <w:bCs/>
          <w:b/>
        </w:rPr>
        <w:t xml:space="preserve">Table 3</w:t>
      </w:r>
      <w:r>
        <w:t xml:space="preserve"> </w:t>
      </w:r>
      <w:r>
        <w:t xml:space="preserve">Finite-sample reliability thresholds of the DCCA coefficient</w:t>
      </w:r>
    </w:p>
    <w:tbl>
      <w:tblPr>
        <w:tblStyle w:val="TableGrid"/>
        <w:tblW w:type="auto" w:w="0"/>
        <w:tblLook w:firstRow="1" w:lastRow="0" w:firstColumn="0" w:lastColumn="0" w:noHBand="0" w:noVBand="0" w:val="0020"/>
        <w:jc w:val="start"/>
      </w:tblPr>
      <w:tblGrid>
        <w:gridCol w:w="2692"/>
        <w:gridCol w:w="1284"/>
        <w:gridCol w:w="2379"/>
        <w:gridCol w:w="3005"/>
      </w:tblGrid>
      <w:tr>
        <w:trPr>
          <w:tblHeader w:val="true"/>
        </w:trPr>
        <w:tc>
          <w:tcPr>
            <w:tcW w:w="2692" w:type="dxa"/>
          </w:tcPr>
          <w:p>
            <w:pPr>
              <w:spacing w:before="0" w:after="0" w:line="240" w:lineRule="auto"/>
              <w:jc w:val="left"/>
            </w:pPr>
            <w:r>
              <w:rPr>
                <w:sz w:val="20"/>
                <w:szCs w:val="20"/>
              </w:rPr>
              <w:t xml:space="preserve">Frequency</w:t>
            </w:r>
          </w:p>
        </w:tc>
        <w:tc>
          <w:tcPr>
            <w:tcW w:w="1284" w:type="dxa"/>
          </w:tcPr>
          <w:p>
            <w:pPr>
              <w:spacing w:before="0" w:after="0" w:line="240" w:lineRule="auto"/>
              <w:jc w:val="left"/>
            </w:pPr>
            <w:r>
              <w:rPr>
                <w:sz w:val="20"/>
                <w:szCs w:val="20"/>
              </w:rPr>
              <w:t xml:space="preserve">N</w:t>
            </w:r>
          </w:p>
        </w:tc>
        <w:tc>
          <w:tcPr>
            <w:tcW w:w="2379" w:type="dxa"/>
          </w:tcPr>
          <w:p>
            <w:pPr>
              <w:spacing w:before="0" w:after="0" w:line="240" w:lineRule="auto"/>
              <w:jc w:val="left"/>
            </w:pPr>
            <w:r>
              <w:rPr>
                <w:sz w:val="20"/>
                <w:szCs w:val="20"/>
              </w:rPr>
              <w:t xml:space="preserve">Gaussian s</w:t>
            </w:r>
            <w:r>
              <w:rPr>
                <w:vertAlign w:val="subscript"/>
                <w:sz w:val="20"/>
                <w:szCs w:val="20"/>
              </w:rPr>
              <w:t xml:space="preserve">rel</w:t>
            </w:r>
          </w:p>
        </w:tc>
        <w:tc>
          <w:tcPr>
            <w:tcW w:w="3005" w:type="dxa"/>
          </w:tcPr>
          <w:p>
            <w:pPr>
              <w:spacing w:before="0" w:after="0" w:line="240" w:lineRule="auto"/>
              <w:jc w:val="left"/>
            </w:pPr>
            <w:r>
              <w:rPr>
                <w:sz w:val="20"/>
                <w:szCs w:val="20"/>
              </w:rPr>
              <w:t xml:space="preserve">Heavy-tailed s</w:t>
            </w:r>
            <w:r>
              <w:rPr>
                <w:vertAlign w:val="subscript"/>
                <w:sz w:val="20"/>
                <w:szCs w:val="20"/>
              </w:rPr>
              <w:t xml:space="preserve">rel</w:t>
            </w:r>
          </w:p>
        </w:tc>
      </w:tr>
      <w:tr>
        <w:tc>
          <w:tcPr>
            <w:tcW w:w="2692" w:type="dxa"/>
          </w:tcPr>
          <w:p>
            <w:pPr>
              <w:spacing w:before="0" w:after="0" w:line="240" w:lineRule="auto"/>
              <w:jc w:val="left"/>
            </w:pPr>
            <w:r>
              <w:rPr>
                <w:sz w:val="20"/>
                <w:szCs w:val="20"/>
              </w:rPr>
              <w:t xml:space="preserve">Daily (1D)</w:t>
            </w:r>
          </w:p>
        </w:tc>
        <w:tc>
          <w:tcPr>
            <w:tcW w:w="1284" w:type="dxa"/>
          </w:tcPr>
          <w:p>
            <w:pPr>
              <w:spacing w:before="0" w:after="0" w:line="240" w:lineRule="auto"/>
              <w:jc w:val="left"/>
            </w:pPr>
            <w:r>
              <w:rPr>
                <w:sz w:val="20"/>
                <w:szCs w:val="20"/>
              </w:rPr>
              <w:t xml:space="preserve">2,963</w:t>
            </w:r>
          </w:p>
        </w:tc>
        <w:tc>
          <w:tcPr>
            <w:tcW w:w="2379" w:type="dxa"/>
          </w:tcPr>
          <w:p>
            <w:pPr>
              <w:spacing w:before="0" w:after="0" w:line="240" w:lineRule="auto"/>
              <w:jc w:val="left"/>
            </w:pPr>
            <w:r>
              <w:rPr>
                <w:sz w:val="20"/>
                <w:szCs w:val="20"/>
              </w:rPr>
              <w:t xml:space="preserve">50</w:t>
            </w:r>
          </w:p>
        </w:tc>
        <w:tc>
          <w:tcPr>
            <w:tcW w:w="3005" w:type="dxa"/>
          </w:tcPr>
          <w:p>
            <w:pPr>
              <w:spacing w:before="0" w:after="0" w:line="240" w:lineRule="auto"/>
              <w:jc w:val="left"/>
            </w:pPr>
            <w:r>
              <w:rPr>
                <w:sz w:val="20"/>
                <w:szCs w:val="20"/>
              </w:rPr>
              <w:t xml:space="preserve">20</w:t>
            </w:r>
          </w:p>
        </w:tc>
      </w:tr>
      <w:tr>
        <w:tc>
          <w:tcPr>
            <w:tcW w:w="2692" w:type="dxa"/>
          </w:tcPr>
          <w:p>
            <w:pPr>
              <w:spacing w:before="0" w:after="0" w:line="240" w:lineRule="auto"/>
              <w:jc w:val="left"/>
            </w:pPr>
            <w:r>
              <w:rPr>
                <w:sz w:val="20"/>
                <w:szCs w:val="20"/>
              </w:rPr>
              <w:t xml:space="preserve">30-minute (M30)</w:t>
            </w:r>
          </w:p>
        </w:tc>
        <w:tc>
          <w:tcPr>
            <w:tcW w:w="1284" w:type="dxa"/>
          </w:tcPr>
          <w:p>
            <w:pPr>
              <w:spacing w:before="0" w:after="0" w:line="240" w:lineRule="auto"/>
              <w:jc w:val="left"/>
            </w:pPr>
            <w:r>
              <w:rPr>
                <w:sz w:val="20"/>
                <w:szCs w:val="20"/>
              </w:rPr>
              <w:t xml:space="preserve">21,942</w:t>
            </w:r>
          </w:p>
        </w:tc>
        <w:tc>
          <w:tcPr>
            <w:tcW w:w="2379" w:type="dxa"/>
          </w:tcPr>
          <w:p>
            <w:pPr>
              <w:spacing w:before="0" w:after="0" w:line="240" w:lineRule="auto"/>
              <w:jc w:val="left"/>
            </w:pPr>
            <w:r>
              <w:rPr>
                <w:sz w:val="20"/>
                <w:szCs w:val="20"/>
              </w:rPr>
              <w:t xml:space="preserve">444</w:t>
            </w:r>
          </w:p>
        </w:tc>
        <w:tc>
          <w:tcPr>
            <w:tcW w:w="3005" w:type="dxa"/>
          </w:tcPr>
          <w:p>
            <w:pPr>
              <w:spacing w:before="0" w:after="0" w:line="240" w:lineRule="auto"/>
              <w:jc w:val="left"/>
            </w:pPr>
            <w:r>
              <w:rPr>
                <w:sz w:val="20"/>
                <w:szCs w:val="20"/>
              </w:rPr>
              <w:t xml:space="preserve">151</w:t>
            </w:r>
          </w:p>
        </w:tc>
      </w:tr>
      <w:tr>
        <w:tc>
          <w:tcPr>
            <w:tcW w:w="2692" w:type="dxa"/>
          </w:tcPr>
          <w:p>
            <w:pPr>
              <w:spacing w:before="0" w:after="0" w:line="240" w:lineRule="auto"/>
              <w:jc w:val="left"/>
            </w:pPr>
            <w:r>
              <w:rPr>
                <w:sz w:val="20"/>
                <w:szCs w:val="20"/>
              </w:rPr>
              <w:t xml:space="preserve">1-hour (H1)</w:t>
            </w:r>
          </w:p>
        </w:tc>
        <w:tc>
          <w:tcPr>
            <w:tcW w:w="1284" w:type="dxa"/>
          </w:tcPr>
          <w:p>
            <w:pPr>
              <w:spacing w:before="0" w:after="0" w:line="240" w:lineRule="auto"/>
              <w:jc w:val="left"/>
            </w:pPr>
            <w:r>
              <w:rPr>
                <w:sz w:val="20"/>
                <w:szCs w:val="20"/>
              </w:rPr>
              <w:t xml:space="preserve">13,523</w:t>
            </w:r>
          </w:p>
        </w:tc>
        <w:tc>
          <w:tcPr>
            <w:tcW w:w="2379" w:type="dxa"/>
          </w:tcPr>
          <w:p>
            <w:pPr>
              <w:spacing w:before="0" w:after="0" w:line="240" w:lineRule="auto"/>
              <w:jc w:val="left"/>
            </w:pPr>
            <w:r>
              <w:rPr>
                <w:sz w:val="20"/>
                <w:szCs w:val="20"/>
              </w:rPr>
              <w:t xml:space="preserve">233</w:t>
            </w:r>
          </w:p>
        </w:tc>
        <w:tc>
          <w:tcPr>
            <w:tcW w:w="3005" w:type="dxa"/>
          </w:tcPr>
          <w:p>
            <w:pPr>
              <w:spacing w:before="0" w:after="0" w:line="240" w:lineRule="auto"/>
              <w:jc w:val="left"/>
            </w:pPr>
            <w:r>
              <w:rPr>
                <w:sz w:val="20"/>
                <w:szCs w:val="20"/>
              </w:rPr>
              <w:t xml:space="preserve">86</w:t>
            </w:r>
          </w:p>
        </w:tc>
      </w:tr>
      <w:tr>
        <w:tc>
          <w:tcPr>
            <w:tcW w:w="2692" w:type="dxa"/>
          </w:tcPr>
          <w:p>
            <w:pPr>
              <w:spacing w:before="0" w:after="0" w:line="240" w:lineRule="auto"/>
              <w:jc w:val="left"/>
            </w:pPr>
            <w:r>
              <w:rPr>
                <w:sz w:val="20"/>
                <w:szCs w:val="20"/>
              </w:rPr>
              <w:t xml:space="preserve">4-hour (H4)</w:t>
            </w:r>
          </w:p>
        </w:tc>
        <w:tc>
          <w:tcPr>
            <w:tcW w:w="1284" w:type="dxa"/>
          </w:tcPr>
          <w:p>
            <w:pPr>
              <w:spacing w:before="0" w:after="0" w:line="240" w:lineRule="auto"/>
              <w:jc w:val="left"/>
            </w:pPr>
            <w:r>
              <w:rPr>
                <w:sz w:val="20"/>
                <w:szCs w:val="20"/>
              </w:rPr>
              <w:t xml:space="preserve">5,410</w:t>
            </w:r>
          </w:p>
        </w:tc>
        <w:tc>
          <w:tcPr>
            <w:tcW w:w="2379" w:type="dxa"/>
          </w:tcPr>
          <w:p>
            <w:pPr>
              <w:spacing w:before="0" w:after="0" w:line="240" w:lineRule="auto"/>
              <w:jc w:val="left"/>
            </w:pPr>
            <w:r>
              <w:rPr>
                <w:sz w:val="20"/>
                <w:szCs w:val="20"/>
              </w:rPr>
              <w:t xml:space="preserve">88</w:t>
            </w:r>
          </w:p>
        </w:tc>
        <w:tc>
          <w:tcPr>
            <w:tcW w:w="3005" w:type="dxa"/>
          </w:tcPr>
          <w:p>
            <w:pPr>
              <w:spacing w:before="0" w:after="0" w:line="240" w:lineRule="auto"/>
              <w:jc w:val="left"/>
            </w:pPr>
            <w:r>
              <w:rPr>
                <w:sz w:val="20"/>
                <w:szCs w:val="20"/>
              </w:rPr>
              <w:t xml:space="preserve">28</w:t>
            </w:r>
          </w:p>
        </w:tc>
      </w:tr>
    </w:tbl>
    <w:p>
      <w:pPr>
        <w:pStyle w:val="Compact"/>
      </w:pPr>
      <w:r>
        <w:rPr>
          <w:sz w:val="20"/>
          <w:szCs w:val="20"/>
        </w:rPr>
        <w:t xml:space="preserve">Notes: DCCA: detrended cross-correlation analysis; s</w:t>
      </w:r>
      <w:r>
        <w:rPr>
          <w:vertAlign w:val="subscript"/>
          <w:sz w:val="20"/>
          <w:szCs w:val="20"/>
        </w:rPr>
        <w:t xml:space="preserve">rel</w:t>
      </w:r>
      <w:r>
        <w:rPr>
          <w:sz w:val="20"/>
          <w:szCs w:val="20"/>
        </w:rPr>
        <w:t xml:space="preserve">: largest scale (bars) at which the worst-case mean absolute error stays below 0.05; Gaussian: 1,002 white-noise simulations; heavy-tailed: 300 GARCH(1,1)-t(5) simulations (generalized autoregressive conditional heteroskedasticity). Source: Authors’ calculations.</w:t>
      </w:r>
    </w:p>
    <w:p>
      <w:pPr>
        <w:pStyle w:val="BodyText"/>
        <w:spacing w:before="0" w:after="120" w:line="300" w:lineRule="auto"/>
        <w:jc w:val="both"/>
      </w:pPr>
      <w:r>
        <w:rPr>
          <w:rFonts w:ascii="Times New Roman" w:hAnsi="Times New Roman" w:cs="Times New Roman" w:eastAsia="Times New Roman"/>
          <w:sz w:val="24"/>
          <w:szCs w:val="24"/>
        </w:rPr>
        <w:t xml:space="preserve">Gaussian thresholds range from 50 days at 1D to 444 bars at M30, and heavy tails cut them by about two-thirds. Averages below use the Gaussian thresholds. Over the heavy-tailed ranges, the nested averages become 0.975–0.979 and the purged average 0.882–0.890, so no conclusion depends on the choice.</w:t>
      </w:r>
    </w:p>
    <w:p>
      <w:pPr>
        <w:pStyle w:val="heading20"/>
        <w:numPr>
          <w:ilvl w:val="0"/>
          <w:numId w:val="0"/>
        </w:numPr>
      </w:pPr>
      <w:r>
        <w:rPr>
          <w:rFonts w:ascii="Times New Roman" w:hAnsi="Times New Roman" w:cs="Times New Roman" w:eastAsia="Times New Roman"/>
          <w:b/>
          <w:sz w:val="24"/>
          <w:szCs w:val="24"/>
        </w:rPr>
        <w:t xml:space="preserve">5.2 The overlap gap (H1)</w:t>
      </w:r>
    </w:p>
    <w:p>
      <w:pPr>
        <w:pStyle w:val="p1a"/>
        <w:spacing w:before="0" w:after="120" w:line="300" w:lineRule="auto"/>
        <w:jc w:val="both"/>
      </w:pPr>
      <w:r>
        <w:rPr>
          <w:rFonts w:ascii="Times New Roman" w:hAnsi="Times New Roman" w:cs="Times New Roman" w:eastAsia="Times New Roman"/>
          <w:sz w:val="24"/>
          <w:szCs w:val="24"/>
        </w:rPr>
        <w:t xml:space="preserve">Table 4 compares nested and purged coefficients; Fig. 2 shows the curves with bootstrap bands.</w:t>
      </w:r>
    </w:p>
    <w:p>
      <w:pPr>
        <w:pStyle w:val="tablecaption0"/>
      </w:pPr>
      <w:r>
        <w:rPr>
          <w:bCs/>
          <w:b/>
        </w:rPr>
        <w:t xml:space="preserve">Table 4</w:t>
      </w:r>
      <w:r>
        <w:t xml:space="preserve"> </w:t>
      </w:r>
      <w:r>
        <w:t xml:space="preserve">Average DCCA coefficients of the nested pairs and the overlap-purged pair</w:t>
      </w:r>
    </w:p>
    <w:tbl>
      <w:tblPr>
        <w:tblStyle w:val="TableGrid"/>
        <w:tblW w:type="pct" w:w="5000"/>
        <w:tblLook w:firstRow="1" w:lastRow="0" w:firstColumn="0" w:lastColumn="0" w:noHBand="0" w:noVBand="0" w:val="0020"/>
        <w:jc w:val="start"/>
      </w:tblPr>
      <w:tblGrid>
        <w:gridCol w:w="1358"/>
        <w:gridCol w:w="1014"/>
        <w:gridCol w:w="910"/>
        <w:gridCol w:w="878"/>
        <w:gridCol w:w="1470"/>
        <w:gridCol w:w="1566"/>
        <w:gridCol w:w="1310"/>
        <w:gridCol w:w="854"/>
      </w:tblGrid>
      <w:tr>
        <w:trPr>
          <w:tblHeader w:val="true"/>
        </w:trPr>
        <w:tc>
          <w:tcPr>
            <w:tcW w:w="1358" w:type="dxa"/>
          </w:tcPr>
          <w:p>
            <w:pPr>
              <w:spacing w:before="0" w:after="0" w:line="240" w:lineRule="auto"/>
              <w:jc w:val="left"/>
            </w:pPr>
            <w:r>
              <w:rPr>
                <w:sz w:val="20"/>
                <w:szCs w:val="20"/>
              </w:rPr>
              <w:t xml:space="preserve">Frequency</w:t>
            </w:r>
          </w:p>
        </w:tc>
        <w:tc>
          <w:tcPr>
            <w:tcW w:w="1014" w:type="dxa"/>
          </w:tcPr>
          <w:p>
            <w:pPr>
              <w:spacing w:before="0" w:after="0" w:line="240" w:lineRule="auto"/>
              <w:jc w:val="left"/>
            </w:pPr>
            <w:r>
              <w:rPr>
                <w:sz w:val="20"/>
                <w:szCs w:val="20"/>
              </w:rPr>
              <w:t xml:space="preserve">Nested mean</w:t>
            </w:r>
          </w:p>
        </w:tc>
        <w:tc>
          <w:tcPr>
            <w:tcW w:w="910" w:type="dxa"/>
          </w:tcPr>
          <w:p>
            <w:pPr>
              <w:spacing w:before="0" w:after="0" w:line="240" w:lineRule="auto"/>
              <w:jc w:val="left"/>
            </w:pPr>
            <w:r>
              <w:rPr>
                <w:sz w:val="20"/>
                <w:szCs w:val="20"/>
              </w:rPr>
              <w:t xml:space="preserve">VN30–VN100</w:t>
            </w:r>
          </w:p>
        </w:tc>
        <w:tc>
          <w:tcPr>
            <w:tcW w:w="878" w:type="dxa"/>
          </w:tcPr>
          <w:p>
            <w:pPr>
              <w:spacing w:before="0" w:after="0" w:line="240" w:lineRule="auto"/>
              <w:jc w:val="left"/>
            </w:pPr>
            <w:r>
              <w:rPr>
                <w:sz w:val="20"/>
                <w:szCs w:val="20"/>
              </w:rPr>
              <w:t xml:space="preserve">P</w:t>
            </w:r>
            <w:r>
              <w:rPr>
                <w:vertAlign w:val="subscript"/>
                <w:sz w:val="20"/>
                <w:szCs w:val="20"/>
              </w:rPr>
              <w:t xml:space="preserve">cap</w:t>
            </w:r>
            <w:r>
              <w:rPr>
                <w:sz w:val="20"/>
                <w:szCs w:val="20"/>
              </w:rPr>
              <w:t xml:space="preserve">–VN30</w:t>
            </w:r>
          </w:p>
        </w:tc>
        <w:tc>
          <w:tcPr>
            <w:tcW w:w="1470" w:type="dxa"/>
          </w:tcPr>
          <w:p>
            <w:pPr>
              <w:spacing w:before="0" w:after="0" w:line="240" w:lineRule="auto"/>
              <w:jc w:val="left"/>
            </w:pPr>
            <w:r>
              <w:rPr>
                <w:sz w:val="20"/>
                <w:szCs w:val="20"/>
              </w:rPr>
              <w:t xml:space="preserve">Three-pair gap [95% CI]</w:t>
            </w:r>
          </w:p>
        </w:tc>
        <w:tc>
          <w:tcPr>
            <w:tcW w:w="1566" w:type="dxa"/>
          </w:tcPr>
          <w:p>
            <w:pPr>
              <w:spacing w:before="0" w:after="0" w:line="240" w:lineRule="auto"/>
              <w:jc w:val="left"/>
            </w:pPr>
            <w:r>
              <w:rPr>
                <w:sz w:val="20"/>
                <w:szCs w:val="20"/>
              </w:rPr>
              <w:t xml:space="preserve">Like-for-like gap [95% CI]</w:t>
            </w:r>
          </w:p>
        </w:tc>
        <w:tc>
          <w:tcPr>
            <w:tcW w:w="1310" w:type="dxa"/>
          </w:tcPr>
          <w:p>
            <w:pPr>
              <w:spacing w:before="0" w:after="0" w:line="240" w:lineRule="auto"/>
              <w:jc w:val="left"/>
            </w:pPr>
            <w:r>
              <w:rPr>
                <w:sz w:val="20"/>
                <w:szCs w:val="20"/>
              </w:rPr>
              <w:t xml:space="preserve">Cohen’s q [95% CI]</w:t>
            </w:r>
          </w:p>
        </w:tc>
        <w:tc>
          <w:tcPr>
            <w:tcW w:w="854" w:type="dxa"/>
          </w:tcPr>
          <w:p>
            <w:pPr>
              <w:spacing w:before="0" w:after="0" w:line="240" w:lineRule="auto"/>
              <w:jc w:val="left"/>
            </w:pPr>
            <w:r>
              <w:rPr>
                <w:sz w:val="20"/>
                <w:szCs w:val="20"/>
              </w:rPr>
              <w:t xml:space="preserve">N</w:t>
            </w:r>
          </w:p>
        </w:tc>
      </w:tr>
      <w:tr>
        <w:tc>
          <w:tcPr>
            <w:tcW w:w="9360" w:type="dxa"/>
            <w:gridSpan w:val="8"/>
          </w:tcPr>
          <w:p>
            <w:pPr>
              <w:spacing w:before="0" w:after="0" w:line="240" w:lineRule="auto"/>
              <w:jc w:val="left"/>
            </w:pPr>
            <w:r>
              <w:rPr>
                <w:iCs/>
                <w:i/>
                <w:sz w:val="20"/>
                <w:szCs w:val="20"/>
              </w:rPr>
              <w:t xml:space="preserve">Panel A: synchronized window, 2017–2024</w:t>
            </w:r>
          </w:p>
        </w:tc>
      </w:tr>
      <w:tr>
        <w:tc>
          <w:tcPr>
            <w:tcW w:w="1358" w:type="dxa"/>
          </w:tcPr>
          <w:p>
            <w:pPr>
              <w:spacing w:before="0" w:after="0" w:line="240" w:lineRule="auto"/>
              <w:jc w:val="left"/>
            </w:pPr>
            <w:r>
              <w:rPr>
                <w:sz w:val="20"/>
                <w:szCs w:val="20"/>
              </w:rPr>
              <w:t xml:space="preserve">Daily (1D)</w:t>
            </w:r>
          </w:p>
        </w:tc>
        <w:tc>
          <w:tcPr>
            <w:tcW w:w="1014" w:type="dxa"/>
          </w:tcPr>
          <w:p>
            <w:pPr>
              <w:spacing w:before="0" w:after="0" w:line="240" w:lineRule="auto"/>
              <w:jc w:val="left"/>
            </w:pPr>
            <w:r>
              <w:rPr>
                <w:sz w:val="20"/>
                <w:szCs w:val="20"/>
              </w:rPr>
              <w:t xml:space="preserve">0.980</w:t>
            </w:r>
          </w:p>
        </w:tc>
        <w:tc>
          <w:tcPr>
            <w:tcW w:w="910" w:type="dxa"/>
          </w:tcPr>
          <w:p>
            <w:pPr>
              <w:spacing w:before="0" w:after="0" w:line="240" w:lineRule="auto"/>
              <w:jc w:val="left"/>
            </w:pPr>
            <w:r>
              <w:rPr>
                <w:sz w:val="20"/>
                <w:szCs w:val="20"/>
              </w:rPr>
              <w:t xml:space="preserve">0.988</w:t>
            </w:r>
          </w:p>
        </w:tc>
        <w:tc>
          <w:tcPr>
            <w:tcW w:w="878" w:type="dxa"/>
          </w:tcPr>
          <w:p>
            <w:pPr>
              <w:spacing w:before="0" w:after="0" w:line="240" w:lineRule="auto"/>
              <w:jc w:val="left"/>
            </w:pPr>
            <w:r>
              <w:rPr>
                <w:sz w:val="20"/>
                <w:szCs w:val="20"/>
              </w:rPr>
              <w:t xml:space="preserve">0.890</w:t>
            </w:r>
          </w:p>
        </w:tc>
        <w:tc>
          <w:tcPr>
            <w:tcW w:w="1470" w:type="dxa"/>
          </w:tcPr>
          <w:p>
            <w:pPr>
              <w:spacing w:before="0" w:after="0" w:line="240" w:lineRule="auto"/>
              <w:jc w:val="left"/>
            </w:pPr>
            <w:r>
              <w:rPr>
                <w:sz w:val="20"/>
                <w:szCs w:val="20"/>
              </w:rPr>
              <w:t xml:space="preserve">0.090</w:t>
            </w:r>
          </w:p>
        </w:tc>
        <w:tc>
          <w:tcPr>
            <w:tcW w:w="1566" w:type="dxa"/>
          </w:tcPr>
          <w:p>
            <w:pPr>
              <w:spacing w:before="0" w:after="0" w:line="240" w:lineRule="auto"/>
            </w:pPr>
          </w:p>
        </w:tc>
        <w:tc>
          <w:tcPr>
            <w:tcW w:w="1310" w:type="dxa"/>
          </w:tcPr>
          <w:p>
            <w:pPr>
              <w:spacing w:before="0" w:after="0" w:line="240" w:lineRule="auto"/>
            </w:pPr>
          </w:p>
        </w:tc>
        <w:tc>
          <w:tcPr>
            <w:tcW w:w="854" w:type="dxa"/>
          </w:tcPr>
          <w:p>
            <w:pPr>
              <w:spacing w:before="0" w:after="0" w:line="240" w:lineRule="auto"/>
              <w:jc w:val="left"/>
            </w:pPr>
            <w:r>
              <w:rPr>
                <w:sz w:val="20"/>
                <w:szCs w:val="20"/>
              </w:rPr>
              <w:t xml:space="preserve">1,983</w:t>
            </w:r>
          </w:p>
        </w:tc>
      </w:tr>
      <w:tr>
        <w:tc>
          <w:tcPr>
            <w:tcW w:w="1358" w:type="dxa"/>
          </w:tcPr>
          <w:p>
            <w:pPr>
              <w:spacing w:before="0" w:after="0" w:line="240" w:lineRule="auto"/>
              <w:jc w:val="left"/>
            </w:pPr>
            <w:r>
              <w:rPr>
                <w:sz w:val="20"/>
                <w:szCs w:val="20"/>
              </w:rPr>
              <w:t xml:space="preserve">30-minute (M30)</w:t>
            </w:r>
          </w:p>
        </w:tc>
        <w:tc>
          <w:tcPr>
            <w:tcW w:w="1014" w:type="dxa"/>
          </w:tcPr>
          <w:p>
            <w:pPr>
              <w:spacing w:before="0" w:after="0" w:line="240" w:lineRule="auto"/>
              <w:jc w:val="left"/>
            </w:pPr>
            <w:r>
              <w:rPr>
                <w:sz w:val="20"/>
                <w:szCs w:val="20"/>
              </w:rPr>
              <w:t xml:space="preserve">0.979</w:t>
            </w:r>
          </w:p>
        </w:tc>
        <w:tc>
          <w:tcPr>
            <w:tcW w:w="910" w:type="dxa"/>
          </w:tcPr>
          <w:p>
            <w:pPr>
              <w:spacing w:before="0" w:after="0" w:line="240" w:lineRule="auto"/>
              <w:jc w:val="left"/>
            </w:pPr>
            <w:r>
              <w:rPr>
                <w:sz w:val="20"/>
                <w:szCs w:val="20"/>
              </w:rPr>
              <w:t xml:space="preserve">0.988</w:t>
            </w:r>
          </w:p>
        </w:tc>
        <w:tc>
          <w:tcPr>
            <w:tcW w:w="878" w:type="dxa"/>
          </w:tcPr>
          <w:p>
            <w:pPr>
              <w:spacing w:before="0" w:after="0" w:line="240" w:lineRule="auto"/>
              <w:jc w:val="left"/>
            </w:pPr>
            <w:r>
              <w:rPr>
                <w:sz w:val="20"/>
                <w:szCs w:val="20"/>
              </w:rPr>
              <w:t xml:space="preserve">0.890</w:t>
            </w:r>
          </w:p>
        </w:tc>
        <w:tc>
          <w:tcPr>
            <w:tcW w:w="1470" w:type="dxa"/>
          </w:tcPr>
          <w:p>
            <w:pPr>
              <w:spacing w:before="0" w:after="0" w:line="240" w:lineRule="auto"/>
              <w:jc w:val="left"/>
            </w:pPr>
            <w:r>
              <w:rPr>
                <w:sz w:val="20"/>
                <w:szCs w:val="20"/>
              </w:rPr>
              <w:t xml:space="preserve">0.089</w:t>
            </w:r>
          </w:p>
        </w:tc>
        <w:tc>
          <w:tcPr>
            <w:tcW w:w="1566" w:type="dxa"/>
          </w:tcPr>
          <w:p>
            <w:pPr>
              <w:spacing w:before="0" w:after="0" w:line="240" w:lineRule="auto"/>
            </w:pPr>
          </w:p>
        </w:tc>
        <w:tc>
          <w:tcPr>
            <w:tcW w:w="1310" w:type="dxa"/>
          </w:tcPr>
          <w:p>
            <w:pPr>
              <w:spacing w:before="0" w:after="0" w:line="240" w:lineRule="auto"/>
            </w:pPr>
          </w:p>
        </w:tc>
        <w:tc>
          <w:tcPr>
            <w:tcW w:w="854" w:type="dxa"/>
          </w:tcPr>
          <w:p>
            <w:pPr>
              <w:spacing w:before="0" w:after="0" w:line="240" w:lineRule="auto"/>
              <w:jc w:val="left"/>
            </w:pPr>
            <w:r>
              <w:rPr>
                <w:sz w:val="20"/>
                <w:szCs w:val="20"/>
              </w:rPr>
              <w:t xml:space="preserve">19,463</w:t>
            </w:r>
          </w:p>
        </w:tc>
      </w:tr>
      <w:tr>
        <w:tc>
          <w:tcPr>
            <w:tcW w:w="1358" w:type="dxa"/>
          </w:tcPr>
          <w:p>
            <w:pPr>
              <w:spacing w:before="0" w:after="0" w:line="240" w:lineRule="auto"/>
              <w:jc w:val="left"/>
            </w:pPr>
            <w:r>
              <w:rPr>
                <w:sz w:val="20"/>
                <w:szCs w:val="20"/>
              </w:rPr>
              <w:t xml:space="preserve">1-hour (H1)</w:t>
            </w:r>
          </w:p>
        </w:tc>
        <w:tc>
          <w:tcPr>
            <w:tcW w:w="1014" w:type="dxa"/>
          </w:tcPr>
          <w:p>
            <w:pPr>
              <w:spacing w:before="0" w:after="0" w:line="240" w:lineRule="auto"/>
              <w:jc w:val="left"/>
            </w:pPr>
            <w:r>
              <w:rPr>
                <w:sz w:val="20"/>
                <w:szCs w:val="20"/>
              </w:rPr>
              <w:t xml:space="preserve">0.979</w:t>
            </w:r>
          </w:p>
        </w:tc>
        <w:tc>
          <w:tcPr>
            <w:tcW w:w="910" w:type="dxa"/>
          </w:tcPr>
          <w:p>
            <w:pPr>
              <w:spacing w:before="0" w:after="0" w:line="240" w:lineRule="auto"/>
              <w:jc w:val="left"/>
            </w:pPr>
            <w:r>
              <w:rPr>
                <w:sz w:val="20"/>
                <w:szCs w:val="20"/>
              </w:rPr>
              <w:t xml:space="preserve">0.988</w:t>
            </w:r>
          </w:p>
        </w:tc>
        <w:tc>
          <w:tcPr>
            <w:tcW w:w="878" w:type="dxa"/>
          </w:tcPr>
          <w:p>
            <w:pPr>
              <w:spacing w:before="0" w:after="0" w:line="240" w:lineRule="auto"/>
              <w:jc w:val="left"/>
            </w:pPr>
            <w:r>
              <w:rPr>
                <w:sz w:val="20"/>
                <w:szCs w:val="20"/>
              </w:rPr>
              <w:t xml:space="preserve">0.891</w:t>
            </w:r>
          </w:p>
        </w:tc>
        <w:tc>
          <w:tcPr>
            <w:tcW w:w="1470" w:type="dxa"/>
          </w:tcPr>
          <w:p>
            <w:pPr>
              <w:spacing w:before="0" w:after="0" w:line="240" w:lineRule="auto"/>
              <w:jc w:val="left"/>
            </w:pPr>
            <w:r>
              <w:rPr>
                <w:sz w:val="20"/>
                <w:szCs w:val="20"/>
              </w:rPr>
              <w:t xml:space="preserve">0.089</w:t>
            </w:r>
          </w:p>
        </w:tc>
        <w:tc>
          <w:tcPr>
            <w:tcW w:w="1566" w:type="dxa"/>
          </w:tcPr>
          <w:p>
            <w:pPr>
              <w:spacing w:before="0" w:after="0" w:line="240" w:lineRule="auto"/>
            </w:pPr>
          </w:p>
        </w:tc>
        <w:tc>
          <w:tcPr>
            <w:tcW w:w="1310" w:type="dxa"/>
          </w:tcPr>
          <w:p>
            <w:pPr>
              <w:spacing w:before="0" w:after="0" w:line="240" w:lineRule="auto"/>
            </w:pPr>
          </w:p>
        </w:tc>
        <w:tc>
          <w:tcPr>
            <w:tcW w:w="854" w:type="dxa"/>
          </w:tcPr>
          <w:p>
            <w:pPr>
              <w:spacing w:before="0" w:after="0" w:line="240" w:lineRule="auto"/>
              <w:jc w:val="left"/>
            </w:pPr>
            <w:r>
              <w:rPr>
                <w:sz w:val="20"/>
                <w:szCs w:val="20"/>
              </w:rPr>
              <w:t xml:space="preserve">9,879</w:t>
            </w:r>
          </w:p>
        </w:tc>
      </w:tr>
      <w:tr>
        <w:tc>
          <w:tcPr>
            <w:tcW w:w="1358" w:type="dxa"/>
          </w:tcPr>
          <w:p>
            <w:pPr>
              <w:spacing w:before="0" w:after="0" w:line="240" w:lineRule="auto"/>
              <w:jc w:val="left"/>
            </w:pPr>
            <w:r>
              <w:rPr>
                <w:sz w:val="20"/>
                <w:szCs w:val="20"/>
              </w:rPr>
              <w:t xml:space="preserve">4-hour (H4)</w:t>
            </w:r>
          </w:p>
        </w:tc>
        <w:tc>
          <w:tcPr>
            <w:tcW w:w="1014" w:type="dxa"/>
          </w:tcPr>
          <w:p>
            <w:pPr>
              <w:spacing w:before="0" w:after="0" w:line="240" w:lineRule="auto"/>
              <w:jc w:val="left"/>
            </w:pPr>
            <w:r>
              <w:rPr>
                <w:sz w:val="20"/>
                <w:szCs w:val="20"/>
              </w:rPr>
              <w:t xml:space="preserve">0.980</w:t>
            </w:r>
          </w:p>
        </w:tc>
        <w:tc>
          <w:tcPr>
            <w:tcW w:w="910" w:type="dxa"/>
          </w:tcPr>
          <w:p>
            <w:pPr>
              <w:spacing w:before="0" w:after="0" w:line="240" w:lineRule="auto"/>
              <w:jc w:val="left"/>
            </w:pPr>
            <w:r>
              <w:rPr>
                <w:sz w:val="20"/>
                <w:szCs w:val="20"/>
              </w:rPr>
              <w:t xml:space="preserve">0.988</w:t>
            </w:r>
          </w:p>
        </w:tc>
        <w:tc>
          <w:tcPr>
            <w:tcW w:w="878" w:type="dxa"/>
          </w:tcPr>
          <w:p>
            <w:pPr>
              <w:spacing w:before="0" w:after="0" w:line="240" w:lineRule="auto"/>
              <w:jc w:val="left"/>
            </w:pPr>
            <w:r>
              <w:rPr>
                <w:sz w:val="20"/>
                <w:szCs w:val="20"/>
              </w:rPr>
              <w:t xml:space="preserve">0.892</w:t>
            </w:r>
          </w:p>
        </w:tc>
        <w:tc>
          <w:tcPr>
            <w:tcW w:w="1470" w:type="dxa"/>
          </w:tcPr>
          <w:p>
            <w:pPr>
              <w:spacing w:before="0" w:after="0" w:line="240" w:lineRule="auto"/>
              <w:jc w:val="left"/>
            </w:pPr>
            <w:r>
              <w:rPr>
                <w:sz w:val="20"/>
                <w:szCs w:val="20"/>
              </w:rPr>
              <w:t xml:space="preserve">0.089</w:t>
            </w:r>
          </w:p>
        </w:tc>
        <w:tc>
          <w:tcPr>
            <w:tcW w:w="1566" w:type="dxa"/>
          </w:tcPr>
          <w:p>
            <w:pPr>
              <w:spacing w:before="0" w:after="0" w:line="240" w:lineRule="auto"/>
            </w:pPr>
          </w:p>
        </w:tc>
        <w:tc>
          <w:tcPr>
            <w:tcW w:w="1310" w:type="dxa"/>
          </w:tcPr>
          <w:p>
            <w:pPr>
              <w:spacing w:before="0" w:after="0" w:line="240" w:lineRule="auto"/>
            </w:pPr>
          </w:p>
        </w:tc>
        <w:tc>
          <w:tcPr>
            <w:tcW w:w="854" w:type="dxa"/>
          </w:tcPr>
          <w:p>
            <w:pPr>
              <w:spacing w:before="0" w:after="0" w:line="240" w:lineRule="auto"/>
              <w:jc w:val="left"/>
            </w:pPr>
            <w:r>
              <w:rPr>
                <w:sz w:val="20"/>
                <w:szCs w:val="20"/>
              </w:rPr>
              <w:t xml:space="preserve">3,953</w:t>
            </w:r>
          </w:p>
        </w:tc>
      </w:tr>
      <w:tr>
        <w:tc>
          <w:tcPr>
            <w:tcW w:w="9360" w:type="dxa"/>
            <w:gridSpan w:val="8"/>
          </w:tcPr>
          <w:p>
            <w:pPr>
              <w:spacing w:before="0" w:after="0" w:line="240" w:lineRule="auto"/>
              <w:jc w:val="left"/>
            </w:pPr>
            <w:r>
              <w:rPr>
                <w:iCs/>
                <w:i/>
                <w:sz w:val="20"/>
                <w:szCs w:val="20"/>
              </w:rPr>
              <w:t xml:space="preserve">Panel B: full sample, 2014–2025</w:t>
            </w:r>
          </w:p>
        </w:tc>
      </w:tr>
      <w:tr>
        <w:tc>
          <w:tcPr>
            <w:tcW w:w="1358" w:type="dxa"/>
          </w:tcPr>
          <w:p>
            <w:pPr>
              <w:spacing w:before="0" w:after="0" w:line="240" w:lineRule="auto"/>
              <w:jc w:val="left"/>
            </w:pPr>
            <w:r>
              <w:rPr>
                <w:sz w:val="20"/>
                <w:szCs w:val="20"/>
              </w:rPr>
              <w:t xml:space="preserve">Daily (1D)</w:t>
            </w:r>
          </w:p>
        </w:tc>
        <w:tc>
          <w:tcPr>
            <w:tcW w:w="1014" w:type="dxa"/>
          </w:tcPr>
          <w:p>
            <w:pPr>
              <w:spacing w:before="0" w:after="0" w:line="240" w:lineRule="auto"/>
              <w:jc w:val="left"/>
            </w:pPr>
            <w:r>
              <w:rPr>
                <w:sz w:val="20"/>
                <w:szCs w:val="20"/>
              </w:rPr>
              <w:t xml:space="preserve">0.977</w:t>
            </w:r>
          </w:p>
        </w:tc>
        <w:tc>
          <w:tcPr>
            <w:tcW w:w="910" w:type="dxa"/>
          </w:tcPr>
          <w:p>
            <w:pPr>
              <w:spacing w:before="0" w:after="0" w:line="240" w:lineRule="auto"/>
              <w:jc w:val="left"/>
            </w:pPr>
            <w:r>
              <w:rPr>
                <w:sz w:val="20"/>
                <w:szCs w:val="20"/>
              </w:rPr>
              <w:t xml:space="preserve">0.988</w:t>
            </w:r>
          </w:p>
        </w:tc>
        <w:tc>
          <w:tcPr>
            <w:tcW w:w="878" w:type="dxa"/>
          </w:tcPr>
          <w:p>
            <w:pPr>
              <w:spacing w:before="0" w:after="0" w:line="240" w:lineRule="auto"/>
              <w:jc w:val="left"/>
            </w:pPr>
            <w:r>
              <w:rPr>
                <w:sz w:val="20"/>
                <w:szCs w:val="20"/>
              </w:rPr>
              <w:t xml:space="preserve">0.884</w:t>
            </w:r>
          </w:p>
        </w:tc>
        <w:tc>
          <w:tcPr>
            <w:tcW w:w="1470" w:type="dxa"/>
          </w:tcPr>
          <w:p>
            <w:pPr>
              <w:spacing w:before="0" w:after="0" w:line="240" w:lineRule="auto"/>
              <w:jc w:val="left"/>
            </w:pPr>
            <w:r>
              <w:rPr>
                <w:sz w:val="20"/>
                <w:szCs w:val="20"/>
              </w:rPr>
              <w:t xml:space="preserve">0.093 [0.074, 0.115]</w:t>
            </w:r>
          </w:p>
        </w:tc>
        <w:tc>
          <w:tcPr>
            <w:tcW w:w="1566" w:type="dxa"/>
          </w:tcPr>
          <w:p>
            <w:pPr>
              <w:spacing w:before="0" w:after="0" w:line="240" w:lineRule="auto"/>
              <w:jc w:val="left"/>
            </w:pPr>
            <w:r>
              <w:rPr>
                <w:sz w:val="20"/>
                <w:szCs w:val="20"/>
              </w:rPr>
              <w:t xml:space="preserve">0.104 [0.085, 0.128]</w:t>
            </w:r>
          </w:p>
        </w:tc>
        <w:tc>
          <w:tcPr>
            <w:tcW w:w="1310" w:type="dxa"/>
          </w:tcPr>
          <w:p>
            <w:pPr>
              <w:spacing w:before="0" w:after="0" w:line="240" w:lineRule="auto"/>
              <w:jc w:val="left"/>
            </w:pPr>
            <w:r>
              <w:rPr>
                <w:sz w:val="20"/>
                <w:szCs w:val="20"/>
              </w:rPr>
              <w:t xml:space="preserve">0.83 [0.75, 0.89]</w:t>
            </w:r>
          </w:p>
        </w:tc>
        <w:tc>
          <w:tcPr>
            <w:tcW w:w="854" w:type="dxa"/>
          </w:tcPr>
          <w:p>
            <w:pPr>
              <w:spacing w:before="0" w:after="0" w:line="240" w:lineRule="auto"/>
              <w:jc w:val="left"/>
            </w:pPr>
            <w:r>
              <w:rPr>
                <w:sz w:val="20"/>
                <w:szCs w:val="20"/>
              </w:rPr>
              <w:t xml:space="preserve">2,963</w:t>
            </w:r>
          </w:p>
        </w:tc>
      </w:tr>
      <w:tr>
        <w:tc>
          <w:tcPr>
            <w:tcW w:w="1358" w:type="dxa"/>
          </w:tcPr>
          <w:p>
            <w:pPr>
              <w:spacing w:before="0" w:after="0" w:line="240" w:lineRule="auto"/>
              <w:jc w:val="left"/>
            </w:pPr>
            <w:r>
              <w:rPr>
                <w:sz w:val="20"/>
                <w:szCs w:val="20"/>
              </w:rPr>
              <w:t xml:space="preserve">30-minute (M30)</w:t>
            </w:r>
          </w:p>
        </w:tc>
        <w:tc>
          <w:tcPr>
            <w:tcW w:w="1014" w:type="dxa"/>
          </w:tcPr>
          <w:p>
            <w:pPr>
              <w:spacing w:before="0" w:after="0" w:line="240" w:lineRule="auto"/>
              <w:jc w:val="left"/>
            </w:pPr>
            <w:r>
              <w:rPr>
                <w:sz w:val="20"/>
                <w:szCs w:val="20"/>
              </w:rPr>
              <w:t xml:space="preserve">0.979</w:t>
            </w:r>
          </w:p>
        </w:tc>
        <w:tc>
          <w:tcPr>
            <w:tcW w:w="910" w:type="dxa"/>
          </w:tcPr>
          <w:p>
            <w:pPr>
              <w:spacing w:before="0" w:after="0" w:line="240" w:lineRule="auto"/>
              <w:jc w:val="left"/>
            </w:pPr>
            <w:r>
              <w:rPr>
                <w:sz w:val="20"/>
                <w:szCs w:val="20"/>
              </w:rPr>
              <w:t xml:space="preserve">0.987</w:t>
            </w:r>
          </w:p>
        </w:tc>
        <w:tc>
          <w:tcPr>
            <w:tcW w:w="878" w:type="dxa"/>
          </w:tcPr>
          <w:p>
            <w:pPr>
              <w:spacing w:before="0" w:after="0" w:line="240" w:lineRule="auto"/>
              <w:jc w:val="left"/>
            </w:pPr>
            <w:r>
              <w:rPr>
                <w:sz w:val="20"/>
                <w:szCs w:val="20"/>
              </w:rPr>
              <w:t xml:space="preserve">0.883</w:t>
            </w:r>
          </w:p>
        </w:tc>
        <w:tc>
          <w:tcPr>
            <w:tcW w:w="1470" w:type="dxa"/>
          </w:tcPr>
          <w:p>
            <w:pPr>
              <w:spacing w:before="0" w:after="0" w:line="240" w:lineRule="auto"/>
              <w:jc w:val="left"/>
            </w:pPr>
            <w:r>
              <w:rPr>
                <w:sz w:val="20"/>
                <w:szCs w:val="20"/>
              </w:rPr>
              <w:t xml:space="preserve">0.096 [0.080, 0.119]</w:t>
            </w:r>
          </w:p>
        </w:tc>
        <w:tc>
          <w:tcPr>
            <w:tcW w:w="1566" w:type="dxa"/>
          </w:tcPr>
          <w:p>
            <w:pPr>
              <w:spacing w:before="0" w:after="0" w:line="240" w:lineRule="auto"/>
              <w:jc w:val="left"/>
            </w:pPr>
            <w:r>
              <w:rPr>
                <w:sz w:val="20"/>
                <w:szCs w:val="20"/>
              </w:rPr>
              <w:t xml:space="preserve">0.104 [0.087, 0.125]</w:t>
            </w:r>
          </w:p>
        </w:tc>
        <w:tc>
          <w:tcPr>
            <w:tcW w:w="1310" w:type="dxa"/>
          </w:tcPr>
          <w:p>
            <w:pPr>
              <w:spacing w:before="0" w:after="0" w:line="240" w:lineRule="auto"/>
              <w:jc w:val="left"/>
            </w:pPr>
            <w:r>
              <w:rPr>
                <w:sz w:val="20"/>
                <w:szCs w:val="20"/>
              </w:rPr>
              <w:t xml:space="preserve">0.89 [0.83, 0.94]</w:t>
            </w:r>
          </w:p>
        </w:tc>
        <w:tc>
          <w:tcPr>
            <w:tcW w:w="854" w:type="dxa"/>
          </w:tcPr>
          <w:p>
            <w:pPr>
              <w:spacing w:before="0" w:after="0" w:line="240" w:lineRule="auto"/>
              <w:jc w:val="left"/>
            </w:pPr>
            <w:r>
              <w:rPr>
                <w:sz w:val="20"/>
                <w:szCs w:val="20"/>
              </w:rPr>
              <w:t xml:space="preserve">21,942</w:t>
            </w:r>
          </w:p>
        </w:tc>
      </w:tr>
      <w:tr>
        <w:tc>
          <w:tcPr>
            <w:tcW w:w="1358" w:type="dxa"/>
          </w:tcPr>
          <w:p>
            <w:pPr>
              <w:spacing w:before="0" w:after="0" w:line="240" w:lineRule="auto"/>
              <w:jc w:val="left"/>
            </w:pPr>
            <w:r>
              <w:rPr>
                <w:sz w:val="20"/>
                <w:szCs w:val="20"/>
              </w:rPr>
              <w:t xml:space="preserve">1-hour (H1)</w:t>
            </w:r>
          </w:p>
        </w:tc>
        <w:tc>
          <w:tcPr>
            <w:tcW w:w="1014" w:type="dxa"/>
          </w:tcPr>
          <w:p>
            <w:pPr>
              <w:spacing w:before="0" w:after="0" w:line="240" w:lineRule="auto"/>
              <w:jc w:val="left"/>
            </w:pPr>
            <w:r>
              <w:rPr>
                <w:sz w:val="20"/>
                <w:szCs w:val="20"/>
              </w:rPr>
              <w:t xml:space="preserve">0.975</w:t>
            </w:r>
          </w:p>
        </w:tc>
        <w:tc>
          <w:tcPr>
            <w:tcW w:w="910" w:type="dxa"/>
          </w:tcPr>
          <w:p>
            <w:pPr>
              <w:spacing w:before="0" w:after="0" w:line="240" w:lineRule="auto"/>
              <w:jc w:val="left"/>
            </w:pPr>
            <w:r>
              <w:rPr>
                <w:sz w:val="20"/>
                <w:szCs w:val="20"/>
              </w:rPr>
              <w:t xml:space="preserve">0.988</w:t>
            </w:r>
          </w:p>
        </w:tc>
        <w:tc>
          <w:tcPr>
            <w:tcW w:w="878" w:type="dxa"/>
          </w:tcPr>
          <w:p>
            <w:pPr>
              <w:spacing w:before="0" w:after="0" w:line="240" w:lineRule="auto"/>
              <w:jc w:val="left"/>
            </w:pPr>
            <w:r>
              <w:rPr>
                <w:sz w:val="20"/>
                <w:szCs w:val="20"/>
              </w:rPr>
              <w:t xml:space="preserve">0.889</w:t>
            </w:r>
          </w:p>
        </w:tc>
        <w:tc>
          <w:tcPr>
            <w:tcW w:w="1470" w:type="dxa"/>
          </w:tcPr>
          <w:p>
            <w:pPr>
              <w:spacing w:before="0" w:after="0" w:line="240" w:lineRule="auto"/>
              <w:jc w:val="left"/>
            </w:pPr>
            <w:r>
              <w:rPr>
                <w:sz w:val="20"/>
                <w:szCs w:val="20"/>
              </w:rPr>
              <w:t xml:space="preserve">0.086 [0.071, 0.103]</w:t>
            </w:r>
          </w:p>
        </w:tc>
        <w:tc>
          <w:tcPr>
            <w:tcW w:w="1566" w:type="dxa"/>
          </w:tcPr>
          <w:p>
            <w:pPr>
              <w:spacing w:before="0" w:after="0" w:line="240" w:lineRule="auto"/>
              <w:jc w:val="left"/>
            </w:pPr>
            <w:r>
              <w:rPr>
                <w:sz w:val="20"/>
                <w:szCs w:val="20"/>
              </w:rPr>
              <w:t xml:space="preserve">0.099 [0.084, 0.118]</w:t>
            </w:r>
          </w:p>
        </w:tc>
        <w:tc>
          <w:tcPr>
            <w:tcW w:w="1310" w:type="dxa"/>
          </w:tcPr>
          <w:p>
            <w:pPr>
              <w:spacing w:before="0" w:after="0" w:line="240" w:lineRule="auto"/>
              <w:jc w:val="left"/>
            </w:pPr>
            <w:r>
              <w:rPr>
                <w:sz w:val="20"/>
                <w:szCs w:val="20"/>
              </w:rPr>
              <w:t xml:space="preserve">0.78 [0.70, 0.83]</w:t>
            </w:r>
          </w:p>
        </w:tc>
        <w:tc>
          <w:tcPr>
            <w:tcW w:w="854" w:type="dxa"/>
          </w:tcPr>
          <w:p>
            <w:pPr>
              <w:spacing w:before="0" w:after="0" w:line="240" w:lineRule="auto"/>
              <w:jc w:val="left"/>
            </w:pPr>
            <w:r>
              <w:rPr>
                <w:sz w:val="20"/>
                <w:szCs w:val="20"/>
              </w:rPr>
              <w:t xml:space="preserve">13,523</w:t>
            </w:r>
          </w:p>
        </w:tc>
      </w:tr>
      <w:tr>
        <w:tc>
          <w:tcPr>
            <w:tcW w:w="1358" w:type="dxa"/>
          </w:tcPr>
          <w:p>
            <w:pPr>
              <w:spacing w:before="0" w:after="0" w:line="240" w:lineRule="auto"/>
              <w:jc w:val="left"/>
            </w:pPr>
            <w:r>
              <w:rPr>
                <w:sz w:val="20"/>
                <w:szCs w:val="20"/>
              </w:rPr>
              <w:t xml:space="preserve">4-hour (H4)</w:t>
            </w:r>
          </w:p>
        </w:tc>
        <w:tc>
          <w:tcPr>
            <w:tcW w:w="1014" w:type="dxa"/>
          </w:tcPr>
          <w:p>
            <w:pPr>
              <w:spacing w:before="0" w:after="0" w:line="240" w:lineRule="auto"/>
              <w:jc w:val="left"/>
            </w:pPr>
            <w:r>
              <w:rPr>
                <w:sz w:val="20"/>
                <w:szCs w:val="20"/>
              </w:rPr>
              <w:t xml:space="preserve">0.976</w:t>
            </w:r>
          </w:p>
        </w:tc>
        <w:tc>
          <w:tcPr>
            <w:tcW w:w="910" w:type="dxa"/>
          </w:tcPr>
          <w:p>
            <w:pPr>
              <w:spacing w:before="0" w:after="0" w:line="240" w:lineRule="auto"/>
              <w:jc w:val="left"/>
            </w:pPr>
            <w:r>
              <w:rPr>
                <w:sz w:val="20"/>
                <w:szCs w:val="20"/>
              </w:rPr>
              <w:t xml:space="preserve">0.988</w:t>
            </w:r>
          </w:p>
        </w:tc>
        <w:tc>
          <w:tcPr>
            <w:tcW w:w="878" w:type="dxa"/>
          </w:tcPr>
          <w:p>
            <w:pPr>
              <w:spacing w:before="0" w:after="0" w:line="240" w:lineRule="auto"/>
              <w:jc w:val="left"/>
            </w:pPr>
            <w:r>
              <w:rPr>
                <w:sz w:val="20"/>
                <w:szCs w:val="20"/>
              </w:rPr>
              <w:t xml:space="preserve">0.890</w:t>
            </w:r>
          </w:p>
        </w:tc>
        <w:tc>
          <w:tcPr>
            <w:tcW w:w="1470" w:type="dxa"/>
          </w:tcPr>
          <w:p>
            <w:pPr>
              <w:spacing w:before="0" w:after="0" w:line="240" w:lineRule="auto"/>
              <w:jc w:val="left"/>
            </w:pPr>
            <w:r>
              <w:rPr>
                <w:sz w:val="20"/>
                <w:szCs w:val="20"/>
              </w:rPr>
              <w:t xml:space="preserve">0.087 [0.072, 0.103]</w:t>
            </w:r>
          </w:p>
        </w:tc>
        <w:tc>
          <w:tcPr>
            <w:tcW w:w="1566" w:type="dxa"/>
          </w:tcPr>
          <w:p>
            <w:pPr>
              <w:spacing w:before="0" w:after="0" w:line="240" w:lineRule="auto"/>
              <w:jc w:val="left"/>
            </w:pPr>
            <w:r>
              <w:rPr>
                <w:sz w:val="20"/>
                <w:szCs w:val="20"/>
              </w:rPr>
              <w:t xml:space="preserve">0.099 [0.084, 0.116]</w:t>
            </w:r>
          </w:p>
        </w:tc>
        <w:tc>
          <w:tcPr>
            <w:tcW w:w="1310" w:type="dxa"/>
          </w:tcPr>
          <w:p>
            <w:pPr>
              <w:spacing w:before="0" w:after="0" w:line="240" w:lineRule="auto"/>
              <w:jc w:val="left"/>
            </w:pPr>
            <w:r>
              <w:rPr>
                <w:sz w:val="20"/>
                <w:szCs w:val="20"/>
              </w:rPr>
              <w:t xml:space="preserve">0.79 [0.72, 0.84]</w:t>
            </w:r>
          </w:p>
        </w:tc>
        <w:tc>
          <w:tcPr>
            <w:tcW w:w="854" w:type="dxa"/>
          </w:tcPr>
          <w:p>
            <w:pPr>
              <w:spacing w:before="0" w:after="0" w:line="240" w:lineRule="auto"/>
              <w:jc w:val="left"/>
            </w:pPr>
            <w:r>
              <w:rPr>
                <w:sz w:val="20"/>
                <w:szCs w:val="20"/>
              </w:rPr>
              <w:t xml:space="preserve">5,410</w:t>
            </w:r>
          </w:p>
        </w:tc>
      </w:tr>
    </w:tbl>
    <w:p>
      <w:pPr>
        <w:pStyle w:val="Compact"/>
      </w:pPr>
      <w:r>
        <w:rPr>
          <w:sz w:val="20"/>
          <w:szCs w:val="20"/>
        </w:rPr>
        <w:t xml:space="preserve">Notes: Averages of ρ(s) over s ≤ s</w:t>
      </w:r>
      <w:r>
        <w:rPr>
          <w:vertAlign w:val="subscript"/>
          <w:sz w:val="20"/>
          <w:szCs w:val="20"/>
        </w:rPr>
        <w:t xml:space="preserve">rel</w:t>
      </w:r>
      <w:r>
        <w:rPr>
          <w:sz w:val="20"/>
          <w:szCs w:val="20"/>
        </w:rPr>
        <w:t xml:space="preserve"> </w:t>
      </w:r>
      <w:r>
        <w:rPr>
          <w:sz w:val="20"/>
          <w:szCs w:val="20"/>
        </w:rPr>
        <w:t xml:space="preserve">(Table 3) with m = 1; nested mean: VN30–VNINDEX, VN30–VN100 and VN100–VNINDEX; P</w:t>
      </w:r>
      <w:r>
        <w:rPr>
          <w:vertAlign w:val="subscript"/>
          <w:sz w:val="20"/>
          <w:szCs w:val="20"/>
        </w:rPr>
        <w:t xml:space="preserve">cap</w:t>
      </w:r>
      <w:r>
        <w:rPr>
          <w:sz w:val="20"/>
          <w:szCs w:val="20"/>
        </w:rPr>
        <w:t xml:space="preserve">: overlap-purged mid-cap series; three-pair gap: nested mean minus P</w:t>
      </w:r>
      <w:r>
        <w:rPr>
          <w:vertAlign w:val="subscript"/>
          <w:sz w:val="20"/>
          <w:szCs w:val="20"/>
        </w:rPr>
        <w:t xml:space="preserve">cap</w:t>
      </w:r>
      <w:r>
        <w:rPr>
          <w:sz w:val="20"/>
          <w:szCs w:val="20"/>
        </w:rPr>
        <w:t xml:space="preserve">–VN30; like-for-like gap: VN30–VN100 minus P</w:t>
      </w:r>
      <w:r>
        <w:rPr>
          <w:vertAlign w:val="subscript"/>
          <w:sz w:val="20"/>
          <w:szCs w:val="20"/>
        </w:rPr>
        <w:t xml:space="preserve">cap</w:t>
      </w:r>
      <w:r>
        <w:rPr>
          <w:sz w:val="20"/>
          <w:szCs w:val="20"/>
        </w:rPr>
        <w:t xml:space="preserve">–VN30. Brackets: block-bootstrap 95% intervals at the factsheet weight. Source: Authors’ calculations.</w:t>
      </w:r>
    </w:p>
    <w:p>
      <w:pPr>
        <w:pStyle w:val="BodyText"/>
        <w:spacing w:before="0" w:after="120" w:line="300" w:lineRule="auto"/>
        <w:jc w:val="both"/>
      </w:pPr>
      <w:r>
        <w:rPr>
          <w:rFonts w:ascii="Times New Roman" w:hAnsi="Times New Roman" w:cs="Times New Roman" w:eastAsia="Times New Roman"/>
          <w:sz w:val="24"/>
          <w:szCs w:val="24"/>
        </w:rPr>
        <w:t xml:space="preserve">The nested pairs average 0.975–0.980 at every frequency in both samples, and P</w:t>
      </w:r>
      <w:r>
        <w:rPr>
          <w:rFonts w:ascii="Times New Roman" w:hAnsi="Times New Roman" w:cs="Times New Roman" w:eastAsia="Times New Roman"/>
          <w:vertAlign w:val="subscript"/>
          <w:sz w:val="24"/>
          <w:szCs w:val="24"/>
        </w:rPr>
        <w:t xml:space="preserve">cap</w:t>
      </w:r>
      <w:r>
        <w:rPr>
          <w:rFonts w:ascii="Times New Roman" w:hAnsi="Times New Roman" w:cs="Times New Roman" w:eastAsia="Times New Roman"/>
          <w:sz w:val="24"/>
          <w:szCs w:val="24"/>
        </w:rPr>
        <w:t xml:space="preserve">–VN30 averages 0.883–0.892. Corollary 3 fixes the sign of the like-for-like gap, but not its size: the gap is 0.099–0.104 with interval lower bounds of at least 0.084, above the 0.05 tolerance at every frequency, so H1 is supported. The three-pair gap is 0.086–0.096, with Cohen’s q (Cohen 1988) of 0.78–0.89; it also uses the broad-market pairs, which cannot be purged by weight. We report q descriptively because both coefficients come from the same sample. Overlap thus inflates co-movement that is already strong.</w:t>
      </w:r>
    </w:p>
    <w:p>
      <w:pPr>
        <w:pStyle w:val="BodyText"/>
        <w:spacing w:before="0" w:after="120" w:line="300" w:lineRule="auto"/>
        <w:jc w:val="both"/>
      </w:pPr>
      <w:r>
        <w:rPr>
          <w:rFonts w:ascii="Times New Roman" w:hAnsi="Times New Roman" w:cs="Times New Roman" w:eastAsia="Times New Roman"/>
          <w:sz w:val="24"/>
          <w:szCs w:val="24"/>
        </w:rPr>
        <w:t xml:space="preserve">The gap depends on the weight: over w = 0.60–0.75 the daily like-for-like gap is 0.063–0.164 and the three-pair gap 0.052–0.153 (Tables S2 and S3). With w drawn in each replicate, the like-for-like intervals have lower bounds of 0.057–0.061 and every replicate exceeds 0.05, so H1 holds under weight uncertainty. The size of the gap, however, is known only to within a factor of about two.</w:t>
      </w:r>
    </w:p>
    <w:p>
      <w:pPr>
        <w:pStyle w:val="BodyText"/>
        <w:spacing w:before="0" w:after="120" w:line="300" w:lineRule="auto"/>
        <w:jc w:val="both"/>
      </w:pPr>
      <w:r>
        <w:rPr>
          <w:rFonts w:ascii="Times New Roman" w:hAnsi="Times New Roman" w:cs="Times New Roman" w:eastAsia="Times New Roman"/>
          <w:sz w:val="24"/>
          <w:szCs w:val="24"/>
        </w:rPr>
        <w:drawing>
          <wp:inline>
            <wp:extent cx="5760720" cy="4431323"/>
            <wp:effectExtent b="0" l="0" r="0" t="0"/>
            <wp:docPr descr="" title="" id="24" name="Picture"/>
            <a:graphic>
              <a:graphicData uri="http://schemas.openxmlformats.org/drawingml/2006/picture">
                <pic:pic>
                  <pic:nvPicPr>
                    <pic:cNvPr descr="/home/user/B-i-stock-to-n/Python%20for%20Algorithmic%20Trading/NCKH/Bài%20stock%20toán/project_R/docx_build/../outputs/figures/fig2_dcca_curves.png" id="25" name="Picture"/>
                    <pic:cNvPicPr>
                      <a:picLocks noChangeArrowheads="1" noChangeAspect="1"/>
                    </pic:cNvPicPr>
                  </pic:nvPicPr>
                  <pic:blipFill>
                    <a:blip r:embed="rId23"/>
                    <a:stretch>
                      <a:fillRect/>
                    </a:stretch>
                  </pic:blipFill>
                  <pic:spPr bwMode="auto">
                    <a:xfrm>
                      <a:off x="0" y="0"/>
                      <a:ext cx="5760720" cy="4431323"/>
                    </a:xfrm>
                    <a:prstGeom prst="rect">
                      <a:avLst/>
                    </a:prstGeom>
                    <a:noFill/>
                    <a:ln w="9525">
                      <a:noFill/>
                      <a:headEnd/>
                      <a:tailEnd/>
                    </a:ln>
                  </pic:spPr>
                </pic:pic>
              </a:graphicData>
            </a:graphic>
          </wp:inline>
        </w:drawing>
      </w:r>
    </w:p>
    <w:p>
      <w:pPr>
        <w:pStyle w:val="figurecaption"/>
      </w:pPr>
      <w:r>
        <w:rPr>
          <w:bCs/>
          <w:b/>
        </w:rPr>
        <w:t xml:space="preserve">Fig. 2</w:t>
      </w:r>
      <w:r>
        <w:t xml:space="preserve"> </w:t>
      </w:r>
      <w:r>
        <w:t xml:space="preserve">DCCA coefficients of the nested pairs and P</w:t>
      </w:r>
      <w:r>
        <w:rPr>
          <w:vertAlign w:val="subscript"/>
        </w:rPr>
        <w:t xml:space="preserve">cap</w:t>
      </w:r>
      <w:r>
        <w:t xml:space="preserve">–VN30 by timescale: (a) 1D, (b) M30, (c) H1, (d) H4</w:t>
      </w:r>
    </w:p>
    <w:p>
      <w:pPr>
        <w:pStyle w:val="Compact"/>
      </w:pPr>
      <w:r>
        <w:rPr>
          <w:sz w:val="20"/>
          <w:szCs w:val="20"/>
        </w:rPr>
        <w:t xml:space="preserve">Notes: Line and marker types identify the pairs; P</w:t>
      </w:r>
      <w:r>
        <w:rPr>
          <w:vertAlign w:val="subscript"/>
          <w:sz w:val="20"/>
          <w:szCs w:val="20"/>
        </w:rPr>
        <w:t xml:space="preserve">cap</w:t>
      </w:r>
      <w:r>
        <w:rPr>
          <w:sz w:val="20"/>
          <w:szCs w:val="20"/>
        </w:rPr>
        <w:t xml:space="preserve">: overlap-purged mid-cap series; grey bands: pointwise block-bootstrap 95% intervals; vertical dotted lines: s</w:t>
      </w:r>
      <w:r>
        <w:rPr>
          <w:vertAlign w:val="subscript"/>
          <w:sz w:val="20"/>
          <w:szCs w:val="20"/>
        </w:rPr>
        <w:t xml:space="preserve">rel</w:t>
      </w:r>
      <w:r>
        <w:rPr>
          <w:sz w:val="20"/>
          <w:szCs w:val="20"/>
        </w:rPr>
        <w:t xml:space="preserve"> </w:t>
      </w:r>
      <w:r>
        <w:rPr>
          <w:sz w:val="20"/>
          <w:szCs w:val="20"/>
        </w:rPr>
        <w:t xml:space="preserve">(Table 3). Source: Authors’ calculations based on HOSE index data (TradingView).</w:t>
      </w:r>
    </w:p>
    <w:p>
      <w:pPr>
        <w:pStyle w:val="heading20"/>
        <w:numPr>
          <w:ilvl w:val="0"/>
          <w:numId w:val="0"/>
        </w:numPr>
      </w:pPr>
      <w:r>
        <w:rPr>
          <w:rFonts w:ascii="Times New Roman" w:hAnsi="Times New Roman" w:cs="Times New Roman" w:eastAsia="Times New Roman"/>
          <w:b/>
          <w:sz w:val="24"/>
          <w:szCs w:val="24"/>
        </w:rPr>
        <w:t xml:space="preserve">5.3 The part–whole decomposition (E1, E2)</w:t>
      </w:r>
    </w:p>
    <w:p>
      <w:pPr>
        <w:pStyle w:val="p1a"/>
        <w:spacing w:before="0" w:after="120" w:line="300" w:lineRule="auto"/>
        <w:jc w:val="both"/>
      </w:pPr>
      <w:r>
        <w:rPr>
          <w:rFonts w:ascii="Times New Roman" w:hAnsi="Times New Roman" w:cs="Times New Roman" w:eastAsia="Times New Roman"/>
          <w:sz w:val="24"/>
          <w:szCs w:val="24"/>
        </w:rPr>
        <w:t xml:space="preserve">Table 5 applies Lemma 1 to VN30–VN100, and Fig. 3 plots Eq. (7) against the purged coefficient.</w:t>
      </w:r>
    </w:p>
    <w:p>
      <w:pPr>
        <w:pStyle w:val="tablecaption0"/>
      </w:pPr>
      <w:r>
        <w:rPr>
          <w:bCs/>
          <w:b/>
        </w:rPr>
        <w:t xml:space="preserve">Table 5</w:t>
      </w:r>
      <w:r>
        <w:t xml:space="preserve"> </w:t>
      </w:r>
      <w:r>
        <w:t xml:space="preserve">Part–whole decomposition of the VN30–VN100 DCCA coefficient (Lemma 1)</w:t>
      </w:r>
    </w:p>
    <w:tbl>
      <w:tblPr>
        <w:tblStyle w:val="TableGrid"/>
        <w:tblW w:type="pct" w:w="5000"/>
        <w:tblLook w:firstRow="1" w:lastRow="0" w:firstColumn="0" w:lastColumn="0" w:noHBand="0" w:noVBand="0" w:val="0020"/>
        <w:jc w:val="start"/>
      </w:tblPr>
      <w:tblGrid>
        <w:gridCol w:w="1183"/>
        <w:gridCol w:w="750"/>
        <w:gridCol w:w="994"/>
        <w:gridCol w:w="865"/>
        <w:gridCol w:w="1196"/>
        <w:gridCol w:w="778"/>
        <w:gridCol w:w="1399"/>
        <w:gridCol w:w="1199"/>
        <w:gridCol w:w="997"/>
      </w:tblGrid>
      <w:tr>
        <w:trPr>
          <w:tblHeader w:val="true"/>
        </w:trPr>
        <w:tc>
          <w:tcPr>
            <w:tcW w:w="1183" w:type="dxa"/>
          </w:tcPr>
          <w:p>
            <w:pPr>
              <w:spacing w:before="0" w:after="0" w:line="240" w:lineRule="auto"/>
              <w:jc w:val="left"/>
            </w:pPr>
            <w:r>
              <w:rPr>
                <w:sz w:val="20"/>
                <w:szCs w:val="20"/>
              </w:rPr>
              <w:t xml:space="preserve">Frequency</w:t>
            </w:r>
          </w:p>
        </w:tc>
        <w:tc>
          <w:tcPr>
            <w:tcW w:w="750" w:type="dxa"/>
          </w:tcPr>
          <w:p>
            <w:pPr>
              <w:spacing w:before="0" w:after="0" w:line="240" w:lineRule="auto"/>
              <w:jc w:val="left"/>
            </w:pPr>
            <w:r>
              <w:rPr>
                <w:sz w:val="20"/>
                <w:szCs w:val="20"/>
              </w:rPr>
              <w:t xml:space="preserve">κ</w:t>
            </w:r>
          </w:p>
        </w:tc>
        <w:tc>
          <w:tcPr>
            <w:tcW w:w="994" w:type="dxa"/>
          </w:tcPr>
          <w:p>
            <w:pPr>
              <w:spacing w:before="0" w:after="0" w:line="240" w:lineRule="auto"/>
              <w:jc w:val="left"/>
            </w:pPr>
            <w:r>
              <w:rPr>
                <w:sz w:val="20"/>
                <w:szCs w:val="20"/>
              </w:rPr>
              <w:t xml:space="preserve">Purged ρ</w:t>
            </w:r>
            <w:r>
              <w:rPr>
                <w:vertAlign w:val="subscript"/>
                <w:sz w:val="20"/>
                <w:szCs w:val="20"/>
              </w:rPr>
              <w:t xml:space="preserve">AM</w:t>
            </w:r>
          </w:p>
        </w:tc>
        <w:tc>
          <w:tcPr>
            <w:tcW w:w="865" w:type="dxa"/>
          </w:tcPr>
          <w:p>
            <w:pPr>
              <w:spacing w:before="0" w:after="0" w:line="240" w:lineRule="auto"/>
              <w:jc w:val="left"/>
            </w:pPr>
            <w:r>
              <w:rPr>
                <w:sz w:val="20"/>
                <w:szCs w:val="20"/>
              </w:rPr>
              <w:t xml:space="preserve">Nested ρ</w:t>
            </w:r>
            <w:r>
              <w:rPr>
                <w:vertAlign w:val="subscript"/>
                <w:sz w:val="20"/>
                <w:szCs w:val="20"/>
              </w:rPr>
              <w:t xml:space="preserve">AB</w:t>
            </w:r>
          </w:p>
        </w:tc>
        <w:tc>
          <w:tcPr>
            <w:tcW w:w="1196" w:type="dxa"/>
          </w:tcPr>
          <w:p>
            <w:pPr>
              <w:spacing w:before="0" w:after="0" w:line="240" w:lineRule="auto"/>
              <w:jc w:val="left"/>
            </w:pPr>
            <w:r>
              <w:rPr>
                <w:sz w:val="20"/>
                <w:szCs w:val="20"/>
              </w:rPr>
              <w:t xml:space="preserve">Benchmark ρ̲</w:t>
            </w:r>
          </w:p>
        </w:tc>
        <w:tc>
          <w:tcPr>
            <w:tcW w:w="778" w:type="dxa"/>
          </w:tcPr>
          <w:p>
            <w:pPr>
              <w:spacing w:before="0" w:after="0" w:line="240" w:lineRule="auto"/>
              <w:jc w:val="left"/>
            </w:pPr>
            <w:r>
              <w:rPr>
                <w:sz w:val="20"/>
                <w:szCs w:val="20"/>
              </w:rPr>
              <w:t xml:space="preserve">Bound √(1 − κ²)</w:t>
            </w:r>
          </w:p>
        </w:tc>
        <w:tc>
          <w:tcPr>
            <w:tcW w:w="1399" w:type="dxa"/>
          </w:tcPr>
          <w:p>
            <w:pPr>
              <w:spacing w:before="0" w:after="0" w:line="240" w:lineRule="auto"/>
              <w:jc w:val="left"/>
            </w:pPr>
            <w:r>
              <w:rPr>
                <w:sz w:val="20"/>
                <w:szCs w:val="20"/>
              </w:rPr>
              <w:t xml:space="preserve">Sensitivity</w:t>
            </w:r>
          </w:p>
        </w:tc>
        <w:tc>
          <w:tcPr>
            <w:tcW w:w="1199" w:type="dxa"/>
          </w:tcPr>
          <w:p>
            <w:pPr>
              <w:spacing w:before="0" w:after="0" w:line="240" w:lineRule="auto"/>
              <w:jc w:val="left"/>
            </w:pPr>
            <w:r>
              <w:rPr>
                <w:sz w:val="20"/>
                <w:szCs w:val="20"/>
              </w:rPr>
              <w:t xml:space="preserve">Benchmark-first share</w:t>
            </w:r>
          </w:p>
        </w:tc>
        <w:tc>
          <w:tcPr>
            <w:tcW w:w="997" w:type="dxa"/>
          </w:tcPr>
          <w:p>
            <w:pPr>
              <w:spacing w:before="0" w:after="0" w:line="240" w:lineRule="auto"/>
              <w:jc w:val="left"/>
            </w:pPr>
            <w:r>
              <w:rPr>
                <w:sz w:val="20"/>
                <w:szCs w:val="20"/>
              </w:rPr>
              <w:t xml:space="preserve">Shapley overlap share</w:t>
            </w:r>
          </w:p>
        </w:tc>
      </w:tr>
      <w:tr>
        <w:tc>
          <w:tcPr>
            <w:tcW w:w="9361" w:type="dxa"/>
            <w:gridSpan w:val="9"/>
          </w:tcPr>
          <w:p>
            <w:pPr>
              <w:spacing w:before="0" w:after="0" w:line="240" w:lineRule="auto"/>
              <w:jc w:val="left"/>
            </w:pPr>
            <w:r>
              <w:rPr>
                <w:iCs/>
                <w:i/>
                <w:sz w:val="20"/>
                <w:szCs w:val="20"/>
              </w:rPr>
              <w:t xml:space="preserve">Panel A: sampling uncertainty, w fixed at the factsheet value</w:t>
            </w:r>
          </w:p>
        </w:tc>
      </w:tr>
      <w:tr>
        <w:tc>
          <w:tcPr>
            <w:tcW w:w="1183" w:type="dxa"/>
          </w:tcPr>
          <w:p>
            <w:pPr>
              <w:spacing w:before="0" w:after="0" w:line="240" w:lineRule="auto"/>
              <w:jc w:val="left"/>
            </w:pPr>
            <w:r>
              <w:rPr>
                <w:sz w:val="20"/>
                <w:szCs w:val="20"/>
              </w:rPr>
              <w:t xml:space="preserve">Daily (1D)</w:t>
            </w:r>
          </w:p>
        </w:tc>
        <w:tc>
          <w:tcPr>
            <w:tcW w:w="750" w:type="dxa"/>
          </w:tcPr>
          <w:p>
            <w:pPr>
              <w:spacing w:before="0" w:after="0" w:line="240" w:lineRule="auto"/>
              <w:jc w:val="left"/>
            </w:pPr>
            <w:r>
              <w:rPr>
                <w:sz w:val="20"/>
                <w:szCs w:val="20"/>
              </w:rPr>
              <w:t xml:space="preserve">0.484</w:t>
            </w:r>
          </w:p>
        </w:tc>
        <w:tc>
          <w:tcPr>
            <w:tcW w:w="994" w:type="dxa"/>
          </w:tcPr>
          <w:p>
            <w:pPr>
              <w:spacing w:before="0" w:after="0" w:line="240" w:lineRule="auto"/>
              <w:jc w:val="left"/>
            </w:pPr>
            <w:r>
              <w:rPr>
                <w:sz w:val="20"/>
                <w:szCs w:val="20"/>
              </w:rPr>
              <w:t xml:space="preserve">0.884 [0.857, 0.906]</w:t>
            </w:r>
          </w:p>
        </w:tc>
        <w:tc>
          <w:tcPr>
            <w:tcW w:w="865" w:type="dxa"/>
          </w:tcPr>
          <w:p>
            <w:pPr>
              <w:spacing w:before="0" w:after="0" w:line="240" w:lineRule="auto"/>
              <w:jc w:val="left"/>
            </w:pPr>
            <w:r>
              <w:rPr>
                <w:sz w:val="20"/>
                <w:szCs w:val="20"/>
              </w:rPr>
              <w:t xml:space="preserve">0.988</w:t>
            </w:r>
          </w:p>
        </w:tc>
        <w:tc>
          <w:tcPr>
            <w:tcW w:w="1196" w:type="dxa"/>
          </w:tcPr>
          <w:p>
            <w:pPr>
              <w:spacing w:before="0" w:after="0" w:line="240" w:lineRule="auto"/>
              <w:jc w:val="left"/>
            </w:pPr>
            <w:r>
              <w:rPr>
                <w:sz w:val="20"/>
                <w:szCs w:val="20"/>
              </w:rPr>
              <w:t xml:space="preserve">0.900 [0.891, 0.910]</w:t>
            </w:r>
          </w:p>
        </w:tc>
        <w:tc>
          <w:tcPr>
            <w:tcW w:w="778" w:type="dxa"/>
          </w:tcPr>
          <w:p>
            <w:pPr>
              <w:spacing w:before="0" w:after="0" w:line="240" w:lineRule="auto"/>
              <w:jc w:val="left"/>
            </w:pPr>
            <w:r>
              <w:rPr>
                <w:sz w:val="20"/>
                <w:szCs w:val="20"/>
              </w:rPr>
              <w:t xml:space="preserve">0.875</w:t>
            </w:r>
          </w:p>
        </w:tc>
        <w:tc>
          <w:tcPr>
            <w:tcW w:w="1399" w:type="dxa"/>
          </w:tcPr>
          <w:p>
            <w:pPr>
              <w:spacing w:before="0" w:after="0" w:line="240" w:lineRule="auto"/>
              <w:jc w:val="left"/>
            </w:pPr>
            <w:r>
              <w:rPr>
                <w:sz w:val="20"/>
                <w:szCs w:val="20"/>
              </w:rPr>
              <w:t xml:space="preserve">0.106 [0.098, 0.114]</w:t>
            </w:r>
          </w:p>
        </w:tc>
        <w:tc>
          <w:tcPr>
            <w:tcW w:w="1199" w:type="dxa"/>
          </w:tcPr>
          <w:p>
            <w:pPr>
              <w:spacing w:before="0" w:after="0" w:line="240" w:lineRule="auto"/>
              <w:jc w:val="left"/>
            </w:pPr>
            <w:r>
              <w:rPr>
                <w:sz w:val="20"/>
                <w:szCs w:val="20"/>
              </w:rPr>
              <w:t xml:space="preserve">0.911</w:t>
            </w:r>
          </w:p>
        </w:tc>
        <w:tc>
          <w:tcPr>
            <w:tcW w:w="997" w:type="dxa"/>
          </w:tcPr>
          <w:p>
            <w:pPr>
              <w:spacing w:before="0" w:after="0" w:line="240" w:lineRule="auto"/>
              <w:jc w:val="left"/>
            </w:pPr>
            <w:r>
              <w:rPr>
                <w:sz w:val="20"/>
                <w:szCs w:val="20"/>
              </w:rPr>
              <w:t xml:space="preserve">0.508 [0.498, 0.521]</w:t>
            </w:r>
          </w:p>
        </w:tc>
      </w:tr>
      <w:tr>
        <w:tc>
          <w:tcPr>
            <w:tcW w:w="1183" w:type="dxa"/>
          </w:tcPr>
          <w:p>
            <w:pPr>
              <w:spacing w:before="0" w:after="0" w:line="240" w:lineRule="auto"/>
              <w:jc w:val="left"/>
            </w:pPr>
            <w:r>
              <w:rPr>
                <w:sz w:val="20"/>
                <w:szCs w:val="20"/>
              </w:rPr>
              <w:t xml:space="preserve">30-minute (M30)</w:t>
            </w:r>
          </w:p>
        </w:tc>
        <w:tc>
          <w:tcPr>
            <w:tcW w:w="750" w:type="dxa"/>
          </w:tcPr>
          <w:p>
            <w:pPr>
              <w:spacing w:before="0" w:after="0" w:line="240" w:lineRule="auto"/>
              <w:jc w:val="left"/>
            </w:pPr>
            <w:r>
              <w:rPr>
                <w:sz w:val="20"/>
                <w:szCs w:val="20"/>
              </w:rPr>
              <w:t xml:space="preserve">0.503</w:t>
            </w:r>
          </w:p>
        </w:tc>
        <w:tc>
          <w:tcPr>
            <w:tcW w:w="994" w:type="dxa"/>
          </w:tcPr>
          <w:p>
            <w:pPr>
              <w:spacing w:before="0" w:after="0" w:line="240" w:lineRule="auto"/>
              <w:jc w:val="left"/>
            </w:pPr>
            <w:r>
              <w:rPr>
                <w:sz w:val="20"/>
                <w:szCs w:val="20"/>
              </w:rPr>
              <w:t xml:space="preserve">0.883 [0.859, 0.904]</w:t>
            </w:r>
          </w:p>
        </w:tc>
        <w:tc>
          <w:tcPr>
            <w:tcW w:w="865" w:type="dxa"/>
          </w:tcPr>
          <w:p>
            <w:pPr>
              <w:spacing w:before="0" w:after="0" w:line="240" w:lineRule="auto"/>
              <w:jc w:val="left"/>
            </w:pPr>
            <w:r>
              <w:rPr>
                <w:sz w:val="20"/>
                <w:szCs w:val="20"/>
              </w:rPr>
              <w:t xml:space="preserve">0.987</w:t>
            </w:r>
          </w:p>
        </w:tc>
        <w:tc>
          <w:tcPr>
            <w:tcW w:w="1196" w:type="dxa"/>
          </w:tcPr>
          <w:p>
            <w:pPr>
              <w:spacing w:before="0" w:after="0" w:line="240" w:lineRule="auto"/>
              <w:jc w:val="left"/>
            </w:pPr>
            <w:r>
              <w:rPr>
                <w:sz w:val="20"/>
                <w:szCs w:val="20"/>
              </w:rPr>
              <w:t xml:space="preserve">0.893 [0.882, 0.903]</w:t>
            </w:r>
          </w:p>
        </w:tc>
        <w:tc>
          <w:tcPr>
            <w:tcW w:w="778" w:type="dxa"/>
          </w:tcPr>
          <w:p>
            <w:pPr>
              <w:spacing w:before="0" w:after="0" w:line="240" w:lineRule="auto"/>
              <w:jc w:val="left"/>
            </w:pPr>
            <w:r>
              <w:rPr>
                <w:sz w:val="20"/>
                <w:szCs w:val="20"/>
              </w:rPr>
              <w:t xml:space="preserve">0.864</w:t>
            </w:r>
          </w:p>
        </w:tc>
        <w:tc>
          <w:tcPr>
            <w:tcW w:w="1399" w:type="dxa"/>
          </w:tcPr>
          <w:p>
            <w:pPr>
              <w:spacing w:before="0" w:after="0" w:line="240" w:lineRule="auto"/>
              <w:jc w:val="left"/>
            </w:pPr>
            <w:r>
              <w:rPr>
                <w:sz w:val="20"/>
                <w:szCs w:val="20"/>
              </w:rPr>
              <w:t xml:space="preserve">0.112 [0.104, 0.122]</w:t>
            </w:r>
          </w:p>
        </w:tc>
        <w:tc>
          <w:tcPr>
            <w:tcW w:w="1199" w:type="dxa"/>
          </w:tcPr>
          <w:p>
            <w:pPr>
              <w:spacing w:before="0" w:after="0" w:line="240" w:lineRule="auto"/>
              <w:jc w:val="left"/>
            </w:pPr>
            <w:r>
              <w:rPr>
                <w:sz w:val="20"/>
                <w:szCs w:val="20"/>
              </w:rPr>
              <w:t xml:space="preserve">0.905</w:t>
            </w:r>
          </w:p>
        </w:tc>
        <w:tc>
          <w:tcPr>
            <w:tcW w:w="997" w:type="dxa"/>
          </w:tcPr>
          <w:p>
            <w:pPr>
              <w:spacing w:before="0" w:after="0" w:line="240" w:lineRule="auto"/>
              <w:jc w:val="left"/>
            </w:pPr>
            <w:r>
              <w:rPr>
                <w:sz w:val="20"/>
                <w:szCs w:val="20"/>
              </w:rPr>
              <w:t xml:space="preserve">0.505 [0.497, 0.515]</w:t>
            </w:r>
          </w:p>
        </w:tc>
      </w:tr>
      <w:tr>
        <w:tc>
          <w:tcPr>
            <w:tcW w:w="1183" w:type="dxa"/>
          </w:tcPr>
          <w:p>
            <w:pPr>
              <w:spacing w:before="0" w:after="0" w:line="240" w:lineRule="auto"/>
              <w:jc w:val="left"/>
            </w:pPr>
            <w:r>
              <w:rPr>
                <w:sz w:val="20"/>
                <w:szCs w:val="20"/>
              </w:rPr>
              <w:t xml:space="preserve">1-hour (H1)</w:t>
            </w:r>
          </w:p>
        </w:tc>
        <w:tc>
          <w:tcPr>
            <w:tcW w:w="750" w:type="dxa"/>
          </w:tcPr>
          <w:p>
            <w:pPr>
              <w:spacing w:before="0" w:after="0" w:line="240" w:lineRule="auto"/>
              <w:jc w:val="left"/>
            </w:pPr>
            <w:r>
              <w:rPr>
                <w:sz w:val="20"/>
                <w:szCs w:val="20"/>
              </w:rPr>
              <w:t xml:space="preserve">0.486</w:t>
            </w:r>
          </w:p>
        </w:tc>
        <w:tc>
          <w:tcPr>
            <w:tcW w:w="994" w:type="dxa"/>
          </w:tcPr>
          <w:p>
            <w:pPr>
              <w:spacing w:before="0" w:after="0" w:line="240" w:lineRule="auto"/>
              <w:jc w:val="left"/>
            </w:pPr>
            <w:r>
              <w:rPr>
                <w:sz w:val="20"/>
                <w:szCs w:val="20"/>
              </w:rPr>
              <w:t xml:space="preserve">0.889 [0.868, 0.905]</w:t>
            </w:r>
          </w:p>
        </w:tc>
        <w:tc>
          <w:tcPr>
            <w:tcW w:w="865" w:type="dxa"/>
          </w:tcPr>
          <w:p>
            <w:pPr>
              <w:spacing w:before="0" w:after="0" w:line="240" w:lineRule="auto"/>
              <w:jc w:val="left"/>
            </w:pPr>
            <w:r>
              <w:rPr>
                <w:sz w:val="20"/>
                <w:szCs w:val="20"/>
              </w:rPr>
              <w:t xml:space="preserve">0.988</w:t>
            </w:r>
          </w:p>
        </w:tc>
        <w:tc>
          <w:tcPr>
            <w:tcW w:w="1196" w:type="dxa"/>
          </w:tcPr>
          <w:p>
            <w:pPr>
              <w:spacing w:before="0" w:after="0" w:line="240" w:lineRule="auto"/>
              <w:jc w:val="left"/>
            </w:pPr>
            <w:r>
              <w:rPr>
                <w:sz w:val="20"/>
                <w:szCs w:val="20"/>
              </w:rPr>
              <w:t xml:space="preserve">0.899 [0.889, 0.909]</w:t>
            </w:r>
          </w:p>
        </w:tc>
        <w:tc>
          <w:tcPr>
            <w:tcW w:w="778" w:type="dxa"/>
          </w:tcPr>
          <w:p>
            <w:pPr>
              <w:spacing w:before="0" w:after="0" w:line="240" w:lineRule="auto"/>
              <w:jc w:val="left"/>
            </w:pPr>
            <w:r>
              <w:rPr>
                <w:sz w:val="20"/>
                <w:szCs w:val="20"/>
              </w:rPr>
              <w:t xml:space="preserve">0.874</w:t>
            </w:r>
          </w:p>
        </w:tc>
        <w:tc>
          <w:tcPr>
            <w:tcW w:w="1399" w:type="dxa"/>
          </w:tcPr>
          <w:p>
            <w:pPr>
              <w:spacing w:before="0" w:after="0" w:line="240" w:lineRule="auto"/>
              <w:jc w:val="left"/>
            </w:pPr>
            <w:r>
              <w:rPr>
                <w:sz w:val="20"/>
                <w:szCs w:val="20"/>
              </w:rPr>
              <w:t xml:space="preserve">0.107 [0.099, 0.116]</w:t>
            </w:r>
          </w:p>
        </w:tc>
        <w:tc>
          <w:tcPr>
            <w:tcW w:w="1199" w:type="dxa"/>
          </w:tcPr>
          <w:p>
            <w:pPr>
              <w:spacing w:before="0" w:after="0" w:line="240" w:lineRule="auto"/>
              <w:jc w:val="left"/>
            </w:pPr>
            <w:r>
              <w:rPr>
                <w:sz w:val="20"/>
                <w:szCs w:val="20"/>
              </w:rPr>
              <w:t xml:space="preserve">0.910</w:t>
            </w:r>
          </w:p>
        </w:tc>
        <w:tc>
          <w:tcPr>
            <w:tcW w:w="997" w:type="dxa"/>
          </w:tcPr>
          <w:p>
            <w:pPr>
              <w:spacing w:before="0" w:after="0" w:line="240" w:lineRule="auto"/>
              <w:jc w:val="left"/>
            </w:pPr>
            <w:r>
              <w:rPr>
                <w:sz w:val="20"/>
                <w:szCs w:val="20"/>
              </w:rPr>
              <w:t xml:space="preserve">0.505 [0.498, 0.515]</w:t>
            </w:r>
          </w:p>
        </w:tc>
      </w:tr>
      <w:tr>
        <w:tc>
          <w:tcPr>
            <w:tcW w:w="1183" w:type="dxa"/>
          </w:tcPr>
          <w:p>
            <w:pPr>
              <w:spacing w:before="0" w:after="0" w:line="240" w:lineRule="auto"/>
              <w:jc w:val="left"/>
            </w:pPr>
            <w:r>
              <w:rPr>
                <w:sz w:val="20"/>
                <w:szCs w:val="20"/>
              </w:rPr>
              <w:t xml:space="preserve">4-hour (H4)</w:t>
            </w:r>
          </w:p>
        </w:tc>
        <w:tc>
          <w:tcPr>
            <w:tcW w:w="750" w:type="dxa"/>
          </w:tcPr>
          <w:p>
            <w:pPr>
              <w:spacing w:before="0" w:after="0" w:line="240" w:lineRule="auto"/>
              <w:jc w:val="left"/>
            </w:pPr>
            <w:r>
              <w:rPr>
                <w:sz w:val="20"/>
                <w:szCs w:val="20"/>
              </w:rPr>
              <w:t xml:space="preserve">0.485</w:t>
            </w:r>
          </w:p>
        </w:tc>
        <w:tc>
          <w:tcPr>
            <w:tcW w:w="994" w:type="dxa"/>
          </w:tcPr>
          <w:p>
            <w:pPr>
              <w:spacing w:before="0" w:after="0" w:line="240" w:lineRule="auto"/>
              <w:jc w:val="left"/>
            </w:pPr>
            <w:r>
              <w:rPr>
                <w:sz w:val="20"/>
                <w:szCs w:val="20"/>
              </w:rPr>
              <w:t xml:space="preserve">0.890 [0.865, 0.908]</w:t>
            </w:r>
          </w:p>
        </w:tc>
        <w:tc>
          <w:tcPr>
            <w:tcW w:w="865" w:type="dxa"/>
          </w:tcPr>
          <w:p>
            <w:pPr>
              <w:spacing w:before="0" w:after="0" w:line="240" w:lineRule="auto"/>
              <w:jc w:val="left"/>
            </w:pPr>
            <w:r>
              <w:rPr>
                <w:sz w:val="20"/>
                <w:szCs w:val="20"/>
              </w:rPr>
              <w:t xml:space="preserve">0.988</w:t>
            </w:r>
          </w:p>
        </w:tc>
        <w:tc>
          <w:tcPr>
            <w:tcW w:w="1196" w:type="dxa"/>
          </w:tcPr>
          <w:p>
            <w:pPr>
              <w:spacing w:before="0" w:after="0" w:line="240" w:lineRule="auto"/>
              <w:jc w:val="left"/>
            </w:pPr>
            <w:r>
              <w:rPr>
                <w:sz w:val="20"/>
                <w:szCs w:val="20"/>
              </w:rPr>
              <w:t xml:space="preserve">0.900 [0.890, 0.910]</w:t>
            </w:r>
          </w:p>
        </w:tc>
        <w:tc>
          <w:tcPr>
            <w:tcW w:w="778" w:type="dxa"/>
          </w:tcPr>
          <w:p>
            <w:pPr>
              <w:spacing w:before="0" w:after="0" w:line="240" w:lineRule="auto"/>
              <w:jc w:val="left"/>
            </w:pPr>
            <w:r>
              <w:rPr>
                <w:sz w:val="20"/>
                <w:szCs w:val="20"/>
              </w:rPr>
              <w:t xml:space="preserve">0.874</w:t>
            </w:r>
          </w:p>
        </w:tc>
        <w:tc>
          <w:tcPr>
            <w:tcW w:w="1399" w:type="dxa"/>
          </w:tcPr>
          <w:p>
            <w:pPr>
              <w:spacing w:before="0" w:after="0" w:line="240" w:lineRule="auto"/>
              <w:jc w:val="left"/>
            </w:pPr>
            <w:r>
              <w:rPr>
                <w:sz w:val="20"/>
                <w:szCs w:val="20"/>
              </w:rPr>
              <w:t xml:space="preserve">0.106 [0.098, 0.115]</w:t>
            </w:r>
          </w:p>
        </w:tc>
        <w:tc>
          <w:tcPr>
            <w:tcW w:w="1199" w:type="dxa"/>
          </w:tcPr>
          <w:p>
            <w:pPr>
              <w:spacing w:before="0" w:after="0" w:line="240" w:lineRule="auto"/>
              <w:jc w:val="left"/>
            </w:pPr>
            <w:r>
              <w:rPr>
                <w:sz w:val="20"/>
                <w:szCs w:val="20"/>
              </w:rPr>
              <w:t xml:space="preserve">0.910</w:t>
            </w:r>
          </w:p>
        </w:tc>
        <w:tc>
          <w:tcPr>
            <w:tcW w:w="997" w:type="dxa"/>
          </w:tcPr>
          <w:p>
            <w:pPr>
              <w:spacing w:before="0" w:after="0" w:line="240" w:lineRule="auto"/>
              <w:jc w:val="left"/>
            </w:pPr>
            <w:r>
              <w:rPr>
                <w:sz w:val="20"/>
                <w:szCs w:val="20"/>
              </w:rPr>
              <w:t xml:space="preserve">0.505 [0.498, 0.515]</w:t>
            </w:r>
          </w:p>
        </w:tc>
      </w:tr>
      <w:tr>
        <w:tc>
          <w:tcPr>
            <w:tcW w:w="9361" w:type="dxa"/>
            <w:gridSpan w:val="9"/>
          </w:tcPr>
          <w:p>
            <w:pPr>
              <w:spacing w:before="0" w:after="0" w:line="240" w:lineRule="auto"/>
              <w:jc w:val="left"/>
            </w:pPr>
            <w:r>
              <w:rPr>
                <w:iCs/>
                <w:i/>
                <w:sz w:val="20"/>
                <w:szCs w:val="20"/>
              </w:rPr>
              <w:t xml:space="preserve">Panel B: sampling and weight uncertainty, w ~ U(0.60, 0.75) in each replicate</w:t>
            </w:r>
          </w:p>
        </w:tc>
      </w:tr>
      <w:tr>
        <w:tc>
          <w:tcPr>
            <w:tcW w:w="1183" w:type="dxa"/>
          </w:tcPr>
          <w:p>
            <w:pPr>
              <w:spacing w:before="0" w:after="0" w:line="240" w:lineRule="auto"/>
              <w:jc w:val="left"/>
            </w:pPr>
            <w:r>
              <w:rPr>
                <w:sz w:val="20"/>
                <w:szCs w:val="20"/>
              </w:rPr>
              <w:t xml:space="preserve">Daily (1D)</w:t>
            </w:r>
          </w:p>
        </w:tc>
        <w:tc>
          <w:tcPr>
            <w:tcW w:w="750" w:type="dxa"/>
          </w:tcPr>
          <w:p>
            <w:pPr>
              <w:spacing w:before="0" w:after="0" w:line="240" w:lineRule="auto"/>
            </w:pPr>
          </w:p>
        </w:tc>
        <w:tc>
          <w:tcPr>
            <w:tcW w:w="994" w:type="dxa"/>
          </w:tcPr>
          <w:p>
            <w:pPr>
              <w:spacing w:before="0" w:after="0" w:line="240" w:lineRule="auto"/>
              <w:jc w:val="left"/>
            </w:pPr>
            <w:r>
              <w:rPr>
                <w:sz w:val="20"/>
                <w:szCs w:val="20"/>
              </w:rPr>
              <w:t xml:space="preserve">0.884 [0.821, 0.931]</w:t>
            </w:r>
          </w:p>
        </w:tc>
        <w:tc>
          <w:tcPr>
            <w:tcW w:w="865" w:type="dxa"/>
          </w:tcPr>
          <w:p>
            <w:pPr>
              <w:spacing w:before="0" w:after="0" w:line="240" w:lineRule="auto"/>
            </w:pPr>
          </w:p>
        </w:tc>
        <w:tc>
          <w:tcPr>
            <w:tcW w:w="1196" w:type="dxa"/>
          </w:tcPr>
          <w:p>
            <w:pPr>
              <w:spacing w:before="0" w:after="0" w:line="240" w:lineRule="auto"/>
              <w:jc w:val="left"/>
            </w:pPr>
            <w:r>
              <w:rPr>
                <w:sz w:val="20"/>
                <w:szCs w:val="20"/>
              </w:rPr>
              <w:t xml:space="preserve">0.900 [0.830, 0.938]</w:t>
            </w:r>
          </w:p>
        </w:tc>
        <w:tc>
          <w:tcPr>
            <w:tcW w:w="778" w:type="dxa"/>
          </w:tcPr>
          <w:p>
            <w:pPr>
              <w:spacing w:before="0" w:after="0" w:line="240" w:lineRule="auto"/>
            </w:pPr>
          </w:p>
        </w:tc>
        <w:tc>
          <w:tcPr>
            <w:tcW w:w="1399" w:type="dxa"/>
          </w:tcPr>
          <w:p>
            <w:pPr>
              <w:spacing w:before="0" w:after="0" w:line="240" w:lineRule="auto"/>
              <w:jc w:val="left"/>
            </w:pPr>
            <w:r>
              <w:rPr>
                <w:sz w:val="20"/>
                <w:szCs w:val="20"/>
              </w:rPr>
              <w:t xml:space="preserve">0.106 [0.071, 0.163]</w:t>
            </w:r>
          </w:p>
        </w:tc>
        <w:tc>
          <w:tcPr>
            <w:tcW w:w="1199" w:type="dxa"/>
          </w:tcPr>
          <w:p>
            <w:pPr>
              <w:spacing w:before="0" w:after="0" w:line="240" w:lineRule="auto"/>
              <w:jc w:val="left"/>
            </w:pPr>
            <w:r>
              <w:rPr>
                <w:sz w:val="20"/>
                <w:szCs w:val="20"/>
              </w:rPr>
              <w:t xml:space="preserve">0.911 [0.841, 0.949]</w:t>
            </w:r>
          </w:p>
        </w:tc>
        <w:tc>
          <w:tcPr>
            <w:tcW w:w="997" w:type="dxa"/>
          </w:tcPr>
          <w:p>
            <w:pPr>
              <w:spacing w:before="0" w:after="0" w:line="240" w:lineRule="auto"/>
              <w:jc w:val="left"/>
            </w:pPr>
            <w:r>
              <w:rPr>
                <w:sz w:val="20"/>
                <w:szCs w:val="20"/>
              </w:rPr>
              <w:t xml:space="preserve">0.508 [0.452, 0.556]</w:t>
            </w:r>
          </w:p>
        </w:tc>
      </w:tr>
      <w:tr>
        <w:tc>
          <w:tcPr>
            <w:tcW w:w="1183" w:type="dxa"/>
          </w:tcPr>
          <w:p>
            <w:pPr>
              <w:spacing w:before="0" w:after="0" w:line="240" w:lineRule="auto"/>
              <w:jc w:val="left"/>
            </w:pPr>
            <w:r>
              <w:rPr>
                <w:sz w:val="20"/>
                <w:szCs w:val="20"/>
              </w:rPr>
              <w:t xml:space="preserve">30-minute (M30)</w:t>
            </w:r>
          </w:p>
        </w:tc>
        <w:tc>
          <w:tcPr>
            <w:tcW w:w="750" w:type="dxa"/>
          </w:tcPr>
          <w:p>
            <w:pPr>
              <w:spacing w:before="0" w:after="0" w:line="240" w:lineRule="auto"/>
            </w:pPr>
          </w:p>
        </w:tc>
        <w:tc>
          <w:tcPr>
            <w:tcW w:w="994" w:type="dxa"/>
          </w:tcPr>
          <w:p>
            <w:pPr>
              <w:spacing w:before="0" w:after="0" w:line="240" w:lineRule="auto"/>
              <w:jc w:val="left"/>
            </w:pPr>
            <w:r>
              <w:rPr>
                <w:sz w:val="20"/>
                <w:szCs w:val="20"/>
              </w:rPr>
              <w:t xml:space="preserve">0.883 [0.817, 0.926]</w:t>
            </w:r>
          </w:p>
        </w:tc>
        <w:tc>
          <w:tcPr>
            <w:tcW w:w="865" w:type="dxa"/>
          </w:tcPr>
          <w:p>
            <w:pPr>
              <w:spacing w:before="0" w:after="0" w:line="240" w:lineRule="auto"/>
            </w:pPr>
          </w:p>
        </w:tc>
        <w:tc>
          <w:tcPr>
            <w:tcW w:w="1196" w:type="dxa"/>
          </w:tcPr>
          <w:p>
            <w:pPr>
              <w:spacing w:before="0" w:after="0" w:line="240" w:lineRule="auto"/>
              <w:jc w:val="left"/>
            </w:pPr>
            <w:r>
              <w:rPr>
                <w:sz w:val="20"/>
                <w:szCs w:val="20"/>
              </w:rPr>
              <w:t xml:space="preserve">0.893 [0.823, 0.932]</w:t>
            </w:r>
          </w:p>
        </w:tc>
        <w:tc>
          <w:tcPr>
            <w:tcW w:w="778" w:type="dxa"/>
          </w:tcPr>
          <w:p>
            <w:pPr>
              <w:spacing w:before="0" w:after="0" w:line="240" w:lineRule="auto"/>
            </w:pPr>
          </w:p>
        </w:tc>
        <w:tc>
          <w:tcPr>
            <w:tcW w:w="1399" w:type="dxa"/>
          </w:tcPr>
          <w:p>
            <w:pPr>
              <w:spacing w:before="0" w:after="0" w:line="240" w:lineRule="auto"/>
              <w:jc w:val="left"/>
            </w:pPr>
            <w:r>
              <w:rPr>
                <w:sz w:val="20"/>
                <w:szCs w:val="20"/>
              </w:rPr>
              <w:t xml:space="preserve">0.112 [0.077, 0.168]</w:t>
            </w:r>
          </w:p>
        </w:tc>
        <w:tc>
          <w:tcPr>
            <w:tcW w:w="1199" w:type="dxa"/>
          </w:tcPr>
          <w:p>
            <w:pPr>
              <w:spacing w:before="0" w:after="0" w:line="240" w:lineRule="auto"/>
              <w:jc w:val="left"/>
            </w:pPr>
            <w:r>
              <w:rPr>
                <w:sz w:val="20"/>
                <w:szCs w:val="20"/>
              </w:rPr>
              <w:t xml:space="preserve">0.905 [0.834, 0.944]</w:t>
            </w:r>
          </w:p>
        </w:tc>
        <w:tc>
          <w:tcPr>
            <w:tcW w:w="997" w:type="dxa"/>
          </w:tcPr>
          <w:p>
            <w:pPr>
              <w:spacing w:before="0" w:after="0" w:line="240" w:lineRule="auto"/>
              <w:jc w:val="left"/>
            </w:pPr>
            <w:r>
              <w:rPr>
                <w:sz w:val="20"/>
                <w:szCs w:val="20"/>
              </w:rPr>
              <w:t xml:space="preserve">0.505 [0.451, 0.555]</w:t>
            </w:r>
          </w:p>
        </w:tc>
      </w:tr>
    </w:tbl>
    <w:p>
      <w:pPr>
        <w:pStyle w:val="Compact"/>
      </w:pPr>
      <w:r>
        <w:rPr>
          <w:sz w:val="20"/>
          <w:szCs w:val="20"/>
        </w:rPr>
        <w:t xml:space="preserve">Notes: Quantities of Eqs. (7)–(11) averaged over s ≤ s</w:t>
      </w:r>
      <w:r>
        <w:rPr>
          <w:vertAlign w:val="subscript"/>
          <w:sz w:val="20"/>
          <w:szCs w:val="20"/>
        </w:rPr>
        <w:t xml:space="preserve">rel</w:t>
      </w:r>
      <w:r>
        <w:rPr>
          <w:sz w:val="20"/>
          <w:szCs w:val="20"/>
        </w:rPr>
        <w:t xml:space="preserve">; A = VN30, B = VN100, M = P</w:t>
      </w:r>
      <w:r>
        <w:rPr>
          <w:vertAlign w:val="subscript"/>
          <w:sz w:val="20"/>
          <w:szCs w:val="20"/>
        </w:rPr>
        <w:t xml:space="preserve">cap</w:t>
      </w:r>
      <w:r>
        <w:rPr>
          <w:sz w:val="20"/>
          <w:szCs w:val="20"/>
        </w:rPr>
        <w:t xml:space="preserve"> </w:t>
      </w:r>
      <w:r>
        <w:rPr>
          <w:sz w:val="20"/>
          <w:szCs w:val="20"/>
        </w:rPr>
        <w:t xml:space="preserve">(overlap-purged mid-cap series). Brackets: block-bootstrap 95% intervals; Panel B covers the daily and 30-minute frequencies. Source: Authors’ calculations.</w:t>
      </w:r>
    </w:p>
    <w:p>
      <w:pPr>
        <w:pStyle w:val="BodyText"/>
        <w:spacing w:before="0" w:after="120" w:line="300" w:lineRule="auto"/>
        <w:jc w:val="both"/>
      </w:pPr>
      <w:r>
        <w:rPr>
          <w:rFonts w:ascii="Times New Roman" w:hAnsi="Times New Roman" w:cs="Times New Roman" w:eastAsia="Times New Roman"/>
          <w:sz w:val="24"/>
          <w:szCs w:val="24"/>
        </w:rPr>
        <w:t xml:space="preserve">The sensitivity is 0.106–0.112: moving the nested coefficient by 0.01 requires the purged coefficient to move by about 0.09. Under weight uncertainty, the sensitivity interval is 0.07–0.17. With κ of 0.48–0.50, the remaining 32% of VN100 contributes about half as much detrended variation as VN30, which puts the benchmark at 0.893–0.900 and the lower bound of Eq. (9) at 0.864–0.875. No purged coefficient in [−1, 1] could push the VN30–VN100 coefficient below about 0.86.</w:t>
      </w:r>
    </w:p>
    <w:p>
      <w:pPr>
        <w:pStyle w:val="BodyText"/>
        <w:spacing w:before="0" w:after="120" w:line="300" w:lineRule="auto"/>
        <w:jc w:val="both"/>
      </w:pPr>
      <w:r>
        <w:rPr>
          <w:rFonts w:ascii="Times New Roman" w:hAnsi="Times New Roman" w:cs="Times New Roman" w:eastAsia="Times New Roman"/>
          <w:sz w:val="24"/>
          <w:szCs w:val="24"/>
        </w:rPr>
        <w:t xml:space="preserve">The part of the observed 0.987–0.988 attributable to overlap depends on the attribution convention. The benchmark-first share is 0.905–0.911 and the dependence-first share 0.895–0.900, because either factor alone produces a coefficient near 0.9. The Shapley split attributes 0.505–0.508 to overlap (intervals within 0.497–0.521). Weight uncertainty widens the Shapley intervals to 0.45–0.56 and the benchmark-first intervals to 0.83–0.95, against a sampling-only width of about 0.02, so weight error dominates the uncertainty of any attribution.</w:t>
      </w:r>
    </w:p>
    <w:p>
      <w:pPr>
        <w:pStyle w:val="BodyText"/>
        <w:spacing w:before="0" w:after="120" w:line="300" w:lineRule="auto"/>
        <w:jc w:val="both"/>
      </w:pPr>
      <w:r>
        <w:rPr>
          <w:rFonts w:ascii="Times New Roman" w:hAnsi="Times New Roman" w:cs="Times New Roman" w:eastAsia="Times New Roman"/>
          <w:sz w:val="24"/>
          <w:szCs w:val="24"/>
        </w:rPr>
        <w:t xml:space="preserve">The decomposition barely varies with the horizon. Across reliable scales and frequencies, κ lies in 0.47–0.52, the benchmark varies by 0.007–0.016 within a frequency, and its slope on ln s is not significant at 5% (p = 0.052–0.456; Holm 0.208–0.828), although at M30 the percentile interval just excludes zero. The slope, about −0.002 per unit of ln s, is negligible. On full-sample Pearson moments, the benchmark is 0.898–0.903 and the benchmark-first share 0.911–0.914, within 0.01 of the DCCA values. In these data, the multiscale layer checks scale invariance, and Box 1 suffices in practice. The DCCA version matters where tiers scale differently, which Eq. (7) reveals as variation in κ(s).</w:t>
      </w:r>
    </w:p>
    <w:p>
      <w:pPr>
        <w:pStyle w:val="BodyText"/>
        <w:spacing w:before="0" w:after="120" w:line="300" w:lineRule="auto"/>
        <w:jc w:val="both"/>
      </w:pPr>
      <w:r>
        <w:rPr>
          <w:rFonts w:ascii="Times New Roman" w:hAnsi="Times New Roman" w:cs="Times New Roman" w:eastAsia="Times New Roman"/>
          <w:sz w:val="24"/>
          <w:szCs w:val="24"/>
        </w:rPr>
        <w:drawing>
          <wp:inline>
            <wp:extent cx="5760720" cy="4608576"/>
            <wp:effectExtent b="0" l="0" r="0" t="0"/>
            <wp:docPr descr="" title="" id="27" name="Picture"/>
            <a:graphic>
              <a:graphicData uri="http://schemas.openxmlformats.org/drawingml/2006/picture">
                <pic:pic>
                  <pic:nvPicPr>
                    <pic:cNvPr descr="/home/user/B-i-stock-to-n/Python%20for%20Algorithmic%20Trading/NCKH/Bài%20stock%20toán/project_R/docx_build/../outputs/figures/fig4_overlap_decomposition.png" id="28" name="Picture"/>
                    <pic:cNvPicPr>
                      <a:picLocks noChangeArrowheads="1" noChangeAspect="1"/>
                    </pic:cNvPicPr>
                  </pic:nvPicPr>
                  <pic:blipFill>
                    <a:blip r:embed="rId26"/>
                    <a:stretch>
                      <a:fillRect/>
                    </a:stretch>
                  </pic:blipFill>
                  <pic:spPr bwMode="auto">
                    <a:xfrm>
                      <a:off x="0" y="0"/>
                      <a:ext cx="5760720" cy="4608576"/>
                    </a:xfrm>
                    <a:prstGeom prst="rect">
                      <a:avLst/>
                    </a:prstGeom>
                    <a:noFill/>
                    <a:ln w="9525">
                      <a:noFill/>
                      <a:headEnd/>
                      <a:tailEnd/>
                    </a:ln>
                  </pic:spPr>
                </pic:pic>
              </a:graphicData>
            </a:graphic>
          </wp:inline>
        </w:drawing>
      </w:r>
    </w:p>
    <w:p>
      <w:pPr>
        <w:pStyle w:val="figurecaption"/>
      </w:pPr>
      <w:r>
        <w:rPr>
          <w:bCs/>
          <w:b/>
        </w:rPr>
        <w:t xml:space="preserve">Fig. 3</w:t>
      </w:r>
      <w:r>
        <w:t xml:space="preserve"> </w:t>
      </w:r>
      <w:r>
        <w:t xml:space="preserve">Nested VN30–VN100 coefficient implied by Lemma 1 as a function of the overlap-purged coefficient</w:t>
      </w:r>
    </w:p>
    <w:p>
      <w:pPr>
        <w:pStyle w:val="Compact"/>
      </w:pPr>
      <w:r>
        <w:rPr>
          <w:sz w:val="20"/>
          <w:szCs w:val="20"/>
        </w:rPr>
        <w:t xml:space="preserve">Notes: Lines: Eq. (7) at the average κ of each frequency (Table 5); markers: observed values; dashed line: daily zero-correlation benchmark; dotted line: daily lower bound of Eq. (9). Source: Authors’ calculations.</w:t>
      </w:r>
    </w:p>
    <w:p>
      <w:pPr>
        <w:pStyle w:val="BodyText"/>
        <w:spacing w:before="0" w:after="120" w:line="300" w:lineRule="auto"/>
        <w:jc w:val="both"/>
      </w:pPr>
      <w:r>
        <w:rPr>
          <w:rFonts w:ascii="Times New Roman" w:hAnsi="Times New Roman" w:cs="Times New Roman" w:eastAsia="Times New Roman"/>
          <w:sz w:val="24"/>
          <w:szCs w:val="24"/>
        </w:rPr>
        <w:t xml:space="preserve">Fig. 4 places the HOSE among possible nested systems: the contours show the Pearson benchmark by child weight and relative volatility of the remaining constituents, and the triangle marks VN30 in VN100 (w = 0.683, σ</w:t>
      </w:r>
      <w:r>
        <w:rPr>
          <w:rFonts w:ascii="Times New Roman" w:hAnsi="Times New Roman" w:cs="Times New Roman" w:eastAsia="Times New Roman"/>
          <w:vertAlign w:val="subscript"/>
          <w:sz w:val="24"/>
          <w:szCs w:val="24"/>
        </w:rPr>
        <w:t xml:space="preserve">M</w:t>
      </w:r>
      <w:r>
        <w:rPr>
          <w:rFonts w:ascii="Times New Roman" w:hAnsi="Times New Roman" w:cs="Times New Roman" w:eastAsia="Times New Roman"/>
          <w:sz w:val="24"/>
          <w:szCs w:val="24"/>
        </w:rPr>
        <w:t xml:space="preserve">/σ</w:t>
      </w:r>
      <w:r>
        <w:rPr>
          <w:rFonts w:ascii="Times New Roman" w:hAnsi="Times New Roman" w:cs="Times New Roman" w:eastAsia="Times New Roman"/>
          <w:vertAlign w:val="subscript"/>
          <w:sz w:val="24"/>
          <w:szCs w:val="24"/>
        </w:rPr>
        <w:t xml:space="preserve">A</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1.02, benchmark 0.903). Even a child weight of 0.5 with equal volatilities gives a benchmark of about 0.7.</w:t>
      </w:r>
    </w:p>
    <w:p>
      <w:pPr>
        <w:pStyle w:val="BodyText"/>
        <w:spacing w:before="0" w:after="120" w:line="300" w:lineRule="auto"/>
        <w:jc w:val="both"/>
      </w:pPr>
      <w:r>
        <w:rPr>
          <w:rFonts w:ascii="Times New Roman" w:hAnsi="Times New Roman" w:cs="Times New Roman" w:eastAsia="Times New Roman"/>
          <w:sz w:val="24"/>
          <w:szCs w:val="24"/>
        </w:rPr>
        <w:drawing>
          <wp:inline>
            <wp:extent cx="5760720" cy="4378147"/>
            <wp:effectExtent b="0" l="0" r="0" t="0"/>
            <wp:docPr descr="" title="" id="30" name="Picture"/>
            <a:graphic>
              <a:graphicData uri="http://schemas.openxmlformats.org/drawingml/2006/picture">
                <pic:pic>
                  <pic:nvPicPr>
                    <pic:cNvPr descr="/home/user/B-i-stock-to-n/Python%20for%20Algorithmic%20Trading/NCKH/Bài%20stock%20toán/project_R/docx_build/../outputs/figures/fig5_floor_contour.png" id="31" name="Picture"/>
                    <pic:cNvPicPr>
                      <a:picLocks noChangeArrowheads="1" noChangeAspect="1"/>
                    </pic:cNvPicPr>
                  </pic:nvPicPr>
                  <pic:blipFill>
                    <a:blip r:embed="rId29"/>
                    <a:stretch>
                      <a:fillRect/>
                    </a:stretch>
                  </pic:blipFill>
                  <pic:spPr bwMode="auto">
                    <a:xfrm>
                      <a:off x="0" y="0"/>
                      <a:ext cx="5760720" cy="4378147"/>
                    </a:xfrm>
                    <a:prstGeom prst="rect">
                      <a:avLst/>
                    </a:prstGeom>
                    <a:noFill/>
                    <a:ln w="9525">
                      <a:noFill/>
                      <a:headEnd/>
                      <a:tailEnd/>
                    </a:ln>
                  </pic:spPr>
                </pic:pic>
              </a:graphicData>
            </a:graphic>
          </wp:inline>
        </w:drawing>
      </w:r>
    </w:p>
    <w:p>
      <w:pPr>
        <w:pStyle w:val="figurecaption"/>
      </w:pPr>
      <w:r>
        <w:rPr>
          <w:bCs/>
          <w:b/>
        </w:rPr>
        <w:t xml:space="preserve">Fig. 4</w:t>
      </w:r>
      <w:r>
        <w:t xml:space="preserve"> </w:t>
      </w:r>
      <w:r>
        <w:t xml:space="preserve">Zero-correlation benchmark ρ̲ as a function of the child weight w and the relative volatility σ</w:t>
      </w:r>
      <w:r>
        <w:rPr>
          <w:vertAlign w:val="subscript"/>
        </w:rPr>
        <w:t xml:space="preserve">M</w:t>
      </w:r>
      <w:r>
        <w:t xml:space="preserve">/σ</w:t>
      </w:r>
      <w:r>
        <w:rPr>
          <w:vertAlign w:val="subscript"/>
        </w:rPr>
        <w:t xml:space="preserve">A</w:t>
      </w:r>
    </w:p>
    <w:p>
      <w:pPr>
        <w:pStyle w:val="Compact"/>
      </w:pPr>
      <w:r>
        <w:rPr>
          <w:sz w:val="20"/>
          <w:szCs w:val="20"/>
        </w:rPr>
        <w:t xml:space="preserve">Notes: Contours of Eq. (8) with κ = (1 − w)σ</w:t>
      </w:r>
      <w:r>
        <w:rPr>
          <w:vertAlign w:val="subscript"/>
          <w:sz w:val="20"/>
          <w:szCs w:val="20"/>
        </w:rPr>
        <w:t xml:space="preserve">M</w:t>
      </w:r>
      <w:r>
        <w:rPr>
          <w:sz w:val="20"/>
          <w:szCs w:val="20"/>
        </w:rPr>
        <w:t xml:space="preserve">/(wσ</w:t>
      </w:r>
      <w:r>
        <w:rPr>
          <w:vertAlign w:val="subscript"/>
          <w:sz w:val="20"/>
          <w:szCs w:val="20"/>
        </w:rPr>
        <w:t xml:space="preserve">A</w:t>
      </w:r>
      <w:r>
        <w:rPr>
          <w:sz w:val="20"/>
          <w:szCs w:val="20"/>
        </w:rPr>
        <w:t xml:space="preserve">); triangle: VN30 in VN100, daily Pearson moments. Source: Authors’ calculations.</w:t>
      </w:r>
    </w:p>
    <w:p>
      <w:pPr>
        <w:pStyle w:val="heading20"/>
        <w:numPr>
          <w:ilvl w:val="0"/>
          <w:numId w:val="0"/>
        </w:numPr>
      </w:pPr>
      <w:r>
        <w:rPr>
          <w:rFonts w:ascii="Times New Roman" w:hAnsi="Times New Roman" w:cs="Times New Roman" w:eastAsia="Times New Roman"/>
          <w:b/>
          <w:sz w:val="24"/>
          <w:szCs w:val="24"/>
        </w:rPr>
        <w:t xml:space="preserve">5.4 Horizon dependence (H2)</w:t>
      </w:r>
    </w:p>
    <w:p>
      <w:pPr>
        <w:pStyle w:val="p1a"/>
        <w:spacing w:before="0" w:after="120" w:line="300" w:lineRule="auto"/>
        <w:jc w:val="both"/>
      </w:pPr>
      <w:r>
        <w:rPr>
          <w:rFonts w:ascii="Times New Roman" w:hAnsi="Times New Roman" w:cs="Times New Roman" w:eastAsia="Times New Roman"/>
          <w:sz w:val="24"/>
          <w:szCs w:val="24"/>
        </w:rPr>
        <w:t xml:space="preserve">Table 6 lists reliable-range slopes for the four main pairs with bootstrap, studentized and adjusted p-values.</w:t>
      </w:r>
    </w:p>
    <w:p>
      <w:pPr>
        <w:pStyle w:val="tablecaption0"/>
      </w:pPr>
      <w:r>
        <w:rPr>
          <w:bCs/>
          <w:b/>
        </w:rPr>
        <w:t xml:space="preserve">Table 6</w:t>
      </w:r>
      <w:r>
        <w:t xml:space="preserve"> </w:t>
      </w:r>
      <w:r>
        <w:t xml:space="preserve">Reliable-range scaling slopes of DCCA coefficients</w:t>
      </w:r>
    </w:p>
    <w:tbl>
      <w:tblPr>
        <w:tblStyle w:val="TableGrid"/>
        <w:tblW w:type="pct" w:w="5000"/>
        <w:tblLook w:firstRow="1" w:lastRow="0" w:firstColumn="0" w:lastColumn="0" w:noHBand="0" w:noVBand="0" w:val="0020"/>
        <w:jc w:val="start"/>
      </w:tblPr>
      <w:tblGrid>
        <w:gridCol w:w="1255"/>
        <w:gridCol w:w="1047"/>
        <w:gridCol w:w="1404"/>
        <w:gridCol w:w="1404"/>
        <w:gridCol w:w="1612"/>
        <w:gridCol w:w="884"/>
        <w:gridCol w:w="988"/>
        <w:gridCol w:w="765"/>
      </w:tblGrid>
      <w:tr>
        <w:trPr>
          <w:tblHeader w:val="true"/>
        </w:trPr>
        <w:tc>
          <w:tcPr>
            <w:tcW w:w="1255" w:type="dxa"/>
          </w:tcPr>
          <w:p>
            <w:pPr>
              <w:spacing w:before="0" w:after="0" w:line="240" w:lineRule="auto"/>
              <w:jc w:val="left"/>
            </w:pPr>
            <w:r>
              <w:rPr>
                <w:sz w:val="20"/>
                <w:szCs w:val="20"/>
              </w:rPr>
              <w:t xml:space="preserve">Frequency</w:t>
            </w:r>
          </w:p>
        </w:tc>
        <w:tc>
          <w:tcPr>
            <w:tcW w:w="1047" w:type="dxa"/>
          </w:tcPr>
          <w:p>
            <w:pPr>
              <w:spacing w:before="0" w:after="0" w:line="240" w:lineRule="auto"/>
              <w:jc w:val="left"/>
            </w:pPr>
            <w:r>
              <w:rPr>
                <w:sz w:val="20"/>
                <w:szCs w:val="20"/>
              </w:rPr>
              <w:t xml:space="preserve">Pair</w:t>
            </w:r>
          </w:p>
        </w:tc>
        <w:tc>
          <w:tcPr>
            <w:tcW w:w="1404" w:type="dxa"/>
          </w:tcPr>
          <w:p>
            <w:pPr>
              <w:spacing w:before="0" w:after="0" w:line="240" w:lineRule="auto"/>
              <w:jc w:val="left"/>
            </w:pPr>
            <w:r>
              <w:rPr>
                <w:sz w:val="20"/>
                <w:szCs w:val="20"/>
              </w:rPr>
              <w:t xml:space="preserve">Slope [95% CI]</w:t>
            </w:r>
          </w:p>
        </w:tc>
        <w:tc>
          <w:tcPr>
            <w:tcW w:w="1404" w:type="dxa"/>
          </w:tcPr>
          <w:p>
            <w:pPr>
              <w:spacing w:before="0" w:after="0" w:line="240" w:lineRule="auto"/>
              <w:jc w:val="left"/>
            </w:pPr>
            <w:r>
              <w:rPr>
                <w:sz w:val="20"/>
                <w:szCs w:val="20"/>
              </w:rPr>
              <w:t xml:space="preserve">p (bootstrap)</w:t>
            </w:r>
          </w:p>
        </w:tc>
        <w:tc>
          <w:tcPr>
            <w:tcW w:w="1612" w:type="dxa"/>
          </w:tcPr>
          <w:p>
            <w:pPr>
              <w:spacing w:before="0" w:after="0" w:line="240" w:lineRule="auto"/>
              <w:jc w:val="left"/>
            </w:pPr>
            <w:r>
              <w:rPr>
                <w:sz w:val="20"/>
                <w:szCs w:val="20"/>
              </w:rPr>
              <w:t xml:space="preserve">p (studentized)</w:t>
            </w:r>
          </w:p>
        </w:tc>
        <w:tc>
          <w:tcPr>
            <w:tcW w:w="884" w:type="dxa"/>
          </w:tcPr>
          <w:p>
            <w:pPr>
              <w:spacing w:before="0" w:after="0" w:line="240" w:lineRule="auto"/>
              <w:jc w:val="left"/>
            </w:pPr>
            <w:r>
              <w:rPr>
                <w:sz w:val="20"/>
                <w:szCs w:val="20"/>
              </w:rPr>
              <w:t xml:space="preserve">Holm, 19 tests</w:t>
            </w:r>
          </w:p>
        </w:tc>
        <w:tc>
          <w:tcPr>
            <w:tcW w:w="988" w:type="dxa"/>
          </w:tcPr>
          <w:p>
            <w:pPr>
              <w:spacing w:before="0" w:after="0" w:line="240" w:lineRule="auto"/>
              <w:jc w:val="left"/>
            </w:pPr>
            <w:r>
              <w:rPr>
                <w:sz w:val="20"/>
                <w:szCs w:val="20"/>
              </w:rPr>
              <w:t xml:space="preserve">Holm, H2 family</w:t>
            </w:r>
          </w:p>
        </w:tc>
        <w:tc>
          <w:tcPr>
            <w:tcW w:w="765" w:type="dxa"/>
          </w:tcPr>
          <w:p>
            <w:pPr>
              <w:spacing w:before="0" w:after="0" w:line="240" w:lineRule="auto"/>
              <w:jc w:val="left"/>
            </w:pPr>
            <w:r>
              <w:rPr>
                <w:sz w:val="20"/>
                <w:szCs w:val="20"/>
              </w:rPr>
              <w:t xml:space="preserve">TOST p</w:t>
            </w:r>
          </w:p>
        </w:tc>
      </w:tr>
      <w:tr>
        <w:tc>
          <w:tcPr>
            <w:tcW w:w="1255" w:type="dxa"/>
          </w:tcPr>
          <w:p>
            <w:pPr>
              <w:spacing w:before="0" w:after="0" w:line="240" w:lineRule="auto"/>
              <w:jc w:val="left"/>
            </w:pPr>
            <w:r>
              <w:rPr>
                <w:sz w:val="20"/>
                <w:szCs w:val="20"/>
              </w:rPr>
              <w:t xml:space="preserve">Daily (1D)</w:t>
            </w:r>
          </w:p>
        </w:tc>
        <w:tc>
          <w:tcPr>
            <w:tcW w:w="1047" w:type="dxa"/>
          </w:tcPr>
          <w:p>
            <w:pPr>
              <w:spacing w:before="0" w:after="0" w:line="240" w:lineRule="auto"/>
              <w:jc w:val="left"/>
            </w:pPr>
            <w:r>
              <w:rPr>
                <w:sz w:val="20"/>
                <w:szCs w:val="20"/>
              </w:rPr>
              <w:t xml:space="preserve">VN30–VNINDEX</w:t>
            </w:r>
          </w:p>
        </w:tc>
        <w:tc>
          <w:tcPr>
            <w:tcW w:w="1404" w:type="dxa"/>
          </w:tcPr>
          <w:p>
            <w:pPr>
              <w:spacing w:before="0" w:after="0" w:line="240" w:lineRule="auto"/>
              <w:jc w:val="left"/>
            </w:pPr>
            <w:r>
              <w:rPr>
                <w:sz w:val="20"/>
                <w:szCs w:val="20"/>
              </w:rPr>
              <w:t xml:space="preserve">0.0010 [−0.0031, 0.0043]</w:t>
            </w:r>
          </w:p>
        </w:tc>
        <w:tc>
          <w:tcPr>
            <w:tcW w:w="1404" w:type="dxa"/>
          </w:tcPr>
          <w:p>
            <w:pPr>
              <w:spacing w:before="0" w:after="0" w:line="240" w:lineRule="auto"/>
              <w:jc w:val="left"/>
            </w:pPr>
            <w:r>
              <w:rPr>
                <w:sz w:val="20"/>
                <w:szCs w:val="20"/>
              </w:rPr>
              <w:t xml:space="preserve">0.700</w:t>
            </w:r>
          </w:p>
        </w:tc>
        <w:tc>
          <w:tcPr>
            <w:tcW w:w="1612" w:type="dxa"/>
          </w:tcPr>
          <w:p>
            <w:pPr>
              <w:spacing w:before="0" w:after="0" w:line="240" w:lineRule="auto"/>
              <w:jc w:val="left"/>
            </w:pPr>
            <w:r>
              <w:rPr>
                <w:sz w:val="20"/>
                <w:szCs w:val="20"/>
              </w:rPr>
              <w:t xml:space="preserve">0.602</w:t>
            </w:r>
          </w:p>
        </w:tc>
        <w:tc>
          <w:tcPr>
            <w:tcW w:w="884" w:type="dxa"/>
          </w:tcPr>
          <w:p>
            <w:pPr>
              <w:spacing w:before="0" w:after="0" w:line="240" w:lineRule="auto"/>
              <w:jc w:val="left"/>
            </w:pPr>
            <w:r>
              <w:rPr>
                <w:sz w:val="20"/>
                <w:szCs w:val="20"/>
              </w:rPr>
              <w:t xml:space="preserve">1.000</w:t>
            </w:r>
          </w:p>
        </w:tc>
        <w:tc>
          <w:tcPr>
            <w:tcW w:w="988" w:type="dxa"/>
          </w:tcPr>
          <w:p>
            <w:pPr>
              <w:spacing w:before="0" w:after="0" w:line="240" w:lineRule="auto"/>
              <w:jc w:val="left"/>
            </w:pPr>
            <w:r>
              <w:rPr>
                <w:sz w:val="20"/>
                <w:szCs w:val="20"/>
              </w:rPr>
              <w:t xml:space="preserve">1.000</w:t>
            </w:r>
          </w:p>
        </w:tc>
        <w:tc>
          <w:tcPr>
            <w:tcW w:w="765" w:type="dxa"/>
          </w:tcPr>
          <w:p>
            <w:pPr>
              <w:spacing w:before="0" w:after="0" w:line="240" w:lineRule="auto"/>
              <w:jc w:val="left"/>
            </w:pPr>
            <w:r>
              <w:rPr>
                <w:sz w:val="20"/>
                <w:szCs w:val="20"/>
              </w:rPr>
              <w:t xml:space="preserve">–</w:t>
            </w:r>
          </w:p>
        </w:tc>
      </w:tr>
      <w:tr>
        <w:tc>
          <w:tcPr>
            <w:tcW w:w="1255" w:type="dxa"/>
          </w:tcPr>
          <w:p>
            <w:pPr>
              <w:spacing w:before="0" w:after="0" w:line="240" w:lineRule="auto"/>
              <w:jc w:val="left"/>
            </w:pPr>
            <w:r>
              <w:rPr>
                <w:sz w:val="20"/>
                <w:szCs w:val="20"/>
              </w:rPr>
              <w:t xml:space="preserve">Daily (1D)</w:t>
            </w:r>
          </w:p>
        </w:tc>
        <w:tc>
          <w:tcPr>
            <w:tcW w:w="1047" w:type="dxa"/>
          </w:tcPr>
          <w:p>
            <w:pPr>
              <w:spacing w:before="0" w:after="0" w:line="240" w:lineRule="auto"/>
              <w:jc w:val="left"/>
            </w:pPr>
            <w:r>
              <w:rPr>
                <w:sz w:val="20"/>
                <w:szCs w:val="20"/>
              </w:rPr>
              <w:t xml:space="preserve">VN100–VNINDEX</w:t>
            </w:r>
          </w:p>
        </w:tc>
        <w:tc>
          <w:tcPr>
            <w:tcW w:w="1404" w:type="dxa"/>
          </w:tcPr>
          <w:p>
            <w:pPr>
              <w:spacing w:before="0" w:after="0" w:line="240" w:lineRule="auto"/>
              <w:jc w:val="left"/>
            </w:pPr>
            <w:r>
              <w:rPr>
                <w:sz w:val="20"/>
                <w:szCs w:val="20"/>
              </w:rPr>
              <w:t xml:space="preserve">0.0008 [−0.0021, 0.0027]</w:t>
            </w:r>
          </w:p>
        </w:tc>
        <w:tc>
          <w:tcPr>
            <w:tcW w:w="1404" w:type="dxa"/>
          </w:tcPr>
          <w:p>
            <w:pPr>
              <w:spacing w:before="0" w:after="0" w:line="240" w:lineRule="auto"/>
              <w:jc w:val="left"/>
            </w:pPr>
            <w:r>
              <w:rPr>
                <w:sz w:val="20"/>
                <w:szCs w:val="20"/>
              </w:rPr>
              <w:t xml:space="preserve">0.736</w:t>
            </w:r>
          </w:p>
        </w:tc>
        <w:tc>
          <w:tcPr>
            <w:tcW w:w="1612" w:type="dxa"/>
          </w:tcPr>
          <w:p>
            <w:pPr>
              <w:spacing w:before="0" w:after="0" w:line="240" w:lineRule="auto"/>
              <w:jc w:val="left"/>
            </w:pPr>
            <w:r>
              <w:rPr>
                <w:sz w:val="20"/>
                <w:szCs w:val="20"/>
              </w:rPr>
              <w:t xml:space="preserve">0.530</w:t>
            </w:r>
          </w:p>
        </w:tc>
        <w:tc>
          <w:tcPr>
            <w:tcW w:w="884" w:type="dxa"/>
          </w:tcPr>
          <w:p>
            <w:pPr>
              <w:spacing w:before="0" w:after="0" w:line="240" w:lineRule="auto"/>
              <w:jc w:val="left"/>
            </w:pPr>
            <w:r>
              <w:rPr>
                <w:sz w:val="20"/>
                <w:szCs w:val="20"/>
              </w:rPr>
              <w:t xml:space="preserve">1.000</w:t>
            </w:r>
          </w:p>
        </w:tc>
        <w:tc>
          <w:tcPr>
            <w:tcW w:w="988" w:type="dxa"/>
          </w:tcPr>
          <w:p>
            <w:pPr>
              <w:spacing w:before="0" w:after="0" w:line="240" w:lineRule="auto"/>
              <w:jc w:val="left"/>
            </w:pPr>
            <w:r>
              <w:rPr>
                <w:sz w:val="20"/>
                <w:szCs w:val="20"/>
              </w:rPr>
              <w:t xml:space="preserve">1.000</w:t>
            </w:r>
          </w:p>
        </w:tc>
        <w:tc>
          <w:tcPr>
            <w:tcW w:w="765" w:type="dxa"/>
          </w:tcPr>
          <w:p>
            <w:pPr>
              <w:spacing w:before="0" w:after="0" w:line="240" w:lineRule="auto"/>
              <w:jc w:val="left"/>
            </w:pPr>
            <w:r>
              <w:rPr>
                <w:sz w:val="20"/>
                <w:szCs w:val="20"/>
              </w:rPr>
              <w:t xml:space="preserve">–</w:t>
            </w:r>
          </w:p>
        </w:tc>
      </w:tr>
      <w:tr>
        <w:tc>
          <w:tcPr>
            <w:tcW w:w="1255" w:type="dxa"/>
          </w:tcPr>
          <w:p>
            <w:pPr>
              <w:spacing w:before="0" w:after="0" w:line="240" w:lineRule="auto"/>
              <w:jc w:val="left"/>
            </w:pPr>
            <w:r>
              <w:rPr>
                <w:sz w:val="20"/>
                <w:szCs w:val="20"/>
              </w:rPr>
              <w:t xml:space="preserve">Daily (1D)</w:t>
            </w:r>
          </w:p>
        </w:tc>
        <w:tc>
          <w:tcPr>
            <w:tcW w:w="1047" w:type="dxa"/>
          </w:tcPr>
          <w:p>
            <w:pPr>
              <w:spacing w:before="0" w:after="0" w:line="240" w:lineRule="auto"/>
              <w:jc w:val="left"/>
            </w:pPr>
            <w:r>
              <w:rPr>
                <w:sz w:val="20"/>
                <w:szCs w:val="20"/>
              </w:rPr>
              <w:t xml:space="preserve">VN30–VN100</w:t>
            </w:r>
          </w:p>
        </w:tc>
        <w:tc>
          <w:tcPr>
            <w:tcW w:w="1404" w:type="dxa"/>
          </w:tcPr>
          <w:p>
            <w:pPr>
              <w:spacing w:before="0" w:after="0" w:line="240" w:lineRule="auto"/>
              <w:jc w:val="left"/>
            </w:pPr>
            <w:r>
              <w:rPr>
                <w:sz w:val="20"/>
                <w:szCs w:val="20"/>
              </w:rPr>
              <w:t xml:space="preserve">−0.0008 [−0.0023, 0.0008]</w:t>
            </w:r>
          </w:p>
        </w:tc>
        <w:tc>
          <w:tcPr>
            <w:tcW w:w="1404" w:type="dxa"/>
          </w:tcPr>
          <w:p>
            <w:pPr>
              <w:spacing w:before="0" w:after="0" w:line="240" w:lineRule="auto"/>
              <w:jc w:val="left"/>
            </w:pPr>
            <w:r>
              <w:rPr>
                <w:sz w:val="20"/>
                <w:szCs w:val="20"/>
              </w:rPr>
              <w:t xml:space="preserve">0.348</w:t>
            </w:r>
          </w:p>
        </w:tc>
        <w:tc>
          <w:tcPr>
            <w:tcW w:w="1612" w:type="dxa"/>
          </w:tcPr>
          <w:p>
            <w:pPr>
              <w:spacing w:before="0" w:after="0" w:line="240" w:lineRule="auto"/>
              <w:jc w:val="left"/>
            </w:pPr>
            <w:r>
              <w:rPr>
                <w:sz w:val="20"/>
                <w:szCs w:val="20"/>
              </w:rPr>
              <w:t xml:space="preserve">0.319</w:t>
            </w:r>
          </w:p>
        </w:tc>
        <w:tc>
          <w:tcPr>
            <w:tcW w:w="884" w:type="dxa"/>
          </w:tcPr>
          <w:p>
            <w:pPr>
              <w:spacing w:before="0" w:after="0" w:line="240" w:lineRule="auto"/>
              <w:jc w:val="left"/>
            </w:pPr>
            <w:r>
              <w:rPr>
                <w:sz w:val="20"/>
                <w:szCs w:val="20"/>
              </w:rPr>
              <w:t xml:space="preserve">1.000</w:t>
            </w:r>
          </w:p>
        </w:tc>
        <w:tc>
          <w:tcPr>
            <w:tcW w:w="988" w:type="dxa"/>
          </w:tcPr>
          <w:p>
            <w:pPr>
              <w:spacing w:before="0" w:after="0" w:line="240" w:lineRule="auto"/>
              <w:jc w:val="left"/>
            </w:pPr>
            <w:r>
              <w:rPr>
                <w:sz w:val="20"/>
                <w:szCs w:val="20"/>
              </w:rPr>
              <w:t xml:space="preserve">–</w:t>
            </w:r>
          </w:p>
        </w:tc>
        <w:tc>
          <w:tcPr>
            <w:tcW w:w="765" w:type="dxa"/>
          </w:tcPr>
          <w:p>
            <w:pPr>
              <w:spacing w:before="0" w:after="0" w:line="240" w:lineRule="auto"/>
              <w:jc w:val="left"/>
            </w:pPr>
            <w:r>
              <w:rPr>
                <w:sz w:val="20"/>
                <w:szCs w:val="20"/>
              </w:rPr>
              <w:t xml:space="preserve">0.385</w:t>
            </w:r>
          </w:p>
        </w:tc>
      </w:tr>
      <w:tr>
        <w:tc>
          <w:tcPr>
            <w:tcW w:w="1255" w:type="dxa"/>
          </w:tcPr>
          <w:p>
            <w:pPr>
              <w:spacing w:before="0" w:after="0" w:line="240" w:lineRule="auto"/>
              <w:jc w:val="left"/>
            </w:pPr>
            <w:r>
              <w:rPr>
                <w:sz w:val="20"/>
                <w:szCs w:val="20"/>
              </w:rPr>
              <w:t xml:space="preserve">Daily (1D)</w:t>
            </w:r>
          </w:p>
        </w:tc>
        <w:tc>
          <w:tcPr>
            <w:tcW w:w="1047" w:type="dxa"/>
          </w:tcPr>
          <w:p>
            <w:pPr>
              <w:spacing w:before="0" w:after="0" w:line="240" w:lineRule="auto"/>
              <w:jc w:val="left"/>
            </w:pPr>
            <w:r>
              <w:rPr>
                <w:sz w:val="20"/>
                <w:szCs w:val="20"/>
              </w:rPr>
              <w:t xml:space="preserve">P</w:t>
            </w:r>
            <w:r>
              <w:rPr>
                <w:vertAlign w:val="subscript"/>
                <w:sz w:val="20"/>
                <w:szCs w:val="20"/>
              </w:rPr>
              <w:t xml:space="preserve">cap</w:t>
            </w:r>
            <w:r>
              <w:rPr>
                <w:sz w:val="20"/>
                <w:szCs w:val="20"/>
              </w:rPr>
              <w:t xml:space="preserve">–VN30</w:t>
            </w:r>
          </w:p>
        </w:tc>
        <w:tc>
          <w:tcPr>
            <w:tcW w:w="1404" w:type="dxa"/>
          </w:tcPr>
          <w:p>
            <w:pPr>
              <w:spacing w:before="0" w:after="0" w:line="240" w:lineRule="auto"/>
              <w:jc w:val="left"/>
            </w:pPr>
            <w:r>
              <w:rPr>
                <w:sz w:val="20"/>
                <w:szCs w:val="20"/>
              </w:rPr>
              <w:t xml:space="preserve">−0.0040 [−0.0157, 0.0085]</w:t>
            </w:r>
          </w:p>
        </w:tc>
        <w:tc>
          <w:tcPr>
            <w:tcW w:w="1404" w:type="dxa"/>
          </w:tcPr>
          <w:p>
            <w:pPr>
              <w:spacing w:before="0" w:after="0" w:line="240" w:lineRule="auto"/>
              <w:jc w:val="left"/>
            </w:pPr>
            <w:r>
              <w:rPr>
                <w:sz w:val="20"/>
                <w:szCs w:val="20"/>
              </w:rPr>
              <w:t xml:space="preserve">0.576</w:t>
            </w:r>
          </w:p>
        </w:tc>
        <w:tc>
          <w:tcPr>
            <w:tcW w:w="1612" w:type="dxa"/>
          </w:tcPr>
          <w:p>
            <w:pPr>
              <w:spacing w:before="0" w:after="0" w:line="240" w:lineRule="auto"/>
              <w:jc w:val="left"/>
            </w:pPr>
            <w:r>
              <w:rPr>
                <w:sz w:val="20"/>
                <w:szCs w:val="20"/>
              </w:rPr>
              <w:t xml:space="preserve">0.512</w:t>
            </w:r>
          </w:p>
        </w:tc>
        <w:tc>
          <w:tcPr>
            <w:tcW w:w="884" w:type="dxa"/>
          </w:tcPr>
          <w:p>
            <w:pPr>
              <w:spacing w:before="0" w:after="0" w:line="240" w:lineRule="auto"/>
              <w:jc w:val="left"/>
            </w:pPr>
            <w:r>
              <w:rPr>
                <w:sz w:val="20"/>
                <w:szCs w:val="20"/>
              </w:rPr>
              <w:t xml:space="preserve">1.000</w:t>
            </w:r>
          </w:p>
        </w:tc>
        <w:tc>
          <w:tcPr>
            <w:tcW w:w="988" w:type="dxa"/>
          </w:tcPr>
          <w:p>
            <w:pPr>
              <w:spacing w:before="0" w:after="0" w:line="240" w:lineRule="auto"/>
              <w:jc w:val="left"/>
            </w:pPr>
            <w:r>
              <w:rPr>
                <w:sz w:val="20"/>
                <w:szCs w:val="20"/>
              </w:rPr>
              <w:t xml:space="preserve">–</w:t>
            </w:r>
          </w:p>
        </w:tc>
        <w:tc>
          <w:tcPr>
            <w:tcW w:w="765" w:type="dxa"/>
          </w:tcPr>
          <w:p>
            <w:pPr>
              <w:spacing w:before="0" w:after="0" w:line="240" w:lineRule="auto"/>
              <w:jc w:val="left"/>
            </w:pPr>
            <w:r>
              <w:rPr>
                <w:sz w:val="20"/>
                <w:szCs w:val="20"/>
              </w:rPr>
              <w:t xml:space="preserve">–</w:t>
            </w:r>
          </w:p>
        </w:tc>
      </w:tr>
      <w:tr>
        <w:tc>
          <w:tcPr>
            <w:tcW w:w="1255" w:type="dxa"/>
          </w:tcPr>
          <w:p>
            <w:pPr>
              <w:spacing w:before="0" w:after="0" w:line="240" w:lineRule="auto"/>
              <w:jc w:val="left"/>
            </w:pPr>
            <w:r>
              <w:rPr>
                <w:sz w:val="20"/>
                <w:szCs w:val="20"/>
              </w:rPr>
              <w:t xml:space="preserve">30-minute (M30)</w:t>
            </w:r>
          </w:p>
        </w:tc>
        <w:tc>
          <w:tcPr>
            <w:tcW w:w="1047" w:type="dxa"/>
          </w:tcPr>
          <w:p>
            <w:pPr>
              <w:spacing w:before="0" w:after="0" w:line="240" w:lineRule="auto"/>
              <w:jc w:val="left"/>
            </w:pPr>
            <w:r>
              <w:rPr>
                <w:sz w:val="20"/>
                <w:szCs w:val="20"/>
              </w:rPr>
              <w:t xml:space="preserve">VN30–VNINDEX</w:t>
            </w:r>
          </w:p>
        </w:tc>
        <w:tc>
          <w:tcPr>
            <w:tcW w:w="1404" w:type="dxa"/>
          </w:tcPr>
          <w:p>
            <w:pPr>
              <w:spacing w:before="0" w:after="0" w:line="240" w:lineRule="auto"/>
              <w:jc w:val="left"/>
            </w:pPr>
            <w:r>
              <w:rPr>
                <w:sz w:val="20"/>
                <w:szCs w:val="20"/>
              </w:rPr>
              <w:t xml:space="preserve">0.0022 [0.0007, 0.0038]</w:t>
            </w:r>
          </w:p>
        </w:tc>
        <w:tc>
          <w:tcPr>
            <w:tcW w:w="1404" w:type="dxa"/>
          </w:tcPr>
          <w:p>
            <w:pPr>
              <w:spacing w:before="0" w:after="0" w:line="240" w:lineRule="auto"/>
              <w:jc w:val="left"/>
            </w:pPr>
            <w:r>
              <w:rPr>
                <w:sz w:val="20"/>
                <w:szCs w:val="20"/>
              </w:rPr>
              <w:t xml:space="preserve">0.012</w:t>
            </w:r>
          </w:p>
        </w:tc>
        <w:tc>
          <w:tcPr>
            <w:tcW w:w="1612" w:type="dxa"/>
          </w:tcPr>
          <w:p>
            <w:pPr>
              <w:spacing w:before="0" w:after="0" w:line="240" w:lineRule="auto"/>
              <w:jc w:val="left"/>
            </w:pPr>
            <w:r>
              <w:rPr>
                <w:sz w:val="20"/>
                <w:szCs w:val="20"/>
              </w:rPr>
              <w:t xml:space="preserve">0.009</w:t>
            </w:r>
          </w:p>
        </w:tc>
        <w:tc>
          <w:tcPr>
            <w:tcW w:w="884" w:type="dxa"/>
          </w:tcPr>
          <w:p>
            <w:pPr>
              <w:spacing w:before="0" w:after="0" w:line="240" w:lineRule="auto"/>
              <w:jc w:val="left"/>
            </w:pPr>
            <w:r>
              <w:rPr>
                <w:sz w:val="20"/>
                <w:szCs w:val="20"/>
              </w:rPr>
              <w:t xml:space="preserve">0.144</w:t>
            </w:r>
          </w:p>
        </w:tc>
        <w:tc>
          <w:tcPr>
            <w:tcW w:w="988" w:type="dxa"/>
          </w:tcPr>
          <w:p>
            <w:pPr>
              <w:spacing w:before="0" w:after="0" w:line="240" w:lineRule="auto"/>
              <w:jc w:val="left"/>
            </w:pPr>
            <w:r>
              <w:rPr>
                <w:sz w:val="20"/>
                <w:szCs w:val="20"/>
              </w:rPr>
              <w:t xml:space="preserve">0.045</w:t>
            </w:r>
          </w:p>
        </w:tc>
        <w:tc>
          <w:tcPr>
            <w:tcW w:w="765" w:type="dxa"/>
          </w:tcPr>
          <w:p>
            <w:pPr>
              <w:spacing w:before="0" w:after="0" w:line="240" w:lineRule="auto"/>
              <w:jc w:val="left"/>
            </w:pPr>
            <w:r>
              <w:rPr>
                <w:sz w:val="20"/>
                <w:szCs w:val="20"/>
              </w:rPr>
              <w:t xml:space="preserve">–</w:t>
            </w:r>
          </w:p>
        </w:tc>
      </w:tr>
      <w:tr>
        <w:tc>
          <w:tcPr>
            <w:tcW w:w="1255" w:type="dxa"/>
          </w:tcPr>
          <w:p>
            <w:pPr>
              <w:spacing w:before="0" w:after="0" w:line="240" w:lineRule="auto"/>
              <w:jc w:val="left"/>
            </w:pPr>
            <w:r>
              <w:rPr>
                <w:sz w:val="20"/>
                <w:szCs w:val="20"/>
              </w:rPr>
              <w:t xml:space="preserve">30-minute (M30)</w:t>
            </w:r>
          </w:p>
        </w:tc>
        <w:tc>
          <w:tcPr>
            <w:tcW w:w="1047" w:type="dxa"/>
          </w:tcPr>
          <w:p>
            <w:pPr>
              <w:spacing w:before="0" w:after="0" w:line="240" w:lineRule="auto"/>
              <w:jc w:val="left"/>
            </w:pPr>
            <w:r>
              <w:rPr>
                <w:sz w:val="20"/>
                <w:szCs w:val="20"/>
              </w:rPr>
              <w:t xml:space="preserve">VN100–VNINDEX</w:t>
            </w:r>
          </w:p>
        </w:tc>
        <w:tc>
          <w:tcPr>
            <w:tcW w:w="1404" w:type="dxa"/>
          </w:tcPr>
          <w:p>
            <w:pPr>
              <w:spacing w:before="0" w:after="0" w:line="240" w:lineRule="auto"/>
              <w:jc w:val="left"/>
            </w:pPr>
            <w:r>
              <w:rPr>
                <w:sz w:val="20"/>
                <w:szCs w:val="20"/>
              </w:rPr>
              <w:t xml:space="preserve">0.0022 [0.0011, 0.0032]</w:t>
            </w:r>
          </w:p>
        </w:tc>
        <w:tc>
          <w:tcPr>
            <w:tcW w:w="1404" w:type="dxa"/>
          </w:tcPr>
          <w:p>
            <w:pPr>
              <w:spacing w:before="0" w:after="0" w:line="240" w:lineRule="auto"/>
              <w:jc w:val="left"/>
            </w:pPr>
            <w:r>
              <w:rPr>
                <w:sz w:val="20"/>
                <w:szCs w:val="20"/>
              </w:rPr>
              <w:t xml:space="preserve">&lt; 0.005</w:t>
            </w:r>
          </w:p>
        </w:tc>
        <w:tc>
          <w:tcPr>
            <w:tcW w:w="1612" w:type="dxa"/>
          </w:tcPr>
          <w:p>
            <w:pPr>
              <w:spacing w:before="0" w:after="0" w:line="240" w:lineRule="auto"/>
              <w:jc w:val="left"/>
            </w:pPr>
            <w:r>
              <w:rPr>
                <w:sz w:val="20"/>
                <w:szCs w:val="20"/>
              </w:rPr>
              <w:t xml:space="preserve">&lt; 0.001</w:t>
            </w:r>
          </w:p>
        </w:tc>
        <w:tc>
          <w:tcPr>
            <w:tcW w:w="884" w:type="dxa"/>
          </w:tcPr>
          <w:p>
            <w:pPr>
              <w:spacing w:before="0" w:after="0" w:line="240" w:lineRule="auto"/>
              <w:jc w:val="left"/>
            </w:pPr>
            <w:r>
              <w:rPr>
                <w:sz w:val="20"/>
                <w:szCs w:val="20"/>
              </w:rPr>
              <w:t xml:space="preserve">0.002</w:t>
            </w:r>
          </w:p>
        </w:tc>
        <w:tc>
          <w:tcPr>
            <w:tcW w:w="988" w:type="dxa"/>
          </w:tcPr>
          <w:p>
            <w:pPr>
              <w:spacing w:before="0" w:after="0" w:line="240" w:lineRule="auto"/>
              <w:jc w:val="left"/>
            </w:pPr>
            <w:r>
              <w:rPr>
                <w:sz w:val="20"/>
                <w:szCs w:val="20"/>
              </w:rPr>
              <w:t xml:space="preserve">&lt; 0.001</w:t>
            </w:r>
          </w:p>
        </w:tc>
        <w:tc>
          <w:tcPr>
            <w:tcW w:w="765" w:type="dxa"/>
          </w:tcPr>
          <w:p>
            <w:pPr>
              <w:spacing w:before="0" w:after="0" w:line="240" w:lineRule="auto"/>
              <w:jc w:val="left"/>
            </w:pPr>
            <w:r>
              <w:rPr>
                <w:sz w:val="20"/>
                <w:szCs w:val="20"/>
              </w:rPr>
              <w:t xml:space="preserve">–</w:t>
            </w:r>
          </w:p>
        </w:tc>
      </w:tr>
      <w:tr>
        <w:tc>
          <w:tcPr>
            <w:tcW w:w="1255" w:type="dxa"/>
          </w:tcPr>
          <w:p>
            <w:pPr>
              <w:spacing w:before="0" w:after="0" w:line="240" w:lineRule="auto"/>
              <w:jc w:val="left"/>
            </w:pPr>
            <w:r>
              <w:rPr>
                <w:sz w:val="20"/>
                <w:szCs w:val="20"/>
              </w:rPr>
              <w:t xml:space="preserve">30-minute (M30)</w:t>
            </w:r>
          </w:p>
        </w:tc>
        <w:tc>
          <w:tcPr>
            <w:tcW w:w="1047" w:type="dxa"/>
          </w:tcPr>
          <w:p>
            <w:pPr>
              <w:spacing w:before="0" w:after="0" w:line="240" w:lineRule="auto"/>
              <w:jc w:val="left"/>
            </w:pPr>
            <w:r>
              <w:rPr>
                <w:sz w:val="20"/>
                <w:szCs w:val="20"/>
              </w:rPr>
              <w:t xml:space="preserve">VN30–VN100</w:t>
            </w:r>
          </w:p>
        </w:tc>
        <w:tc>
          <w:tcPr>
            <w:tcW w:w="1404" w:type="dxa"/>
          </w:tcPr>
          <w:p>
            <w:pPr>
              <w:spacing w:before="0" w:after="0" w:line="240" w:lineRule="auto"/>
              <w:jc w:val="left"/>
            </w:pPr>
            <w:r>
              <w:rPr>
                <w:sz w:val="20"/>
                <w:szCs w:val="20"/>
              </w:rPr>
              <w:t xml:space="preserve">−0.0001 [−0.0007, 0.0007]</w:t>
            </w:r>
          </w:p>
        </w:tc>
        <w:tc>
          <w:tcPr>
            <w:tcW w:w="1404" w:type="dxa"/>
          </w:tcPr>
          <w:p>
            <w:pPr>
              <w:spacing w:before="0" w:after="0" w:line="240" w:lineRule="auto"/>
              <w:jc w:val="left"/>
            </w:pPr>
            <w:r>
              <w:rPr>
                <w:sz w:val="20"/>
                <w:szCs w:val="20"/>
              </w:rPr>
              <w:t xml:space="preserve">0.980</w:t>
            </w:r>
          </w:p>
        </w:tc>
        <w:tc>
          <w:tcPr>
            <w:tcW w:w="1612" w:type="dxa"/>
          </w:tcPr>
          <w:p>
            <w:pPr>
              <w:spacing w:before="0" w:after="0" w:line="240" w:lineRule="auto"/>
              <w:jc w:val="left"/>
            </w:pPr>
            <w:r>
              <w:rPr>
                <w:sz w:val="20"/>
                <w:szCs w:val="20"/>
              </w:rPr>
              <w:t xml:space="preserve">0.863</w:t>
            </w:r>
          </w:p>
        </w:tc>
        <w:tc>
          <w:tcPr>
            <w:tcW w:w="884" w:type="dxa"/>
          </w:tcPr>
          <w:p>
            <w:pPr>
              <w:spacing w:before="0" w:after="0" w:line="240" w:lineRule="auto"/>
              <w:jc w:val="left"/>
            </w:pPr>
            <w:r>
              <w:rPr>
                <w:sz w:val="20"/>
                <w:szCs w:val="20"/>
              </w:rPr>
              <w:t xml:space="preserve">1.000</w:t>
            </w:r>
          </w:p>
        </w:tc>
        <w:tc>
          <w:tcPr>
            <w:tcW w:w="988" w:type="dxa"/>
          </w:tcPr>
          <w:p>
            <w:pPr>
              <w:spacing w:before="0" w:after="0" w:line="240" w:lineRule="auto"/>
              <w:jc w:val="left"/>
            </w:pPr>
            <w:r>
              <w:rPr>
                <w:sz w:val="20"/>
                <w:szCs w:val="20"/>
              </w:rPr>
              <w:t xml:space="preserve">–</w:t>
            </w:r>
          </w:p>
        </w:tc>
        <w:tc>
          <w:tcPr>
            <w:tcW w:w="765" w:type="dxa"/>
          </w:tcPr>
          <w:p>
            <w:pPr>
              <w:spacing w:before="0" w:after="0" w:line="240" w:lineRule="auto"/>
              <w:jc w:val="left"/>
            </w:pPr>
            <w:r>
              <w:rPr>
                <w:sz w:val="20"/>
                <w:szCs w:val="20"/>
              </w:rPr>
              <w:t xml:space="preserve">0.007</w:t>
            </w:r>
          </w:p>
        </w:tc>
      </w:tr>
      <w:tr>
        <w:tc>
          <w:tcPr>
            <w:tcW w:w="1255" w:type="dxa"/>
          </w:tcPr>
          <w:p>
            <w:pPr>
              <w:spacing w:before="0" w:after="0" w:line="240" w:lineRule="auto"/>
              <w:jc w:val="left"/>
            </w:pPr>
            <w:r>
              <w:rPr>
                <w:sz w:val="20"/>
                <w:szCs w:val="20"/>
              </w:rPr>
              <w:t xml:space="preserve">30-minute (M30)</w:t>
            </w:r>
          </w:p>
        </w:tc>
        <w:tc>
          <w:tcPr>
            <w:tcW w:w="1047" w:type="dxa"/>
          </w:tcPr>
          <w:p>
            <w:pPr>
              <w:spacing w:before="0" w:after="0" w:line="240" w:lineRule="auto"/>
              <w:jc w:val="left"/>
            </w:pPr>
            <w:r>
              <w:rPr>
                <w:sz w:val="20"/>
                <w:szCs w:val="20"/>
              </w:rPr>
              <w:t xml:space="preserve">P</w:t>
            </w:r>
            <w:r>
              <w:rPr>
                <w:vertAlign w:val="subscript"/>
                <w:sz w:val="20"/>
                <w:szCs w:val="20"/>
              </w:rPr>
              <w:t xml:space="preserve">cap</w:t>
            </w:r>
            <w:r>
              <w:rPr>
                <w:sz w:val="20"/>
                <w:szCs w:val="20"/>
              </w:rPr>
              <w:t xml:space="preserve">–VN30</w:t>
            </w:r>
          </w:p>
        </w:tc>
        <w:tc>
          <w:tcPr>
            <w:tcW w:w="1404" w:type="dxa"/>
          </w:tcPr>
          <w:p>
            <w:pPr>
              <w:spacing w:before="0" w:after="0" w:line="240" w:lineRule="auto"/>
              <w:jc w:val="left"/>
            </w:pPr>
            <w:r>
              <w:rPr>
                <w:sz w:val="20"/>
                <w:szCs w:val="20"/>
              </w:rPr>
              <w:t xml:space="preserve">0.0017 [−0.0045, 0.0078]</w:t>
            </w:r>
          </w:p>
        </w:tc>
        <w:tc>
          <w:tcPr>
            <w:tcW w:w="1404" w:type="dxa"/>
          </w:tcPr>
          <w:p>
            <w:pPr>
              <w:spacing w:before="0" w:after="0" w:line="240" w:lineRule="auto"/>
              <w:jc w:val="left"/>
            </w:pPr>
            <w:r>
              <w:rPr>
                <w:sz w:val="20"/>
                <w:szCs w:val="20"/>
              </w:rPr>
              <w:t xml:space="preserve">0.520</w:t>
            </w:r>
          </w:p>
        </w:tc>
        <w:tc>
          <w:tcPr>
            <w:tcW w:w="1612" w:type="dxa"/>
          </w:tcPr>
          <w:p>
            <w:pPr>
              <w:spacing w:before="0" w:after="0" w:line="240" w:lineRule="auto"/>
              <w:jc w:val="left"/>
            </w:pPr>
            <w:r>
              <w:rPr>
                <w:sz w:val="20"/>
                <w:szCs w:val="20"/>
              </w:rPr>
              <w:t xml:space="preserve">0.603</w:t>
            </w:r>
          </w:p>
        </w:tc>
        <w:tc>
          <w:tcPr>
            <w:tcW w:w="884" w:type="dxa"/>
          </w:tcPr>
          <w:p>
            <w:pPr>
              <w:spacing w:before="0" w:after="0" w:line="240" w:lineRule="auto"/>
              <w:jc w:val="left"/>
            </w:pPr>
            <w:r>
              <w:rPr>
                <w:sz w:val="20"/>
                <w:szCs w:val="20"/>
              </w:rPr>
              <w:t xml:space="preserve">1.000</w:t>
            </w:r>
          </w:p>
        </w:tc>
        <w:tc>
          <w:tcPr>
            <w:tcW w:w="988" w:type="dxa"/>
          </w:tcPr>
          <w:p>
            <w:pPr>
              <w:spacing w:before="0" w:after="0" w:line="240" w:lineRule="auto"/>
              <w:jc w:val="left"/>
            </w:pPr>
            <w:r>
              <w:rPr>
                <w:sz w:val="20"/>
                <w:szCs w:val="20"/>
              </w:rPr>
              <w:t xml:space="preserve">–</w:t>
            </w:r>
          </w:p>
        </w:tc>
        <w:tc>
          <w:tcPr>
            <w:tcW w:w="765" w:type="dxa"/>
          </w:tcPr>
          <w:p>
            <w:pPr>
              <w:spacing w:before="0" w:after="0" w:line="240" w:lineRule="auto"/>
              <w:jc w:val="left"/>
            </w:pPr>
            <w:r>
              <w:rPr>
                <w:sz w:val="20"/>
                <w:szCs w:val="20"/>
              </w:rPr>
              <w:t xml:space="preserve">–</w:t>
            </w:r>
          </w:p>
        </w:tc>
      </w:tr>
      <w:tr>
        <w:tc>
          <w:tcPr>
            <w:tcW w:w="1255" w:type="dxa"/>
          </w:tcPr>
          <w:p>
            <w:pPr>
              <w:spacing w:before="0" w:after="0" w:line="240" w:lineRule="auto"/>
              <w:jc w:val="left"/>
            </w:pPr>
            <w:r>
              <w:rPr>
                <w:sz w:val="20"/>
                <w:szCs w:val="20"/>
              </w:rPr>
              <w:t xml:space="preserve">1-hour (H1)</w:t>
            </w:r>
          </w:p>
        </w:tc>
        <w:tc>
          <w:tcPr>
            <w:tcW w:w="1047" w:type="dxa"/>
          </w:tcPr>
          <w:p>
            <w:pPr>
              <w:spacing w:before="0" w:after="0" w:line="240" w:lineRule="auto"/>
              <w:jc w:val="left"/>
            </w:pPr>
            <w:r>
              <w:rPr>
                <w:sz w:val="20"/>
                <w:szCs w:val="20"/>
              </w:rPr>
              <w:t xml:space="preserve">VN30–VNINDEX</w:t>
            </w:r>
          </w:p>
        </w:tc>
        <w:tc>
          <w:tcPr>
            <w:tcW w:w="1404" w:type="dxa"/>
          </w:tcPr>
          <w:p>
            <w:pPr>
              <w:spacing w:before="0" w:after="0" w:line="240" w:lineRule="auto"/>
              <w:jc w:val="left"/>
            </w:pPr>
            <w:r>
              <w:rPr>
                <w:sz w:val="20"/>
                <w:szCs w:val="20"/>
              </w:rPr>
              <w:t xml:space="preserve">0.0024 [0.0006, 0.0041]</w:t>
            </w:r>
          </w:p>
        </w:tc>
        <w:tc>
          <w:tcPr>
            <w:tcW w:w="1404" w:type="dxa"/>
          </w:tcPr>
          <w:p>
            <w:pPr>
              <w:spacing w:before="0" w:after="0" w:line="240" w:lineRule="auto"/>
              <w:jc w:val="left"/>
            </w:pPr>
            <w:r>
              <w:rPr>
                <w:sz w:val="20"/>
                <w:szCs w:val="20"/>
              </w:rPr>
              <w:t xml:space="preserve">0.012</w:t>
            </w:r>
          </w:p>
        </w:tc>
        <w:tc>
          <w:tcPr>
            <w:tcW w:w="1612" w:type="dxa"/>
          </w:tcPr>
          <w:p>
            <w:pPr>
              <w:spacing w:before="0" w:after="0" w:line="240" w:lineRule="auto"/>
              <w:jc w:val="left"/>
            </w:pPr>
            <w:r>
              <w:rPr>
                <w:sz w:val="20"/>
                <w:szCs w:val="20"/>
              </w:rPr>
              <w:t xml:space="preserve">0.006</w:t>
            </w:r>
          </w:p>
        </w:tc>
        <w:tc>
          <w:tcPr>
            <w:tcW w:w="884" w:type="dxa"/>
          </w:tcPr>
          <w:p>
            <w:pPr>
              <w:spacing w:before="0" w:after="0" w:line="240" w:lineRule="auto"/>
              <w:jc w:val="left"/>
            </w:pPr>
            <w:r>
              <w:rPr>
                <w:sz w:val="20"/>
                <w:szCs w:val="20"/>
              </w:rPr>
              <w:t xml:space="preserve">0.101</w:t>
            </w:r>
          </w:p>
        </w:tc>
        <w:tc>
          <w:tcPr>
            <w:tcW w:w="988" w:type="dxa"/>
          </w:tcPr>
          <w:p>
            <w:pPr>
              <w:spacing w:before="0" w:after="0" w:line="240" w:lineRule="auto"/>
              <w:jc w:val="left"/>
            </w:pPr>
            <w:r>
              <w:rPr>
                <w:sz w:val="20"/>
                <w:szCs w:val="20"/>
              </w:rPr>
              <w:t xml:space="preserve">0.039</w:t>
            </w:r>
          </w:p>
        </w:tc>
        <w:tc>
          <w:tcPr>
            <w:tcW w:w="765" w:type="dxa"/>
          </w:tcPr>
          <w:p>
            <w:pPr>
              <w:spacing w:before="0" w:after="0" w:line="240" w:lineRule="auto"/>
              <w:jc w:val="left"/>
            </w:pPr>
            <w:r>
              <w:rPr>
                <w:sz w:val="20"/>
                <w:szCs w:val="20"/>
              </w:rPr>
              <w:t xml:space="preserve">–</w:t>
            </w:r>
          </w:p>
        </w:tc>
      </w:tr>
      <w:tr>
        <w:tc>
          <w:tcPr>
            <w:tcW w:w="1255" w:type="dxa"/>
          </w:tcPr>
          <w:p>
            <w:pPr>
              <w:spacing w:before="0" w:after="0" w:line="240" w:lineRule="auto"/>
              <w:jc w:val="left"/>
            </w:pPr>
            <w:r>
              <w:rPr>
                <w:sz w:val="20"/>
                <w:szCs w:val="20"/>
              </w:rPr>
              <w:t xml:space="preserve">1-hour (H1)</w:t>
            </w:r>
          </w:p>
        </w:tc>
        <w:tc>
          <w:tcPr>
            <w:tcW w:w="1047" w:type="dxa"/>
          </w:tcPr>
          <w:p>
            <w:pPr>
              <w:spacing w:before="0" w:after="0" w:line="240" w:lineRule="auto"/>
              <w:jc w:val="left"/>
            </w:pPr>
            <w:r>
              <w:rPr>
                <w:sz w:val="20"/>
                <w:szCs w:val="20"/>
              </w:rPr>
              <w:t xml:space="preserve">VN100–VNINDEX</w:t>
            </w:r>
          </w:p>
        </w:tc>
        <w:tc>
          <w:tcPr>
            <w:tcW w:w="1404" w:type="dxa"/>
          </w:tcPr>
          <w:p>
            <w:pPr>
              <w:spacing w:before="0" w:after="0" w:line="240" w:lineRule="auto"/>
              <w:jc w:val="left"/>
            </w:pPr>
            <w:r>
              <w:rPr>
                <w:sz w:val="20"/>
                <w:szCs w:val="20"/>
              </w:rPr>
              <w:t xml:space="preserve">0.0019 [0.0007, 0.0032]</w:t>
            </w:r>
          </w:p>
        </w:tc>
        <w:tc>
          <w:tcPr>
            <w:tcW w:w="1404" w:type="dxa"/>
          </w:tcPr>
          <w:p>
            <w:pPr>
              <w:spacing w:before="0" w:after="0" w:line="240" w:lineRule="auto"/>
              <w:jc w:val="left"/>
            </w:pPr>
            <w:r>
              <w:rPr>
                <w:sz w:val="20"/>
                <w:szCs w:val="20"/>
              </w:rPr>
              <w:t xml:space="preserve">0.012</w:t>
            </w:r>
          </w:p>
        </w:tc>
        <w:tc>
          <w:tcPr>
            <w:tcW w:w="1612" w:type="dxa"/>
          </w:tcPr>
          <w:p>
            <w:pPr>
              <w:spacing w:before="0" w:after="0" w:line="240" w:lineRule="auto"/>
              <w:jc w:val="left"/>
            </w:pPr>
            <w:r>
              <w:rPr>
                <w:sz w:val="20"/>
                <w:szCs w:val="20"/>
              </w:rPr>
              <w:t xml:space="preserve">0.006</w:t>
            </w:r>
          </w:p>
        </w:tc>
        <w:tc>
          <w:tcPr>
            <w:tcW w:w="884" w:type="dxa"/>
          </w:tcPr>
          <w:p>
            <w:pPr>
              <w:spacing w:before="0" w:after="0" w:line="240" w:lineRule="auto"/>
              <w:jc w:val="left"/>
            </w:pPr>
            <w:r>
              <w:rPr>
                <w:sz w:val="20"/>
                <w:szCs w:val="20"/>
              </w:rPr>
              <w:t xml:space="preserve">0.101</w:t>
            </w:r>
          </w:p>
        </w:tc>
        <w:tc>
          <w:tcPr>
            <w:tcW w:w="988" w:type="dxa"/>
          </w:tcPr>
          <w:p>
            <w:pPr>
              <w:spacing w:before="0" w:after="0" w:line="240" w:lineRule="auto"/>
              <w:jc w:val="left"/>
            </w:pPr>
            <w:r>
              <w:rPr>
                <w:sz w:val="20"/>
                <w:szCs w:val="20"/>
              </w:rPr>
              <w:t xml:space="preserve">0.039</w:t>
            </w:r>
          </w:p>
        </w:tc>
        <w:tc>
          <w:tcPr>
            <w:tcW w:w="765" w:type="dxa"/>
          </w:tcPr>
          <w:p>
            <w:pPr>
              <w:spacing w:before="0" w:after="0" w:line="240" w:lineRule="auto"/>
              <w:jc w:val="left"/>
            </w:pPr>
            <w:r>
              <w:rPr>
                <w:sz w:val="20"/>
                <w:szCs w:val="20"/>
              </w:rPr>
              <w:t xml:space="preserve">–</w:t>
            </w:r>
          </w:p>
        </w:tc>
      </w:tr>
      <w:tr>
        <w:tc>
          <w:tcPr>
            <w:tcW w:w="1255" w:type="dxa"/>
          </w:tcPr>
          <w:p>
            <w:pPr>
              <w:spacing w:before="0" w:after="0" w:line="240" w:lineRule="auto"/>
              <w:jc w:val="left"/>
            </w:pPr>
            <w:r>
              <w:rPr>
                <w:sz w:val="20"/>
                <w:szCs w:val="20"/>
              </w:rPr>
              <w:t xml:space="preserve">1-hour (H1)</w:t>
            </w:r>
          </w:p>
        </w:tc>
        <w:tc>
          <w:tcPr>
            <w:tcW w:w="1047" w:type="dxa"/>
          </w:tcPr>
          <w:p>
            <w:pPr>
              <w:spacing w:before="0" w:after="0" w:line="240" w:lineRule="auto"/>
              <w:jc w:val="left"/>
            </w:pPr>
            <w:r>
              <w:rPr>
                <w:sz w:val="20"/>
                <w:szCs w:val="20"/>
              </w:rPr>
              <w:t xml:space="preserve">VN30–VN100</w:t>
            </w:r>
          </w:p>
        </w:tc>
        <w:tc>
          <w:tcPr>
            <w:tcW w:w="1404" w:type="dxa"/>
          </w:tcPr>
          <w:p>
            <w:pPr>
              <w:spacing w:before="0" w:after="0" w:line="240" w:lineRule="auto"/>
              <w:jc w:val="left"/>
            </w:pPr>
            <w:r>
              <w:rPr>
                <w:sz w:val="20"/>
                <w:szCs w:val="20"/>
              </w:rPr>
              <w:t xml:space="preserve">0.0001 [−0.0007, 0.0009]</w:t>
            </w:r>
          </w:p>
        </w:tc>
        <w:tc>
          <w:tcPr>
            <w:tcW w:w="1404" w:type="dxa"/>
          </w:tcPr>
          <w:p>
            <w:pPr>
              <w:spacing w:before="0" w:after="0" w:line="240" w:lineRule="auto"/>
              <w:jc w:val="left"/>
            </w:pPr>
            <w:r>
              <w:rPr>
                <w:sz w:val="20"/>
                <w:szCs w:val="20"/>
              </w:rPr>
              <w:t xml:space="preserve">0.652</w:t>
            </w:r>
          </w:p>
        </w:tc>
        <w:tc>
          <w:tcPr>
            <w:tcW w:w="1612" w:type="dxa"/>
          </w:tcPr>
          <w:p>
            <w:pPr>
              <w:spacing w:before="0" w:after="0" w:line="240" w:lineRule="auto"/>
              <w:jc w:val="left"/>
            </w:pPr>
            <w:r>
              <w:rPr>
                <w:sz w:val="20"/>
                <w:szCs w:val="20"/>
              </w:rPr>
              <w:t xml:space="preserve">0.884</w:t>
            </w:r>
          </w:p>
        </w:tc>
        <w:tc>
          <w:tcPr>
            <w:tcW w:w="884" w:type="dxa"/>
          </w:tcPr>
          <w:p>
            <w:pPr>
              <w:spacing w:before="0" w:after="0" w:line="240" w:lineRule="auto"/>
              <w:jc w:val="left"/>
            </w:pPr>
            <w:r>
              <w:rPr>
                <w:sz w:val="20"/>
                <w:szCs w:val="20"/>
              </w:rPr>
              <w:t xml:space="preserve">1.000</w:t>
            </w:r>
          </w:p>
        </w:tc>
        <w:tc>
          <w:tcPr>
            <w:tcW w:w="988" w:type="dxa"/>
          </w:tcPr>
          <w:p>
            <w:pPr>
              <w:spacing w:before="0" w:after="0" w:line="240" w:lineRule="auto"/>
              <w:jc w:val="left"/>
            </w:pPr>
            <w:r>
              <w:rPr>
                <w:sz w:val="20"/>
                <w:szCs w:val="20"/>
              </w:rPr>
              <w:t xml:space="preserve">–</w:t>
            </w:r>
          </w:p>
        </w:tc>
        <w:tc>
          <w:tcPr>
            <w:tcW w:w="765" w:type="dxa"/>
          </w:tcPr>
          <w:p>
            <w:pPr>
              <w:spacing w:before="0" w:after="0" w:line="240" w:lineRule="auto"/>
              <w:jc w:val="left"/>
            </w:pPr>
            <w:r>
              <w:rPr>
                <w:sz w:val="20"/>
                <w:szCs w:val="20"/>
              </w:rPr>
              <w:t xml:space="preserve">0.012</w:t>
            </w:r>
          </w:p>
        </w:tc>
      </w:tr>
      <w:tr>
        <w:tc>
          <w:tcPr>
            <w:tcW w:w="1255" w:type="dxa"/>
          </w:tcPr>
          <w:p>
            <w:pPr>
              <w:spacing w:before="0" w:after="0" w:line="240" w:lineRule="auto"/>
              <w:jc w:val="left"/>
            </w:pPr>
            <w:r>
              <w:rPr>
                <w:sz w:val="20"/>
                <w:szCs w:val="20"/>
              </w:rPr>
              <w:t xml:space="preserve">1-hour (H1)</w:t>
            </w:r>
          </w:p>
        </w:tc>
        <w:tc>
          <w:tcPr>
            <w:tcW w:w="1047" w:type="dxa"/>
          </w:tcPr>
          <w:p>
            <w:pPr>
              <w:spacing w:before="0" w:after="0" w:line="240" w:lineRule="auto"/>
              <w:jc w:val="left"/>
            </w:pPr>
            <w:r>
              <w:rPr>
                <w:sz w:val="20"/>
                <w:szCs w:val="20"/>
              </w:rPr>
              <w:t xml:space="preserve">P</w:t>
            </w:r>
            <w:r>
              <w:rPr>
                <w:vertAlign w:val="subscript"/>
                <w:sz w:val="20"/>
                <w:szCs w:val="20"/>
              </w:rPr>
              <w:t xml:space="preserve">cap</w:t>
            </w:r>
            <w:r>
              <w:rPr>
                <w:sz w:val="20"/>
                <w:szCs w:val="20"/>
              </w:rPr>
              <w:t xml:space="preserve">–VN30</w:t>
            </w:r>
          </w:p>
        </w:tc>
        <w:tc>
          <w:tcPr>
            <w:tcW w:w="1404" w:type="dxa"/>
          </w:tcPr>
          <w:p>
            <w:pPr>
              <w:spacing w:before="0" w:after="0" w:line="240" w:lineRule="auto"/>
              <w:jc w:val="left"/>
            </w:pPr>
            <w:r>
              <w:rPr>
                <w:sz w:val="20"/>
                <w:szCs w:val="20"/>
              </w:rPr>
              <w:t xml:space="preserve">0.0020 [−0.0035, 0.0089]</w:t>
            </w:r>
          </w:p>
        </w:tc>
        <w:tc>
          <w:tcPr>
            <w:tcW w:w="1404" w:type="dxa"/>
          </w:tcPr>
          <w:p>
            <w:pPr>
              <w:spacing w:before="0" w:after="0" w:line="240" w:lineRule="auto"/>
              <w:jc w:val="left"/>
            </w:pPr>
            <w:r>
              <w:rPr>
                <w:sz w:val="20"/>
                <w:szCs w:val="20"/>
              </w:rPr>
              <w:t xml:space="preserve">0.392</w:t>
            </w:r>
          </w:p>
        </w:tc>
        <w:tc>
          <w:tcPr>
            <w:tcW w:w="1612" w:type="dxa"/>
          </w:tcPr>
          <w:p>
            <w:pPr>
              <w:spacing w:before="0" w:after="0" w:line="240" w:lineRule="auto"/>
              <w:jc w:val="left"/>
            </w:pPr>
            <w:r>
              <w:rPr>
                <w:sz w:val="20"/>
                <w:szCs w:val="20"/>
              </w:rPr>
              <w:t xml:space="preserve">0.552</w:t>
            </w:r>
          </w:p>
        </w:tc>
        <w:tc>
          <w:tcPr>
            <w:tcW w:w="884" w:type="dxa"/>
          </w:tcPr>
          <w:p>
            <w:pPr>
              <w:spacing w:before="0" w:after="0" w:line="240" w:lineRule="auto"/>
              <w:jc w:val="left"/>
            </w:pPr>
            <w:r>
              <w:rPr>
                <w:sz w:val="20"/>
                <w:szCs w:val="20"/>
              </w:rPr>
              <w:t xml:space="preserve">1.000</w:t>
            </w:r>
          </w:p>
        </w:tc>
        <w:tc>
          <w:tcPr>
            <w:tcW w:w="988" w:type="dxa"/>
          </w:tcPr>
          <w:p>
            <w:pPr>
              <w:spacing w:before="0" w:after="0" w:line="240" w:lineRule="auto"/>
              <w:jc w:val="left"/>
            </w:pPr>
            <w:r>
              <w:rPr>
                <w:sz w:val="20"/>
                <w:szCs w:val="20"/>
              </w:rPr>
              <w:t xml:space="preserve">–</w:t>
            </w:r>
          </w:p>
        </w:tc>
        <w:tc>
          <w:tcPr>
            <w:tcW w:w="765" w:type="dxa"/>
          </w:tcPr>
          <w:p>
            <w:pPr>
              <w:spacing w:before="0" w:after="0" w:line="240" w:lineRule="auto"/>
              <w:jc w:val="left"/>
            </w:pPr>
            <w:r>
              <w:rPr>
                <w:sz w:val="20"/>
                <w:szCs w:val="20"/>
              </w:rPr>
              <w:t xml:space="preserve">–</w:t>
            </w:r>
          </w:p>
        </w:tc>
      </w:tr>
      <w:tr>
        <w:tc>
          <w:tcPr>
            <w:tcW w:w="1255" w:type="dxa"/>
          </w:tcPr>
          <w:p>
            <w:pPr>
              <w:spacing w:before="0" w:after="0" w:line="240" w:lineRule="auto"/>
              <w:jc w:val="left"/>
            </w:pPr>
            <w:r>
              <w:rPr>
                <w:sz w:val="20"/>
                <w:szCs w:val="20"/>
              </w:rPr>
              <w:t xml:space="preserve">4-hour (H4)</w:t>
            </w:r>
          </w:p>
        </w:tc>
        <w:tc>
          <w:tcPr>
            <w:tcW w:w="1047" w:type="dxa"/>
          </w:tcPr>
          <w:p>
            <w:pPr>
              <w:spacing w:before="0" w:after="0" w:line="240" w:lineRule="auto"/>
              <w:jc w:val="left"/>
            </w:pPr>
            <w:r>
              <w:rPr>
                <w:sz w:val="20"/>
                <w:szCs w:val="20"/>
              </w:rPr>
              <w:t xml:space="preserve">VN30–VNINDEX</w:t>
            </w:r>
          </w:p>
        </w:tc>
        <w:tc>
          <w:tcPr>
            <w:tcW w:w="1404" w:type="dxa"/>
          </w:tcPr>
          <w:p>
            <w:pPr>
              <w:spacing w:before="0" w:after="0" w:line="240" w:lineRule="auto"/>
              <w:jc w:val="left"/>
            </w:pPr>
            <w:r>
              <w:rPr>
                <w:sz w:val="20"/>
                <w:szCs w:val="20"/>
              </w:rPr>
              <w:t xml:space="preserve">0.0003 [−0.0026, 0.0029]</w:t>
            </w:r>
          </w:p>
        </w:tc>
        <w:tc>
          <w:tcPr>
            <w:tcW w:w="1404" w:type="dxa"/>
          </w:tcPr>
          <w:p>
            <w:pPr>
              <w:spacing w:before="0" w:after="0" w:line="240" w:lineRule="auto"/>
              <w:jc w:val="left"/>
            </w:pPr>
            <w:r>
              <w:rPr>
                <w:sz w:val="20"/>
                <w:szCs w:val="20"/>
              </w:rPr>
              <w:t xml:space="preserve">0.852</w:t>
            </w:r>
          </w:p>
        </w:tc>
        <w:tc>
          <w:tcPr>
            <w:tcW w:w="1612" w:type="dxa"/>
          </w:tcPr>
          <w:p>
            <w:pPr>
              <w:spacing w:before="0" w:after="0" w:line="240" w:lineRule="auto"/>
              <w:jc w:val="left"/>
            </w:pPr>
            <w:r>
              <w:rPr>
                <w:sz w:val="20"/>
                <w:szCs w:val="20"/>
              </w:rPr>
              <w:t xml:space="preserve">0.807</w:t>
            </w:r>
          </w:p>
        </w:tc>
        <w:tc>
          <w:tcPr>
            <w:tcW w:w="884" w:type="dxa"/>
          </w:tcPr>
          <w:p>
            <w:pPr>
              <w:spacing w:before="0" w:after="0" w:line="240" w:lineRule="auto"/>
              <w:jc w:val="left"/>
            </w:pPr>
            <w:r>
              <w:rPr>
                <w:sz w:val="20"/>
                <w:szCs w:val="20"/>
              </w:rPr>
              <w:t xml:space="preserve">1.000</w:t>
            </w:r>
          </w:p>
        </w:tc>
        <w:tc>
          <w:tcPr>
            <w:tcW w:w="988" w:type="dxa"/>
          </w:tcPr>
          <w:p>
            <w:pPr>
              <w:spacing w:before="0" w:after="0" w:line="240" w:lineRule="auto"/>
              <w:jc w:val="left"/>
            </w:pPr>
            <w:r>
              <w:rPr>
                <w:sz w:val="20"/>
                <w:szCs w:val="20"/>
              </w:rPr>
              <w:t xml:space="preserve">1.000</w:t>
            </w:r>
          </w:p>
        </w:tc>
        <w:tc>
          <w:tcPr>
            <w:tcW w:w="765" w:type="dxa"/>
          </w:tcPr>
          <w:p>
            <w:pPr>
              <w:spacing w:before="0" w:after="0" w:line="240" w:lineRule="auto"/>
              <w:jc w:val="left"/>
            </w:pPr>
            <w:r>
              <w:rPr>
                <w:sz w:val="20"/>
                <w:szCs w:val="20"/>
              </w:rPr>
              <w:t xml:space="preserve">–</w:t>
            </w:r>
          </w:p>
        </w:tc>
      </w:tr>
      <w:tr>
        <w:tc>
          <w:tcPr>
            <w:tcW w:w="1255" w:type="dxa"/>
          </w:tcPr>
          <w:p>
            <w:pPr>
              <w:spacing w:before="0" w:after="0" w:line="240" w:lineRule="auto"/>
              <w:jc w:val="left"/>
            </w:pPr>
            <w:r>
              <w:rPr>
                <w:sz w:val="20"/>
                <w:szCs w:val="20"/>
              </w:rPr>
              <w:t xml:space="preserve">4-hour (H4)</w:t>
            </w:r>
          </w:p>
        </w:tc>
        <w:tc>
          <w:tcPr>
            <w:tcW w:w="1047" w:type="dxa"/>
          </w:tcPr>
          <w:p>
            <w:pPr>
              <w:spacing w:before="0" w:after="0" w:line="240" w:lineRule="auto"/>
              <w:jc w:val="left"/>
            </w:pPr>
            <w:r>
              <w:rPr>
                <w:sz w:val="20"/>
                <w:szCs w:val="20"/>
              </w:rPr>
              <w:t xml:space="preserve">VN100–VNINDEX</w:t>
            </w:r>
          </w:p>
        </w:tc>
        <w:tc>
          <w:tcPr>
            <w:tcW w:w="1404" w:type="dxa"/>
          </w:tcPr>
          <w:p>
            <w:pPr>
              <w:spacing w:before="0" w:after="0" w:line="240" w:lineRule="auto"/>
              <w:jc w:val="left"/>
            </w:pPr>
            <w:r>
              <w:rPr>
                <w:sz w:val="20"/>
                <w:szCs w:val="20"/>
              </w:rPr>
              <w:t xml:space="preserve">0.0002 [−0.0018, 0.0021]</w:t>
            </w:r>
          </w:p>
        </w:tc>
        <w:tc>
          <w:tcPr>
            <w:tcW w:w="1404" w:type="dxa"/>
          </w:tcPr>
          <w:p>
            <w:pPr>
              <w:spacing w:before="0" w:after="0" w:line="240" w:lineRule="auto"/>
              <w:jc w:val="left"/>
            </w:pPr>
            <w:r>
              <w:rPr>
                <w:sz w:val="20"/>
                <w:szCs w:val="20"/>
              </w:rPr>
              <w:t xml:space="preserve">0.800</w:t>
            </w:r>
          </w:p>
        </w:tc>
        <w:tc>
          <w:tcPr>
            <w:tcW w:w="1612" w:type="dxa"/>
          </w:tcPr>
          <w:p>
            <w:pPr>
              <w:spacing w:before="0" w:after="0" w:line="240" w:lineRule="auto"/>
              <w:jc w:val="left"/>
            </w:pPr>
            <w:r>
              <w:rPr>
                <w:sz w:val="20"/>
                <w:szCs w:val="20"/>
              </w:rPr>
              <w:t xml:space="preserve">0.856</w:t>
            </w:r>
          </w:p>
        </w:tc>
        <w:tc>
          <w:tcPr>
            <w:tcW w:w="884" w:type="dxa"/>
          </w:tcPr>
          <w:p>
            <w:pPr>
              <w:spacing w:before="0" w:after="0" w:line="240" w:lineRule="auto"/>
              <w:jc w:val="left"/>
            </w:pPr>
            <w:r>
              <w:rPr>
                <w:sz w:val="20"/>
                <w:szCs w:val="20"/>
              </w:rPr>
              <w:t xml:space="preserve">1.000</w:t>
            </w:r>
          </w:p>
        </w:tc>
        <w:tc>
          <w:tcPr>
            <w:tcW w:w="988" w:type="dxa"/>
          </w:tcPr>
          <w:p>
            <w:pPr>
              <w:spacing w:before="0" w:after="0" w:line="240" w:lineRule="auto"/>
              <w:jc w:val="left"/>
            </w:pPr>
            <w:r>
              <w:rPr>
                <w:sz w:val="20"/>
                <w:szCs w:val="20"/>
              </w:rPr>
              <w:t xml:space="preserve">1.000</w:t>
            </w:r>
          </w:p>
        </w:tc>
        <w:tc>
          <w:tcPr>
            <w:tcW w:w="765" w:type="dxa"/>
          </w:tcPr>
          <w:p>
            <w:pPr>
              <w:spacing w:before="0" w:after="0" w:line="240" w:lineRule="auto"/>
              <w:jc w:val="left"/>
            </w:pPr>
            <w:r>
              <w:rPr>
                <w:sz w:val="20"/>
                <w:szCs w:val="20"/>
              </w:rPr>
              <w:t xml:space="preserve">–</w:t>
            </w:r>
          </w:p>
        </w:tc>
      </w:tr>
      <w:tr>
        <w:tc>
          <w:tcPr>
            <w:tcW w:w="1255" w:type="dxa"/>
          </w:tcPr>
          <w:p>
            <w:pPr>
              <w:spacing w:before="0" w:after="0" w:line="240" w:lineRule="auto"/>
              <w:jc w:val="left"/>
            </w:pPr>
            <w:r>
              <w:rPr>
                <w:sz w:val="20"/>
                <w:szCs w:val="20"/>
              </w:rPr>
              <w:t xml:space="preserve">4-hour (H4)</w:t>
            </w:r>
          </w:p>
        </w:tc>
        <w:tc>
          <w:tcPr>
            <w:tcW w:w="1047" w:type="dxa"/>
          </w:tcPr>
          <w:p>
            <w:pPr>
              <w:spacing w:before="0" w:after="0" w:line="240" w:lineRule="auto"/>
              <w:jc w:val="left"/>
            </w:pPr>
            <w:r>
              <w:rPr>
                <w:sz w:val="20"/>
                <w:szCs w:val="20"/>
              </w:rPr>
              <w:t xml:space="preserve">VN30–VN100</w:t>
            </w:r>
          </w:p>
        </w:tc>
        <w:tc>
          <w:tcPr>
            <w:tcW w:w="1404" w:type="dxa"/>
          </w:tcPr>
          <w:p>
            <w:pPr>
              <w:spacing w:before="0" w:after="0" w:line="240" w:lineRule="auto"/>
              <w:jc w:val="left"/>
            </w:pPr>
            <w:r>
              <w:rPr>
                <w:sz w:val="20"/>
                <w:szCs w:val="20"/>
              </w:rPr>
              <w:t xml:space="preserve">−0.0004 [−0.0018, 0.0007]</w:t>
            </w:r>
          </w:p>
        </w:tc>
        <w:tc>
          <w:tcPr>
            <w:tcW w:w="1404" w:type="dxa"/>
          </w:tcPr>
          <w:p>
            <w:pPr>
              <w:spacing w:before="0" w:after="0" w:line="240" w:lineRule="auto"/>
              <w:jc w:val="left"/>
            </w:pPr>
            <w:r>
              <w:rPr>
                <w:sz w:val="20"/>
                <w:szCs w:val="20"/>
              </w:rPr>
              <w:t xml:space="preserve">0.628</w:t>
            </w:r>
          </w:p>
        </w:tc>
        <w:tc>
          <w:tcPr>
            <w:tcW w:w="1612" w:type="dxa"/>
          </w:tcPr>
          <w:p>
            <w:pPr>
              <w:spacing w:before="0" w:after="0" w:line="240" w:lineRule="auto"/>
              <w:jc w:val="left"/>
            </w:pPr>
            <w:r>
              <w:rPr>
                <w:sz w:val="20"/>
                <w:szCs w:val="20"/>
              </w:rPr>
              <w:t xml:space="preserve">0.541</w:t>
            </w:r>
          </w:p>
        </w:tc>
        <w:tc>
          <w:tcPr>
            <w:tcW w:w="884" w:type="dxa"/>
          </w:tcPr>
          <w:p>
            <w:pPr>
              <w:spacing w:before="0" w:after="0" w:line="240" w:lineRule="auto"/>
              <w:jc w:val="left"/>
            </w:pPr>
            <w:r>
              <w:rPr>
                <w:sz w:val="20"/>
                <w:szCs w:val="20"/>
              </w:rPr>
              <w:t xml:space="preserve">1.000</w:t>
            </w:r>
          </w:p>
        </w:tc>
        <w:tc>
          <w:tcPr>
            <w:tcW w:w="988" w:type="dxa"/>
          </w:tcPr>
          <w:p>
            <w:pPr>
              <w:spacing w:before="0" w:after="0" w:line="240" w:lineRule="auto"/>
              <w:jc w:val="left"/>
            </w:pPr>
            <w:r>
              <w:rPr>
                <w:sz w:val="20"/>
                <w:szCs w:val="20"/>
              </w:rPr>
              <w:t xml:space="preserve">–</w:t>
            </w:r>
          </w:p>
        </w:tc>
        <w:tc>
          <w:tcPr>
            <w:tcW w:w="765" w:type="dxa"/>
          </w:tcPr>
          <w:p>
            <w:pPr>
              <w:spacing w:before="0" w:after="0" w:line="240" w:lineRule="auto"/>
              <w:jc w:val="left"/>
            </w:pPr>
            <w:r>
              <w:rPr>
                <w:sz w:val="20"/>
                <w:szCs w:val="20"/>
              </w:rPr>
              <w:t xml:space="preserve">0.142</w:t>
            </w:r>
          </w:p>
        </w:tc>
      </w:tr>
      <w:tr>
        <w:tc>
          <w:tcPr>
            <w:tcW w:w="1255" w:type="dxa"/>
          </w:tcPr>
          <w:p>
            <w:pPr>
              <w:spacing w:before="0" w:after="0" w:line="240" w:lineRule="auto"/>
              <w:jc w:val="left"/>
            </w:pPr>
            <w:r>
              <w:rPr>
                <w:sz w:val="20"/>
                <w:szCs w:val="20"/>
              </w:rPr>
              <w:t xml:space="preserve">4-hour (H4)</w:t>
            </w:r>
          </w:p>
        </w:tc>
        <w:tc>
          <w:tcPr>
            <w:tcW w:w="1047" w:type="dxa"/>
          </w:tcPr>
          <w:p>
            <w:pPr>
              <w:spacing w:before="0" w:after="0" w:line="240" w:lineRule="auto"/>
              <w:jc w:val="left"/>
            </w:pPr>
            <w:r>
              <w:rPr>
                <w:sz w:val="20"/>
                <w:szCs w:val="20"/>
              </w:rPr>
              <w:t xml:space="preserve">P</w:t>
            </w:r>
            <w:r>
              <w:rPr>
                <w:vertAlign w:val="subscript"/>
                <w:sz w:val="20"/>
                <w:szCs w:val="20"/>
              </w:rPr>
              <w:t xml:space="preserve">cap</w:t>
            </w:r>
            <w:r>
              <w:rPr>
                <w:sz w:val="20"/>
                <w:szCs w:val="20"/>
              </w:rPr>
              <w:t xml:space="preserve">–VN30</w:t>
            </w:r>
          </w:p>
        </w:tc>
        <w:tc>
          <w:tcPr>
            <w:tcW w:w="1404" w:type="dxa"/>
          </w:tcPr>
          <w:p>
            <w:pPr>
              <w:spacing w:before="0" w:after="0" w:line="240" w:lineRule="auto"/>
              <w:jc w:val="left"/>
            </w:pPr>
            <w:r>
              <w:rPr>
                <w:sz w:val="20"/>
                <w:szCs w:val="20"/>
              </w:rPr>
              <w:t xml:space="preserve">−0.0020 [−0.0124, 0.0067]</w:t>
            </w:r>
          </w:p>
        </w:tc>
        <w:tc>
          <w:tcPr>
            <w:tcW w:w="1404" w:type="dxa"/>
          </w:tcPr>
          <w:p>
            <w:pPr>
              <w:spacing w:before="0" w:after="0" w:line="240" w:lineRule="auto"/>
              <w:jc w:val="left"/>
            </w:pPr>
            <w:r>
              <w:rPr>
                <w:sz w:val="20"/>
                <w:szCs w:val="20"/>
              </w:rPr>
              <w:t xml:space="preserve">0.760</w:t>
            </w:r>
          </w:p>
        </w:tc>
        <w:tc>
          <w:tcPr>
            <w:tcW w:w="1612" w:type="dxa"/>
          </w:tcPr>
          <w:p>
            <w:pPr>
              <w:spacing w:before="0" w:after="0" w:line="240" w:lineRule="auto"/>
              <w:jc w:val="left"/>
            </w:pPr>
            <w:r>
              <w:rPr>
                <w:sz w:val="20"/>
                <w:szCs w:val="20"/>
              </w:rPr>
              <w:t xml:space="preserve">0.667</w:t>
            </w:r>
          </w:p>
        </w:tc>
        <w:tc>
          <w:tcPr>
            <w:tcW w:w="884" w:type="dxa"/>
          </w:tcPr>
          <w:p>
            <w:pPr>
              <w:spacing w:before="0" w:after="0" w:line="240" w:lineRule="auto"/>
              <w:jc w:val="left"/>
            </w:pPr>
            <w:r>
              <w:rPr>
                <w:sz w:val="20"/>
                <w:szCs w:val="20"/>
              </w:rPr>
              <w:t xml:space="preserve">1.000</w:t>
            </w:r>
          </w:p>
        </w:tc>
        <w:tc>
          <w:tcPr>
            <w:tcW w:w="988" w:type="dxa"/>
          </w:tcPr>
          <w:p>
            <w:pPr>
              <w:spacing w:before="0" w:after="0" w:line="240" w:lineRule="auto"/>
              <w:jc w:val="left"/>
            </w:pPr>
            <w:r>
              <w:rPr>
                <w:sz w:val="20"/>
                <w:szCs w:val="20"/>
              </w:rPr>
              <w:t xml:space="preserve">–</w:t>
            </w:r>
          </w:p>
        </w:tc>
        <w:tc>
          <w:tcPr>
            <w:tcW w:w="765" w:type="dxa"/>
          </w:tcPr>
          <w:p>
            <w:pPr>
              <w:spacing w:before="0" w:after="0" w:line="240" w:lineRule="auto"/>
              <w:jc w:val="left"/>
            </w:pPr>
            <w:r>
              <w:rPr>
                <w:sz w:val="20"/>
                <w:szCs w:val="20"/>
              </w:rPr>
              <w:t xml:space="preserve">–</w:t>
            </w:r>
          </w:p>
        </w:tc>
      </w:tr>
    </w:tbl>
    <w:p>
      <w:pPr>
        <w:pStyle w:val="Compact"/>
      </w:pPr>
      <w:r>
        <w:rPr>
          <w:sz w:val="20"/>
          <w:szCs w:val="20"/>
        </w:rPr>
        <w:t xml:space="preserve">Notes: Slopes β of Eq. (13) over s ≤ s</w:t>
      </w:r>
      <w:r>
        <w:rPr>
          <w:vertAlign w:val="subscript"/>
          <w:sz w:val="20"/>
          <w:szCs w:val="20"/>
        </w:rPr>
        <w:t xml:space="preserve">rel</w:t>
      </w:r>
      <w:r>
        <w:rPr>
          <w:sz w:val="20"/>
          <w:szCs w:val="20"/>
        </w:rPr>
        <w:t xml:space="preserve">; P</w:t>
      </w:r>
      <w:r>
        <w:rPr>
          <w:vertAlign w:val="subscript"/>
          <w:sz w:val="20"/>
          <w:szCs w:val="20"/>
        </w:rPr>
        <w:t xml:space="preserve">cap</w:t>
      </w:r>
      <w:r>
        <w:rPr>
          <w:sz w:val="20"/>
          <w:szCs w:val="20"/>
        </w:rPr>
        <w:t xml:space="preserve">: overlap-purged mid-cap series. Holm, 19 tests: studentized p adjusted over the original 19 tests, which include three statistical proxies at M30 (Table S8); H2 family: the eight broad-market tests; TOST: equivalence to zero with a margin of 0.001. Source: Authors’ calculations.</w:t>
      </w:r>
    </w:p>
    <w:p>
      <w:pPr>
        <w:pStyle w:val="BodyText"/>
        <w:spacing w:before="0" w:after="120" w:line="300" w:lineRule="auto"/>
        <w:jc w:val="both"/>
      </w:pPr>
      <w:r>
        <w:rPr>
          <w:rFonts w:ascii="Times New Roman" w:hAnsi="Times New Roman" w:cs="Times New Roman" w:eastAsia="Times New Roman"/>
          <w:sz w:val="24"/>
          <w:szCs w:val="24"/>
        </w:rPr>
        <w:t xml:space="preserve">Positive slopes appear only for broad-market pairs at the M30 and H1 frequencies. In the H2 family, four slopes survive Holm adjustment (VN100–VNINDEX at H1; VN30–VNINDEX at H1; VN100–VNINDEX at M30; VN30–VNINDEX at M30), with estimates of 0.0019–0.0024, a rise of about 0.01 across the reliable range. None is significant at 1D or H4; with significant positive slopes at both frequencies the rule requires, H2 is supported on the full data. Over the original 19 tests, Holm keeps one studentized slope and Benjamini–Hochberg four, and with percentile p-values none survives (smallest Benjamini–Hochberg-adjusted p = 0.057). The VN30–VN100 slope is equivalent to zero at M30 and H1 (TOST p = 0.007, 0.012), and the test is inconclusive elsewhere. The P</w:t>
      </w:r>
      <w:r>
        <w:rPr>
          <w:rFonts w:ascii="Times New Roman" w:hAnsi="Times New Roman" w:cs="Times New Roman" w:eastAsia="Times New Roman"/>
          <w:vertAlign w:val="subscript"/>
          <w:sz w:val="24"/>
          <w:szCs w:val="24"/>
        </w:rPr>
        <w:t xml:space="preserve">cap</w:t>
      </w:r>
      <w:r>
        <w:rPr>
          <w:rFonts w:ascii="Times New Roman" w:hAnsi="Times New Roman" w:cs="Times New Roman" w:eastAsia="Times New Roman"/>
          <w:sz w:val="24"/>
          <w:szCs w:val="24"/>
        </w:rPr>
        <w:t xml:space="preserve">–VN30 slope is not significant at any frequency.</w:t>
      </w:r>
    </w:p>
    <w:p>
      <w:pPr>
        <w:pStyle w:val="BodyText"/>
        <w:spacing w:before="0" w:after="120" w:line="300" w:lineRule="auto"/>
        <w:jc w:val="both"/>
      </w:pPr>
      <w:r>
        <w:rPr>
          <w:rFonts w:ascii="Times New Roman" w:hAnsi="Times New Roman" w:cs="Times New Roman" w:eastAsia="Times New Roman"/>
          <w:sz w:val="24"/>
          <w:szCs w:val="24"/>
        </w:rPr>
        <w:t xml:space="preserve">Eq. (14) explains the flat nested slope: the damping factor (the sensitivity) is 0.106–0.112, at M30 and H1 the κ channel partly offsets the ρ</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channel, and the implied slope differs from the observed one by at most 0.8 × 10⁻⁵ (Table S13). A flat nested coefficient therefore says little about the tiers: a purged slope of 0.01 per unit of ln s, five times the broad-market slopes, would move the nested slope by about 0.001, the TOST margin.</w:t>
      </w:r>
    </w:p>
    <w:p>
      <w:pPr>
        <w:pStyle w:val="BodyText"/>
        <w:spacing w:before="0" w:after="120" w:line="300" w:lineRule="auto"/>
        <w:jc w:val="both"/>
      </w:pPr>
      <w:r>
        <w:rPr>
          <w:rFonts w:ascii="Times New Roman" w:hAnsi="Times New Roman" w:cs="Times New Roman" w:eastAsia="Times New Roman"/>
          <w:sz w:val="24"/>
          <w:szCs w:val="24"/>
        </w:rPr>
        <w:t xml:space="preserve">The auction bars drive the intraday result. The first bar of each day holds the overnight return and the opening auction, where intraday volatility peaks (Andersen and Bollerslev 1997). It accounts for 10% of M30 bars but carries 37% of squared VN30 returns. The last bar holds the closing auction (Table S7). Without the opening bar, the H1 broad-market slopes fall to 0.0003 and −0.0005, and at M30 only VN30–VNINDEX stays significant (0.0020, p = 0.031). Without both auction bars, the M30 slopes are −0.00002 and −0.0002. Within the same replicates, the broad-market slopes exceed the VN30–VN100 slope at M30 and H1 (differences 0.0018–0.0024, p ≤ 0.003), but the differences vanish without the auction bars. The three-pair gap does not change (0.107 [0.094, 0.127] at M30 without the opening bar), and the slope intervals are stable across block lengths (Table S15). Horizon dependence is thus a property of the bars containing the overnight return and the call auctions, not of continuous trading. It is consistent with the Epps (1979) mechanism if the auctions are where prices of less liquid constituents catch up.</w:t>
      </w:r>
    </w:p>
    <w:p>
      <w:pPr>
        <w:pStyle w:val="heading20"/>
        <w:numPr>
          <w:ilvl w:val="0"/>
          <w:numId w:val="0"/>
        </w:numPr>
      </w:pPr>
      <w:r>
        <w:rPr>
          <w:rFonts w:ascii="Times New Roman" w:hAnsi="Times New Roman" w:cs="Times New Roman" w:eastAsia="Times New Roman"/>
          <w:b/>
          <w:sz w:val="24"/>
          <w:szCs w:val="24"/>
        </w:rPr>
        <w:t xml:space="preserve">5.5 Crisis dependence (H3)</w:t>
      </w:r>
    </w:p>
    <w:p>
      <w:pPr>
        <w:pStyle w:val="p1a"/>
        <w:spacing w:before="0" w:after="120" w:line="300" w:lineRule="auto"/>
        <w:jc w:val="both"/>
      </w:pPr>
      <w:r>
        <w:rPr>
          <w:rFonts w:ascii="Times New Roman" w:hAnsi="Times New Roman" w:cs="Times New Roman" w:eastAsia="Times New Roman"/>
          <w:sz w:val="24"/>
          <w:szCs w:val="24"/>
        </w:rPr>
        <w:t xml:space="preserve">Table 7 presents the Forbes–Rigobon and factor-model tests under three regime definitions.</w:t>
      </w:r>
    </w:p>
    <w:p>
      <w:pPr>
        <w:pStyle w:val="tablecaption0"/>
      </w:pPr>
      <w:r>
        <w:rPr>
          <w:bCs/>
          <w:b/>
        </w:rPr>
        <w:t xml:space="preserve">Table 7</w:t>
      </w:r>
      <w:r>
        <w:t xml:space="preserve"> </w:t>
      </w:r>
      <w:r>
        <w:t xml:space="preserve">Crisis dependence between P</w:t>
      </w:r>
      <w:r>
        <w:rPr>
          <w:vertAlign w:val="subscript"/>
        </w:rPr>
        <w:t xml:space="preserve">cap</w:t>
      </w:r>
      <w:r>
        <w:t xml:space="preserve"> </w:t>
      </w:r>
      <w:r>
        <w:t xml:space="preserve">and VN30: adjusted correlation and factor-model tests</w:t>
      </w:r>
    </w:p>
    <w:tbl>
      <w:tblPr>
        <w:tblStyle w:val="TableGrid"/>
        <w:tblW w:type="pct" w:w="5000"/>
        <w:tblLook w:firstRow="1" w:lastRow="0" w:firstColumn="0" w:lastColumn="0" w:noHBand="0" w:noVBand="0" w:val="0020"/>
        <w:jc w:val="start"/>
      </w:tblPr>
      <w:tblGrid>
        <w:gridCol w:w="1745"/>
        <w:gridCol w:w="750"/>
        <w:gridCol w:w="750"/>
        <w:gridCol w:w="1225"/>
        <w:gridCol w:w="761"/>
        <w:gridCol w:w="750"/>
        <w:gridCol w:w="854"/>
        <w:gridCol w:w="1203"/>
        <w:gridCol w:w="1322"/>
      </w:tblGrid>
      <w:tr>
        <w:trPr>
          <w:tblHeader w:val="true"/>
        </w:trPr>
        <w:tc>
          <w:tcPr>
            <w:tcW w:w="1745" w:type="dxa"/>
          </w:tcPr>
          <w:p>
            <w:pPr>
              <w:spacing w:before="0" w:after="0" w:line="240" w:lineRule="auto"/>
              <w:jc w:val="left"/>
            </w:pPr>
            <w:r>
              <w:rPr>
                <w:sz w:val="20"/>
                <w:szCs w:val="20"/>
              </w:rPr>
              <w:t xml:space="preserve">Regime definition</w:t>
            </w:r>
          </w:p>
        </w:tc>
        <w:tc>
          <w:tcPr>
            <w:tcW w:w="750" w:type="dxa"/>
          </w:tcPr>
          <w:p>
            <w:pPr>
              <w:spacing w:before="0" w:after="0" w:line="240" w:lineRule="auto"/>
              <w:jc w:val="left"/>
            </w:pPr>
            <w:r>
              <w:rPr>
                <w:sz w:val="20"/>
                <w:szCs w:val="20"/>
              </w:rPr>
              <w:t xml:space="preserve">ρ</w:t>
            </w:r>
            <w:r>
              <w:rPr>
                <w:vertAlign w:val="subscript"/>
                <w:sz w:val="20"/>
                <w:szCs w:val="20"/>
              </w:rPr>
              <w:t xml:space="preserve">low</w:t>
            </w:r>
          </w:p>
        </w:tc>
        <w:tc>
          <w:tcPr>
            <w:tcW w:w="750" w:type="dxa"/>
          </w:tcPr>
          <w:p>
            <w:pPr>
              <w:spacing w:before="0" w:after="0" w:line="240" w:lineRule="auto"/>
              <w:jc w:val="left"/>
            </w:pPr>
            <w:r>
              <w:rPr>
                <w:sz w:val="20"/>
                <w:szCs w:val="20"/>
              </w:rPr>
              <w:t xml:space="preserve">ρ</w:t>
            </w:r>
            <w:r>
              <w:rPr>
                <w:vertAlign w:val="subscript"/>
                <w:sz w:val="20"/>
                <w:szCs w:val="20"/>
              </w:rPr>
              <w:t xml:space="preserve">high</w:t>
            </w:r>
          </w:p>
        </w:tc>
        <w:tc>
          <w:tcPr>
            <w:tcW w:w="1225" w:type="dxa"/>
          </w:tcPr>
          <w:p>
            <w:pPr>
              <w:spacing w:before="0" w:after="0" w:line="240" w:lineRule="auto"/>
              <w:jc w:val="left"/>
            </w:pPr>
            <w:r>
              <w:rPr>
                <w:sz w:val="20"/>
                <w:szCs w:val="20"/>
              </w:rPr>
              <w:t xml:space="preserve">ρ* − ρ</w:t>
            </w:r>
            <w:r>
              <w:rPr>
                <w:vertAlign w:val="subscript"/>
                <w:sz w:val="20"/>
                <w:szCs w:val="20"/>
              </w:rPr>
              <w:t xml:space="preserve">low</w:t>
            </w:r>
            <w:r>
              <w:rPr>
                <w:sz w:val="20"/>
                <w:szCs w:val="20"/>
              </w:rPr>
              <w:t xml:space="preserve"> </w:t>
            </w:r>
            <w:r>
              <w:rPr>
                <w:sz w:val="20"/>
                <w:szCs w:val="20"/>
              </w:rPr>
              <w:t xml:space="preserve">[95% CI]</w:t>
            </w:r>
          </w:p>
        </w:tc>
        <w:tc>
          <w:tcPr>
            <w:tcW w:w="761" w:type="dxa"/>
          </w:tcPr>
          <w:p>
            <w:pPr>
              <w:spacing w:before="0" w:after="0" w:line="240" w:lineRule="auto"/>
              <w:jc w:val="left"/>
            </w:pPr>
            <w:r>
              <w:rPr>
                <w:sz w:val="20"/>
                <w:szCs w:val="20"/>
              </w:rPr>
              <w:t xml:space="preserve">p (FR)</w:t>
            </w:r>
          </w:p>
        </w:tc>
        <w:tc>
          <w:tcPr>
            <w:tcW w:w="750" w:type="dxa"/>
          </w:tcPr>
          <w:p>
            <w:pPr>
              <w:spacing w:before="0" w:after="0" w:line="240" w:lineRule="auto"/>
              <w:jc w:val="left"/>
            </w:pPr>
            <w:r>
              <w:rPr>
                <w:sz w:val="20"/>
                <w:szCs w:val="20"/>
              </w:rPr>
              <w:t xml:space="preserve">β_low</w:t>
            </w:r>
          </w:p>
        </w:tc>
        <w:tc>
          <w:tcPr>
            <w:tcW w:w="854" w:type="dxa"/>
          </w:tcPr>
          <w:p>
            <w:pPr>
              <w:spacing w:before="0" w:after="0" w:line="240" w:lineRule="auto"/>
              <w:jc w:val="left"/>
            </w:pPr>
            <w:r>
              <w:rPr>
                <w:sz w:val="20"/>
                <w:szCs w:val="20"/>
              </w:rPr>
              <w:t xml:space="preserve">β_high</w:t>
            </w:r>
          </w:p>
        </w:tc>
        <w:tc>
          <w:tcPr>
            <w:tcW w:w="1203" w:type="dxa"/>
          </w:tcPr>
          <w:p>
            <w:pPr>
              <w:spacing w:before="0" w:after="0" w:line="240" w:lineRule="auto"/>
              <w:jc w:val="left"/>
            </w:pPr>
            <w:r>
              <w:rPr>
                <w:sz w:val="20"/>
                <w:szCs w:val="20"/>
              </w:rPr>
              <w:t xml:space="preserve">Δβ [95% CI]</w:t>
            </w:r>
          </w:p>
        </w:tc>
        <w:tc>
          <w:tcPr>
            <w:tcW w:w="1322" w:type="dxa"/>
          </w:tcPr>
          <w:p>
            <w:pPr>
              <w:spacing w:before="0" w:after="0" w:line="240" w:lineRule="auto"/>
              <w:jc w:val="left"/>
            </w:pPr>
            <w:r>
              <w:rPr>
                <w:sz w:val="20"/>
                <w:szCs w:val="20"/>
              </w:rPr>
              <w:t xml:space="preserve">Residual variance ratio [95% CI]</w:t>
            </w:r>
          </w:p>
        </w:tc>
      </w:tr>
      <w:tr>
        <w:tc>
          <w:tcPr>
            <w:tcW w:w="1745" w:type="dxa"/>
          </w:tcPr>
          <w:p>
            <w:pPr>
              <w:spacing w:before="0" w:after="0" w:line="240" w:lineRule="auto"/>
              <w:jc w:val="left"/>
            </w:pPr>
            <w:r>
              <w:rPr>
                <w:sz w:val="20"/>
                <w:szCs w:val="20"/>
              </w:rPr>
              <w:t xml:space="preserve">Chronological episodes</w:t>
            </w:r>
          </w:p>
        </w:tc>
        <w:tc>
          <w:tcPr>
            <w:tcW w:w="750" w:type="dxa"/>
          </w:tcPr>
          <w:p>
            <w:pPr>
              <w:spacing w:before="0" w:after="0" w:line="240" w:lineRule="auto"/>
              <w:jc w:val="left"/>
            </w:pPr>
            <w:r>
              <w:rPr>
                <w:sz w:val="20"/>
                <w:szCs w:val="20"/>
              </w:rPr>
              <w:t xml:space="preserve">0.847</w:t>
            </w:r>
          </w:p>
        </w:tc>
        <w:tc>
          <w:tcPr>
            <w:tcW w:w="750" w:type="dxa"/>
          </w:tcPr>
          <w:p>
            <w:pPr>
              <w:spacing w:before="0" w:after="0" w:line="240" w:lineRule="auto"/>
              <w:jc w:val="left"/>
            </w:pPr>
            <w:r>
              <w:rPr>
                <w:sz w:val="20"/>
                <w:szCs w:val="20"/>
              </w:rPr>
              <w:t xml:space="preserve">0.924</w:t>
            </w:r>
          </w:p>
        </w:tc>
        <w:tc>
          <w:tcPr>
            <w:tcW w:w="1225" w:type="dxa"/>
          </w:tcPr>
          <w:p>
            <w:pPr>
              <w:spacing w:before="0" w:after="0" w:line="240" w:lineRule="auto"/>
              <w:jc w:val="left"/>
            </w:pPr>
            <w:r>
              <w:rPr>
                <w:sz w:val="20"/>
                <w:szCs w:val="20"/>
              </w:rPr>
              <w:t xml:space="preserve">−0.044 [−0.082, 0.001]</w:t>
            </w:r>
          </w:p>
        </w:tc>
        <w:tc>
          <w:tcPr>
            <w:tcW w:w="761" w:type="dxa"/>
          </w:tcPr>
          <w:p>
            <w:pPr>
              <w:spacing w:before="0" w:after="0" w:line="240" w:lineRule="auto"/>
              <w:jc w:val="left"/>
            </w:pPr>
            <w:r>
              <w:rPr>
                <w:sz w:val="20"/>
                <w:szCs w:val="20"/>
              </w:rPr>
              <w:t xml:space="preserve">0.985</w:t>
            </w:r>
          </w:p>
        </w:tc>
        <w:tc>
          <w:tcPr>
            <w:tcW w:w="750" w:type="dxa"/>
          </w:tcPr>
          <w:p>
            <w:pPr>
              <w:spacing w:before="0" w:after="0" w:line="240" w:lineRule="auto"/>
              <w:jc w:val="left"/>
            </w:pPr>
            <w:r>
              <w:rPr>
                <w:sz w:val="20"/>
                <w:szCs w:val="20"/>
              </w:rPr>
              <w:t xml:space="preserve">0.919</w:t>
            </w:r>
          </w:p>
        </w:tc>
        <w:tc>
          <w:tcPr>
            <w:tcW w:w="854" w:type="dxa"/>
          </w:tcPr>
          <w:p>
            <w:pPr>
              <w:spacing w:before="0" w:after="0" w:line="240" w:lineRule="auto"/>
              <w:jc w:val="left"/>
            </w:pPr>
            <w:r>
              <w:rPr>
                <w:sz w:val="20"/>
                <w:szCs w:val="20"/>
              </w:rPr>
              <w:t xml:space="preserve">0.927</w:t>
            </w:r>
          </w:p>
        </w:tc>
        <w:tc>
          <w:tcPr>
            <w:tcW w:w="1203" w:type="dxa"/>
          </w:tcPr>
          <w:p>
            <w:pPr>
              <w:spacing w:before="0" w:after="0" w:line="240" w:lineRule="auto"/>
              <w:jc w:val="left"/>
            </w:pPr>
            <w:r>
              <w:rPr>
                <w:sz w:val="20"/>
                <w:szCs w:val="20"/>
              </w:rPr>
              <w:t xml:space="preserve">0.008 [−0.128, 0.140]</w:t>
            </w:r>
          </w:p>
        </w:tc>
        <w:tc>
          <w:tcPr>
            <w:tcW w:w="1322" w:type="dxa"/>
          </w:tcPr>
          <w:p>
            <w:pPr>
              <w:spacing w:before="0" w:after="0" w:line="240" w:lineRule="auto"/>
              <w:jc w:val="left"/>
            </w:pPr>
            <w:r>
              <w:rPr>
                <w:sz w:val="20"/>
                <w:szCs w:val="20"/>
              </w:rPr>
              <w:t xml:space="preserve">1.42 [0.91, 2.15]</w:t>
            </w:r>
          </w:p>
        </w:tc>
      </w:tr>
      <w:tr>
        <w:tc>
          <w:tcPr>
            <w:tcW w:w="1745" w:type="dxa"/>
          </w:tcPr>
          <w:p>
            <w:pPr>
              <w:spacing w:before="0" w:after="0" w:line="240" w:lineRule="auto"/>
              <w:jc w:val="left"/>
            </w:pPr>
            <w:r>
              <w:rPr>
                <w:sz w:val="20"/>
                <w:szCs w:val="20"/>
              </w:rPr>
              <w:t xml:space="preserve">VNINDEX volatility quartiles</w:t>
            </w:r>
          </w:p>
        </w:tc>
        <w:tc>
          <w:tcPr>
            <w:tcW w:w="750" w:type="dxa"/>
          </w:tcPr>
          <w:p>
            <w:pPr>
              <w:spacing w:before="0" w:after="0" w:line="240" w:lineRule="auto"/>
              <w:jc w:val="left"/>
            </w:pPr>
            <w:r>
              <w:rPr>
                <w:sz w:val="20"/>
                <w:szCs w:val="20"/>
              </w:rPr>
              <w:t xml:space="preserve">0.727</w:t>
            </w:r>
          </w:p>
        </w:tc>
        <w:tc>
          <w:tcPr>
            <w:tcW w:w="750" w:type="dxa"/>
          </w:tcPr>
          <w:p>
            <w:pPr>
              <w:spacing w:before="0" w:after="0" w:line="240" w:lineRule="auto"/>
              <w:jc w:val="left"/>
            </w:pPr>
            <w:r>
              <w:rPr>
                <w:sz w:val="20"/>
                <w:szCs w:val="20"/>
              </w:rPr>
              <w:t xml:space="preserve">0.928</w:t>
            </w:r>
          </w:p>
        </w:tc>
        <w:tc>
          <w:tcPr>
            <w:tcW w:w="1225" w:type="dxa"/>
          </w:tcPr>
          <w:p>
            <w:pPr>
              <w:spacing w:before="0" w:after="0" w:line="240" w:lineRule="auto"/>
              <w:jc w:val="left"/>
            </w:pPr>
            <w:r>
              <w:rPr>
                <w:sz w:val="20"/>
                <w:szCs w:val="20"/>
              </w:rPr>
              <w:t xml:space="preserve">−0.066 [−0.132, 0.008]</w:t>
            </w:r>
          </w:p>
        </w:tc>
        <w:tc>
          <w:tcPr>
            <w:tcW w:w="761" w:type="dxa"/>
          </w:tcPr>
          <w:p>
            <w:pPr>
              <w:spacing w:before="0" w:after="0" w:line="240" w:lineRule="auto"/>
              <w:jc w:val="left"/>
            </w:pPr>
            <w:r>
              <w:rPr>
                <w:sz w:val="20"/>
                <w:szCs w:val="20"/>
              </w:rPr>
              <w:t xml:space="preserve">0.974</w:t>
            </w:r>
          </w:p>
        </w:tc>
        <w:tc>
          <w:tcPr>
            <w:tcW w:w="750" w:type="dxa"/>
          </w:tcPr>
          <w:p>
            <w:pPr>
              <w:spacing w:before="0" w:after="0" w:line="240" w:lineRule="auto"/>
              <w:jc w:val="left"/>
            </w:pPr>
            <w:r>
              <w:rPr>
                <w:sz w:val="20"/>
                <w:szCs w:val="20"/>
              </w:rPr>
              <w:t xml:space="preserve">0.716</w:t>
            </w:r>
          </w:p>
        </w:tc>
        <w:tc>
          <w:tcPr>
            <w:tcW w:w="854" w:type="dxa"/>
          </w:tcPr>
          <w:p>
            <w:pPr>
              <w:spacing w:before="0" w:after="0" w:line="240" w:lineRule="auto"/>
              <w:jc w:val="left"/>
            </w:pPr>
            <w:r>
              <w:rPr>
                <w:sz w:val="20"/>
                <w:szCs w:val="20"/>
              </w:rPr>
              <w:t xml:space="preserve">0.956</w:t>
            </w:r>
          </w:p>
        </w:tc>
        <w:tc>
          <w:tcPr>
            <w:tcW w:w="1203" w:type="dxa"/>
          </w:tcPr>
          <w:p>
            <w:pPr>
              <w:spacing w:before="0" w:after="0" w:line="240" w:lineRule="auto"/>
              <w:jc w:val="left"/>
            </w:pPr>
            <w:r>
              <w:rPr>
                <w:sz w:val="20"/>
                <w:szCs w:val="20"/>
              </w:rPr>
              <w:t xml:space="preserve">0.240 [0.143, 0.332]</w:t>
            </w:r>
          </w:p>
        </w:tc>
        <w:tc>
          <w:tcPr>
            <w:tcW w:w="1322" w:type="dxa"/>
          </w:tcPr>
          <w:p>
            <w:pPr>
              <w:spacing w:before="0" w:after="0" w:line="240" w:lineRule="auto"/>
              <w:jc w:val="left"/>
            </w:pPr>
            <w:r>
              <w:rPr>
                <w:sz w:val="20"/>
                <w:szCs w:val="20"/>
              </w:rPr>
              <w:t xml:space="preserve">2.57 [1.75, 3.66]</w:t>
            </w:r>
          </w:p>
        </w:tc>
      </w:tr>
      <w:tr>
        <w:tc>
          <w:tcPr>
            <w:tcW w:w="1745" w:type="dxa"/>
          </w:tcPr>
          <w:p>
            <w:pPr>
              <w:spacing w:before="0" w:after="0" w:line="240" w:lineRule="auto"/>
              <w:jc w:val="left"/>
            </w:pPr>
            <w:r>
              <w:rPr>
                <w:sz w:val="20"/>
                <w:szCs w:val="20"/>
              </w:rPr>
              <w:t xml:space="preserve">VN30 volatility quartiles</w:t>
            </w:r>
          </w:p>
        </w:tc>
        <w:tc>
          <w:tcPr>
            <w:tcW w:w="750" w:type="dxa"/>
          </w:tcPr>
          <w:p>
            <w:pPr>
              <w:spacing w:before="0" w:after="0" w:line="240" w:lineRule="auto"/>
              <w:jc w:val="left"/>
            </w:pPr>
            <w:r>
              <w:rPr>
                <w:sz w:val="20"/>
                <w:szCs w:val="20"/>
              </w:rPr>
              <w:t xml:space="preserve">0.744</w:t>
            </w:r>
          </w:p>
        </w:tc>
        <w:tc>
          <w:tcPr>
            <w:tcW w:w="750" w:type="dxa"/>
          </w:tcPr>
          <w:p>
            <w:pPr>
              <w:spacing w:before="0" w:after="0" w:line="240" w:lineRule="auto"/>
              <w:jc w:val="left"/>
            </w:pPr>
            <w:r>
              <w:rPr>
                <w:sz w:val="20"/>
                <w:szCs w:val="20"/>
              </w:rPr>
              <w:t xml:space="preserve">0.932</w:t>
            </w:r>
          </w:p>
        </w:tc>
        <w:tc>
          <w:tcPr>
            <w:tcW w:w="1225" w:type="dxa"/>
          </w:tcPr>
          <w:p>
            <w:pPr>
              <w:spacing w:before="0" w:after="0" w:line="240" w:lineRule="auto"/>
              <w:jc w:val="left"/>
            </w:pPr>
            <w:r>
              <w:rPr>
                <w:sz w:val="20"/>
                <w:szCs w:val="20"/>
              </w:rPr>
              <w:t xml:space="preserve">−0.087 [−0.144, −0.018]</w:t>
            </w:r>
          </w:p>
        </w:tc>
        <w:tc>
          <w:tcPr>
            <w:tcW w:w="761" w:type="dxa"/>
          </w:tcPr>
          <w:p>
            <w:pPr>
              <w:spacing w:before="0" w:after="0" w:line="240" w:lineRule="auto"/>
              <w:jc w:val="left"/>
            </w:pPr>
            <w:r>
              <w:rPr>
                <w:sz w:val="20"/>
                <w:szCs w:val="20"/>
              </w:rPr>
              <w:t xml:space="preserve">0.998</w:t>
            </w:r>
          </w:p>
        </w:tc>
        <w:tc>
          <w:tcPr>
            <w:tcW w:w="750" w:type="dxa"/>
          </w:tcPr>
          <w:p>
            <w:pPr>
              <w:spacing w:before="0" w:after="0" w:line="240" w:lineRule="auto"/>
              <w:jc w:val="left"/>
            </w:pPr>
            <w:r>
              <w:rPr>
                <w:sz w:val="20"/>
                <w:szCs w:val="20"/>
              </w:rPr>
              <w:t xml:space="preserve">0.737</w:t>
            </w:r>
          </w:p>
        </w:tc>
        <w:tc>
          <w:tcPr>
            <w:tcW w:w="854" w:type="dxa"/>
          </w:tcPr>
          <w:p>
            <w:pPr>
              <w:spacing w:before="0" w:after="0" w:line="240" w:lineRule="auto"/>
              <w:jc w:val="left"/>
            </w:pPr>
            <w:r>
              <w:rPr>
                <w:sz w:val="20"/>
                <w:szCs w:val="20"/>
              </w:rPr>
              <w:t xml:space="preserve">0.948</w:t>
            </w:r>
          </w:p>
        </w:tc>
        <w:tc>
          <w:tcPr>
            <w:tcW w:w="1203" w:type="dxa"/>
          </w:tcPr>
          <w:p>
            <w:pPr>
              <w:spacing w:before="0" w:after="0" w:line="240" w:lineRule="auto"/>
              <w:jc w:val="left"/>
            </w:pPr>
            <w:r>
              <w:rPr>
                <w:sz w:val="20"/>
                <w:szCs w:val="20"/>
              </w:rPr>
              <w:t xml:space="preserve">0.210 [0.119, 0.306]</w:t>
            </w:r>
          </w:p>
        </w:tc>
        <w:tc>
          <w:tcPr>
            <w:tcW w:w="1322" w:type="dxa"/>
          </w:tcPr>
          <w:p>
            <w:pPr>
              <w:spacing w:before="0" w:after="0" w:line="240" w:lineRule="auto"/>
              <w:jc w:val="left"/>
            </w:pPr>
            <w:r>
              <w:rPr>
                <w:sz w:val="20"/>
                <w:szCs w:val="20"/>
              </w:rPr>
              <w:t xml:space="preserve">2.70 [1.92, 3.68]</w:t>
            </w:r>
          </w:p>
        </w:tc>
      </w:tr>
    </w:tbl>
    <w:p>
      <w:pPr>
        <w:pStyle w:val="Compact"/>
      </w:pPr>
      <w:r>
        <w:rPr>
          <w:sz w:val="20"/>
          <w:szCs w:val="20"/>
        </w:rPr>
        <w:t xml:space="preserve">Notes: Daily returns; ρ* from Eq. (15); p (FR): one-sided Forbes–Rigobon bootstrap p-value for H0: ρ* ≤ ρ</w:t>
      </w:r>
      <w:r>
        <w:rPr>
          <w:vertAlign w:val="subscript"/>
          <w:sz w:val="20"/>
          <w:szCs w:val="20"/>
        </w:rPr>
        <w:t xml:space="preserve">low</w:t>
      </w:r>
      <w:r>
        <w:rPr>
          <w:sz w:val="20"/>
          <w:szCs w:val="20"/>
        </w:rPr>
        <w:t xml:space="preserve">; β: ordinary least squares slope of P</w:t>
      </w:r>
      <w:r>
        <w:rPr>
          <w:vertAlign w:val="subscript"/>
          <w:sz w:val="20"/>
          <w:szCs w:val="20"/>
        </w:rPr>
        <w:t xml:space="preserve">cap</w:t>
      </w:r>
      <w:r>
        <w:rPr>
          <w:sz w:val="20"/>
          <w:szCs w:val="20"/>
        </w:rPr>
        <w:t xml:space="preserve"> </w:t>
      </w:r>
      <w:r>
        <w:rPr>
          <w:sz w:val="20"/>
          <w:szCs w:val="20"/>
        </w:rPr>
        <w:t xml:space="preserve">(overlap-purged mid-cap series) on VN30; residual variance ratio: crisis over calm. Chronological: 1,000 calm and 539 crisis days; quartiles: 739 days per regime. Source: Authors’ calculations.</w:t>
      </w:r>
    </w:p>
    <w:p>
      <w:pPr>
        <w:pStyle w:val="BodyText"/>
        <w:spacing w:before="0" w:after="120" w:line="300" w:lineRule="auto"/>
        <w:jc w:val="both"/>
      </w:pPr>
      <w:r>
        <w:rPr>
          <w:rFonts w:ascii="Times New Roman" w:hAnsi="Times New Roman" w:cs="Times New Roman" w:eastAsia="Times New Roman"/>
          <w:sz w:val="24"/>
          <w:szCs w:val="24"/>
        </w:rPr>
        <w:t xml:space="preserve">The raw correlation rises under every regime definition, from 0.847 to 0.924 chronologically and from 0.744 to 0.932 under VN30 quartiles. The adjusted crisis correlation, however, never exceeds its calm level (one-sided p = 0.974–0.998, and above 0.93 across weights; Table S10), and under VN30 quartiles it is significantly lower (−0.087, [−0.144, −0.018]).</w:t>
      </w:r>
    </w:p>
    <w:p>
      <w:pPr>
        <w:pStyle w:val="BodyText"/>
        <w:spacing w:before="0" w:after="120" w:line="300" w:lineRule="auto"/>
        <w:jc w:val="both"/>
      </w:pPr>
      <w:r>
        <w:rPr>
          <w:rFonts w:ascii="Times New Roman" w:hAnsi="Times New Roman" w:cs="Times New Roman" w:eastAsia="Times New Roman"/>
          <w:sz w:val="24"/>
          <w:szCs w:val="24"/>
        </w:rPr>
        <w:t xml:space="preserve">The factor model explains why. The residual variance of P</w:t>
      </w:r>
      <w:r>
        <w:rPr>
          <w:rFonts w:ascii="Times New Roman" w:hAnsi="Times New Roman" w:cs="Times New Roman" w:eastAsia="Times New Roman"/>
          <w:vertAlign w:val="subscript"/>
          <w:sz w:val="24"/>
          <w:szCs w:val="24"/>
        </w:rPr>
        <w:t xml:space="preserve">cap</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rises by a factor of 2.70 [1.92, 3.68] under VN30 quartiles (2.57 under VNINDEX quartiles), which violates the assumption behind Eq. (15) and pushes ρ* down (Corsetti et al. 2005). The loading rises from 0.737 to 0.948 under VN30 quartiles (Δβ = 0.210, [0.119, 0.306], p &lt; 0.001) but not between chronological episodes (Δβ = 0.008, [−0.128, 0.140]). Neither result changes when 2021 is added as a crisis (789 days; Forbes–Rigobon p = 0.987; Δβ = −0.005, [−0.122, 0.124]). Under its decision rule, H3 is not supported: on high-VN30-volatility days, mid caps respond more strongly to large caps and also carry more mid-cap-specific risk. Because the lower-tail dependence of P</w:t>
      </w:r>
      <w:r>
        <w:rPr>
          <w:rFonts w:ascii="Times New Roman" w:hAnsi="Times New Roman" w:cs="Times New Roman" w:eastAsia="Times New Roman"/>
          <w:vertAlign w:val="subscript"/>
          <w:sz w:val="24"/>
          <w:szCs w:val="24"/>
        </w:rPr>
        <w:t xml:space="preserve">cap</w:t>
      </w:r>
      <w:r>
        <w:rPr>
          <w:rFonts w:ascii="Times New Roman" w:hAnsi="Times New Roman" w:cs="Times New Roman" w:eastAsia="Times New Roman"/>
          <w:sz w:val="24"/>
          <w:szCs w:val="24"/>
        </w:rPr>
        <w:t xml:space="preserve">–VN30 (0.75 at the 5% quantile) exceeds its Gaussian-copula value (0.62; Table S5), we cannot tell a structural shift from a stable nonlinear relation.</w:t>
      </w:r>
    </w:p>
    <w:p>
      <w:pPr>
        <w:pStyle w:val="heading20"/>
        <w:numPr>
          <w:ilvl w:val="0"/>
          <w:numId w:val="0"/>
        </w:numPr>
      </w:pPr>
      <w:r>
        <w:rPr>
          <w:rFonts w:ascii="Times New Roman" w:hAnsi="Times New Roman" w:cs="Times New Roman" w:eastAsia="Times New Roman"/>
          <w:b/>
          <w:sz w:val="24"/>
          <w:szCs w:val="24"/>
        </w:rPr>
        <w:t xml:space="preserve">5.6 Portfolio variance (E3, H4)</w:t>
      </w:r>
    </w:p>
    <w:p>
      <w:pPr>
        <w:pStyle w:val="p1a"/>
        <w:spacing w:before="0" w:after="120" w:line="300" w:lineRule="auto"/>
        <w:jc w:val="both"/>
      </w:pPr>
      <w:r>
        <w:rPr>
          <w:rFonts w:ascii="Times New Roman" w:hAnsi="Times New Roman" w:cs="Times New Roman" w:eastAsia="Times New Roman"/>
          <w:sz w:val="24"/>
          <w:szCs w:val="24"/>
        </w:rPr>
        <w:t xml:space="preserve">Table 8 reports the in-sample misstatement from a static correlation and the out-of-sample forecast comparison.</w:t>
      </w:r>
    </w:p>
    <w:p>
      <w:pPr>
        <w:pStyle w:val="tablecaption0"/>
      </w:pPr>
      <w:r>
        <w:rPr>
          <w:bCs/>
          <w:b/>
        </w:rPr>
        <w:t xml:space="preserve">Table 8</w:t>
      </w:r>
      <w:r>
        <w:t xml:space="preserve"> </w:t>
      </w:r>
      <w:r>
        <w:t xml:space="preserve">Portfolio variance: in-sample misstatement and out-of-sample forecast comparison</w:t>
      </w:r>
    </w:p>
    <w:tbl>
      <w:tblPr>
        <w:tblStyle w:val="TableGrid"/>
        <w:tblW w:type="pct" w:w="5000"/>
        <w:tblLook w:firstRow="1" w:lastRow="0" w:firstColumn="0" w:lastColumn="0" w:noHBand="0" w:noVBand="0" w:val="0020"/>
        <w:jc w:val="start"/>
      </w:tblPr>
      <w:tblGrid>
        <w:gridCol w:w="1992"/>
        <w:gridCol w:w="1319"/>
        <w:gridCol w:w="1542"/>
        <w:gridCol w:w="1674"/>
        <w:gridCol w:w="1514"/>
        <w:gridCol w:w="1319"/>
      </w:tblGrid>
      <w:tr>
        <w:trPr>
          <w:tblHeader w:val="true"/>
        </w:trPr>
        <w:tc>
          <w:tcPr>
            <w:tcW w:w="1992" w:type="dxa"/>
          </w:tcPr>
          <w:p>
            <w:pPr>
              <w:spacing w:before="0" w:after="0" w:line="240" w:lineRule="auto"/>
              <w:jc w:val="left"/>
            </w:pPr>
            <w:r>
              <w:rPr>
                <w:sz w:val="20"/>
                <w:szCs w:val="20"/>
              </w:rPr>
              <w:t xml:space="preserve">Regime or pair</w:t>
            </w:r>
          </w:p>
        </w:tc>
        <w:tc>
          <w:tcPr>
            <w:tcW w:w="1319" w:type="dxa"/>
          </w:tcPr>
          <w:p>
            <w:pPr>
              <w:spacing w:before="0" w:after="0" w:line="240" w:lineRule="auto"/>
              <w:jc w:val="left"/>
            </w:pPr>
            <w:r>
              <w:rPr>
                <w:sz w:val="20"/>
                <w:szCs w:val="20"/>
              </w:rPr>
              <w:t xml:space="preserve">Pair or static QLIKE</w:t>
            </w:r>
          </w:p>
        </w:tc>
        <w:tc>
          <w:tcPr>
            <w:tcW w:w="1542" w:type="dxa"/>
          </w:tcPr>
          <w:p>
            <w:pPr>
              <w:spacing w:before="0" w:after="0" w:line="240" w:lineRule="auto"/>
              <w:jc w:val="left"/>
            </w:pPr>
            <w:r>
              <w:rPr>
                <w:sz w:val="20"/>
                <w:szCs w:val="20"/>
              </w:rPr>
              <w:t xml:space="preserve">RE, % [95% CI] or EWMA QLIKE</w:t>
            </w:r>
          </w:p>
        </w:tc>
        <w:tc>
          <w:tcPr>
            <w:tcW w:w="1674" w:type="dxa"/>
          </w:tcPr>
          <w:p>
            <w:pPr>
              <w:spacing w:before="0" w:after="0" w:line="240" w:lineRule="auto"/>
              <w:jc w:val="left"/>
            </w:pPr>
            <w:r>
              <w:rPr>
                <w:sz w:val="20"/>
                <w:szCs w:val="20"/>
              </w:rPr>
              <w:t xml:space="preserve">Relative SE, % or regime QLIKE</w:t>
            </w:r>
          </w:p>
        </w:tc>
        <w:tc>
          <w:tcPr>
            <w:tcW w:w="1514" w:type="dxa"/>
          </w:tcPr>
          <w:p>
            <w:pPr>
              <w:spacing w:before="0" w:after="0" w:line="240" w:lineRule="auto"/>
              <w:jc w:val="left"/>
            </w:pPr>
            <w:r>
              <w:rPr>
                <w:sz w:val="20"/>
                <w:szCs w:val="20"/>
              </w:rPr>
              <w:t xml:space="preserve">RE/SE or DM, static vs EWMA</w:t>
            </w:r>
          </w:p>
        </w:tc>
        <w:tc>
          <w:tcPr>
            <w:tcW w:w="1319" w:type="dxa"/>
          </w:tcPr>
          <w:p>
            <w:pPr>
              <w:spacing w:before="0" w:after="0" w:line="240" w:lineRule="auto"/>
              <w:jc w:val="left"/>
            </w:pPr>
            <w:r>
              <w:rPr>
                <w:sz w:val="20"/>
                <w:szCs w:val="20"/>
              </w:rPr>
              <w:t xml:space="preserve">DM, static vs regime</w:t>
            </w:r>
          </w:p>
        </w:tc>
      </w:tr>
      <w:tr>
        <w:tc>
          <w:tcPr>
            <w:tcW w:w="9360" w:type="dxa"/>
            <w:gridSpan w:val="6"/>
          </w:tcPr>
          <w:p>
            <w:pPr>
              <w:spacing w:before="0" w:after="0" w:line="240" w:lineRule="auto"/>
              <w:jc w:val="left"/>
            </w:pPr>
            <w:r>
              <w:rPr>
                <w:iCs/>
                <w:i/>
                <w:sz w:val="20"/>
                <w:szCs w:val="20"/>
              </w:rPr>
              <w:t xml:space="preserve">Panel A: in-sample misstatement (E3)</w:t>
            </w:r>
          </w:p>
        </w:tc>
      </w:tr>
      <w:tr>
        <w:tc>
          <w:tcPr>
            <w:tcW w:w="1992" w:type="dxa"/>
          </w:tcPr>
          <w:p>
            <w:pPr>
              <w:spacing w:before="0" w:after="0" w:line="240" w:lineRule="auto"/>
              <w:jc w:val="left"/>
            </w:pPr>
            <w:r>
              <w:rPr>
                <w:sz w:val="20"/>
                <w:szCs w:val="20"/>
              </w:rPr>
              <w:t xml:space="preserve">Chronological, calm</w:t>
            </w:r>
          </w:p>
        </w:tc>
        <w:tc>
          <w:tcPr>
            <w:tcW w:w="1319" w:type="dxa"/>
          </w:tcPr>
          <w:p>
            <w:pPr>
              <w:spacing w:before="0" w:after="0" w:line="240" w:lineRule="auto"/>
              <w:jc w:val="left"/>
            </w:pPr>
            <w:r>
              <w:rPr>
                <w:sz w:val="20"/>
                <w:szCs w:val="20"/>
              </w:rPr>
              <w:t xml:space="preserve">P</w:t>
            </w:r>
            <w:r>
              <w:rPr>
                <w:vertAlign w:val="subscript"/>
                <w:sz w:val="20"/>
                <w:szCs w:val="20"/>
              </w:rPr>
              <w:t xml:space="preserve">cap</w:t>
            </w:r>
            <w:r>
              <w:rPr>
                <w:sz w:val="20"/>
                <w:szCs w:val="20"/>
              </w:rPr>
              <w:t xml:space="preserve">–VN30</w:t>
            </w:r>
          </w:p>
        </w:tc>
        <w:tc>
          <w:tcPr>
            <w:tcW w:w="1542" w:type="dxa"/>
          </w:tcPr>
          <w:p>
            <w:pPr>
              <w:spacing w:before="0" w:after="0" w:line="240" w:lineRule="auto"/>
              <w:jc w:val="left"/>
            </w:pPr>
            <w:r>
              <w:rPr>
                <w:sz w:val="20"/>
                <w:szCs w:val="20"/>
              </w:rPr>
              <w:t xml:space="preserve">2.23 [0.71, 3.98]</w:t>
            </w:r>
          </w:p>
        </w:tc>
        <w:tc>
          <w:tcPr>
            <w:tcW w:w="1674" w:type="dxa"/>
          </w:tcPr>
          <w:p>
            <w:pPr>
              <w:spacing w:before="0" w:after="0" w:line="240" w:lineRule="auto"/>
              <w:jc w:val="left"/>
            </w:pPr>
            <w:r>
              <w:rPr>
                <w:sz w:val="20"/>
                <w:szCs w:val="20"/>
              </w:rPr>
              <w:t xml:space="preserve">15.6</w:t>
            </w:r>
          </w:p>
        </w:tc>
        <w:tc>
          <w:tcPr>
            <w:tcW w:w="1514" w:type="dxa"/>
          </w:tcPr>
          <w:p>
            <w:pPr>
              <w:spacing w:before="0" w:after="0" w:line="240" w:lineRule="auto"/>
              <w:jc w:val="left"/>
            </w:pPr>
            <w:r>
              <w:rPr>
                <w:sz w:val="20"/>
                <w:szCs w:val="20"/>
              </w:rPr>
              <w:t xml:space="preserve">0.14</w:t>
            </w:r>
          </w:p>
        </w:tc>
        <w:tc>
          <w:tcPr>
            <w:tcW w:w="1319" w:type="dxa"/>
          </w:tcPr>
          <w:p>
            <w:pPr>
              <w:spacing w:before="0" w:after="0" w:line="240" w:lineRule="auto"/>
            </w:pPr>
          </w:p>
        </w:tc>
      </w:tr>
      <w:tr>
        <w:tc>
          <w:tcPr>
            <w:tcW w:w="1992" w:type="dxa"/>
          </w:tcPr>
          <w:p>
            <w:pPr>
              <w:spacing w:before="0" w:after="0" w:line="240" w:lineRule="auto"/>
              <w:jc w:val="left"/>
            </w:pPr>
            <w:r>
              <w:rPr>
                <w:sz w:val="20"/>
                <w:szCs w:val="20"/>
              </w:rPr>
              <w:t xml:space="preserve">Chronological, calm</w:t>
            </w:r>
          </w:p>
        </w:tc>
        <w:tc>
          <w:tcPr>
            <w:tcW w:w="1319" w:type="dxa"/>
          </w:tcPr>
          <w:p>
            <w:pPr>
              <w:spacing w:before="0" w:after="0" w:line="240" w:lineRule="auto"/>
              <w:jc w:val="left"/>
            </w:pPr>
            <w:r>
              <w:rPr>
                <w:sz w:val="20"/>
                <w:szCs w:val="20"/>
              </w:rPr>
              <w:t xml:space="preserve">VN30–VN100</w:t>
            </w:r>
          </w:p>
        </w:tc>
        <w:tc>
          <w:tcPr>
            <w:tcW w:w="1542" w:type="dxa"/>
          </w:tcPr>
          <w:p>
            <w:pPr>
              <w:spacing w:before="0" w:after="0" w:line="240" w:lineRule="auto"/>
              <w:jc w:val="left"/>
            </w:pPr>
            <w:r>
              <w:rPr>
                <w:sz w:val="20"/>
                <w:szCs w:val="20"/>
              </w:rPr>
              <w:t xml:space="preserve">0.28 [0.11, 0.45]</w:t>
            </w:r>
          </w:p>
        </w:tc>
        <w:tc>
          <w:tcPr>
            <w:tcW w:w="1674" w:type="dxa"/>
          </w:tcPr>
          <w:p>
            <w:pPr>
              <w:spacing w:before="0" w:after="0" w:line="240" w:lineRule="auto"/>
              <w:jc w:val="left"/>
            </w:pPr>
            <w:r>
              <w:rPr>
                <w:sz w:val="20"/>
                <w:szCs w:val="20"/>
              </w:rPr>
              <w:t xml:space="preserve">13.3</w:t>
            </w:r>
          </w:p>
        </w:tc>
        <w:tc>
          <w:tcPr>
            <w:tcW w:w="1514" w:type="dxa"/>
          </w:tcPr>
          <w:p>
            <w:pPr>
              <w:spacing w:before="0" w:after="0" w:line="240" w:lineRule="auto"/>
              <w:jc w:val="left"/>
            </w:pPr>
            <w:r>
              <w:rPr>
                <w:sz w:val="20"/>
                <w:szCs w:val="20"/>
              </w:rPr>
              <w:t xml:space="preserve">0.02</w:t>
            </w:r>
          </w:p>
        </w:tc>
        <w:tc>
          <w:tcPr>
            <w:tcW w:w="1319" w:type="dxa"/>
          </w:tcPr>
          <w:p>
            <w:pPr>
              <w:spacing w:before="0" w:after="0" w:line="240" w:lineRule="auto"/>
            </w:pPr>
          </w:p>
        </w:tc>
      </w:tr>
      <w:tr>
        <w:tc>
          <w:tcPr>
            <w:tcW w:w="1992" w:type="dxa"/>
          </w:tcPr>
          <w:p>
            <w:pPr>
              <w:spacing w:before="0" w:after="0" w:line="240" w:lineRule="auto"/>
              <w:jc w:val="left"/>
            </w:pPr>
            <w:r>
              <w:rPr>
                <w:sz w:val="20"/>
                <w:szCs w:val="20"/>
              </w:rPr>
              <w:t xml:space="preserve">Chronological, crisis</w:t>
            </w:r>
          </w:p>
        </w:tc>
        <w:tc>
          <w:tcPr>
            <w:tcW w:w="1319" w:type="dxa"/>
          </w:tcPr>
          <w:p>
            <w:pPr>
              <w:spacing w:before="0" w:after="0" w:line="240" w:lineRule="auto"/>
              <w:jc w:val="left"/>
            </w:pPr>
            <w:r>
              <w:rPr>
                <w:sz w:val="20"/>
                <w:szCs w:val="20"/>
              </w:rPr>
              <w:t xml:space="preserve">P</w:t>
            </w:r>
            <w:r>
              <w:rPr>
                <w:vertAlign w:val="subscript"/>
                <w:sz w:val="20"/>
                <w:szCs w:val="20"/>
              </w:rPr>
              <w:t xml:space="preserve">cap</w:t>
            </w:r>
            <w:r>
              <w:rPr>
                <w:sz w:val="20"/>
                <w:szCs w:val="20"/>
              </w:rPr>
              <w:t xml:space="preserve">–VN30</w:t>
            </w:r>
          </w:p>
        </w:tc>
        <w:tc>
          <w:tcPr>
            <w:tcW w:w="1542" w:type="dxa"/>
          </w:tcPr>
          <w:p>
            <w:pPr>
              <w:spacing w:before="0" w:after="0" w:line="240" w:lineRule="auto"/>
              <w:jc w:val="left"/>
            </w:pPr>
            <w:r>
              <w:rPr>
                <w:sz w:val="20"/>
                <w:szCs w:val="20"/>
              </w:rPr>
              <w:t xml:space="preserve">−1.84 [−3.01, −0.82]</w:t>
            </w:r>
          </w:p>
        </w:tc>
        <w:tc>
          <w:tcPr>
            <w:tcW w:w="1674" w:type="dxa"/>
          </w:tcPr>
          <w:p>
            <w:pPr>
              <w:spacing w:before="0" w:after="0" w:line="240" w:lineRule="auto"/>
              <w:jc w:val="left"/>
            </w:pPr>
            <w:r>
              <w:rPr>
                <w:sz w:val="20"/>
                <w:szCs w:val="20"/>
              </w:rPr>
              <w:t xml:space="preserve">14.3</w:t>
            </w:r>
          </w:p>
        </w:tc>
        <w:tc>
          <w:tcPr>
            <w:tcW w:w="1514" w:type="dxa"/>
          </w:tcPr>
          <w:p>
            <w:pPr>
              <w:spacing w:before="0" w:after="0" w:line="240" w:lineRule="auto"/>
              <w:jc w:val="left"/>
            </w:pPr>
            <w:r>
              <w:rPr>
                <w:sz w:val="20"/>
                <w:szCs w:val="20"/>
              </w:rPr>
              <w:t xml:space="preserve">0.13</w:t>
            </w:r>
          </w:p>
        </w:tc>
        <w:tc>
          <w:tcPr>
            <w:tcW w:w="1319" w:type="dxa"/>
          </w:tcPr>
          <w:p>
            <w:pPr>
              <w:spacing w:before="0" w:after="0" w:line="240" w:lineRule="auto"/>
            </w:pPr>
          </w:p>
        </w:tc>
      </w:tr>
      <w:tr>
        <w:tc>
          <w:tcPr>
            <w:tcW w:w="1992" w:type="dxa"/>
          </w:tcPr>
          <w:p>
            <w:pPr>
              <w:spacing w:before="0" w:after="0" w:line="240" w:lineRule="auto"/>
              <w:jc w:val="left"/>
            </w:pPr>
            <w:r>
              <w:rPr>
                <w:sz w:val="20"/>
                <w:szCs w:val="20"/>
              </w:rPr>
              <w:t xml:space="preserve">Chronological, crisis</w:t>
            </w:r>
          </w:p>
        </w:tc>
        <w:tc>
          <w:tcPr>
            <w:tcW w:w="1319" w:type="dxa"/>
          </w:tcPr>
          <w:p>
            <w:pPr>
              <w:spacing w:before="0" w:after="0" w:line="240" w:lineRule="auto"/>
              <w:jc w:val="left"/>
            </w:pPr>
            <w:r>
              <w:rPr>
                <w:sz w:val="20"/>
                <w:szCs w:val="20"/>
              </w:rPr>
              <w:t xml:space="preserve">VN30–VN100</w:t>
            </w:r>
          </w:p>
        </w:tc>
        <w:tc>
          <w:tcPr>
            <w:tcW w:w="1542" w:type="dxa"/>
          </w:tcPr>
          <w:p>
            <w:pPr>
              <w:spacing w:before="0" w:after="0" w:line="240" w:lineRule="auto"/>
              <w:jc w:val="left"/>
            </w:pPr>
            <w:r>
              <w:rPr>
                <w:sz w:val="20"/>
                <w:szCs w:val="20"/>
              </w:rPr>
              <w:t xml:space="preserve">−0.19 [−0.33, −0.08]</w:t>
            </w:r>
          </w:p>
        </w:tc>
        <w:tc>
          <w:tcPr>
            <w:tcW w:w="1674" w:type="dxa"/>
          </w:tcPr>
          <w:p>
            <w:pPr>
              <w:spacing w:before="0" w:after="0" w:line="240" w:lineRule="auto"/>
              <w:jc w:val="left"/>
            </w:pPr>
            <w:r>
              <w:rPr>
                <w:sz w:val="20"/>
                <w:szCs w:val="20"/>
              </w:rPr>
              <w:t xml:space="preserve">14.8</w:t>
            </w:r>
          </w:p>
        </w:tc>
        <w:tc>
          <w:tcPr>
            <w:tcW w:w="1514" w:type="dxa"/>
          </w:tcPr>
          <w:p>
            <w:pPr>
              <w:spacing w:before="0" w:after="0" w:line="240" w:lineRule="auto"/>
              <w:jc w:val="left"/>
            </w:pPr>
            <w:r>
              <w:rPr>
                <w:sz w:val="20"/>
                <w:szCs w:val="20"/>
              </w:rPr>
              <w:t xml:space="preserve">0.01</w:t>
            </w:r>
          </w:p>
        </w:tc>
        <w:tc>
          <w:tcPr>
            <w:tcW w:w="1319" w:type="dxa"/>
          </w:tcPr>
          <w:p>
            <w:pPr>
              <w:spacing w:before="0" w:after="0" w:line="240" w:lineRule="auto"/>
            </w:pPr>
          </w:p>
        </w:tc>
      </w:tr>
      <w:tr>
        <w:tc>
          <w:tcPr>
            <w:tcW w:w="1992" w:type="dxa"/>
          </w:tcPr>
          <w:p>
            <w:pPr>
              <w:spacing w:before="0" w:after="0" w:line="240" w:lineRule="auto"/>
              <w:jc w:val="left"/>
            </w:pPr>
            <w:r>
              <w:rPr>
                <w:sz w:val="20"/>
                <w:szCs w:val="20"/>
              </w:rPr>
              <w:t xml:space="preserve">VNINDEX quartiles, calm</w:t>
            </w:r>
          </w:p>
        </w:tc>
        <w:tc>
          <w:tcPr>
            <w:tcW w:w="1319" w:type="dxa"/>
          </w:tcPr>
          <w:p>
            <w:pPr>
              <w:spacing w:before="0" w:after="0" w:line="240" w:lineRule="auto"/>
              <w:jc w:val="left"/>
            </w:pPr>
            <w:r>
              <w:rPr>
                <w:sz w:val="20"/>
                <w:szCs w:val="20"/>
              </w:rPr>
              <w:t xml:space="preserve">P</w:t>
            </w:r>
            <w:r>
              <w:rPr>
                <w:vertAlign w:val="subscript"/>
                <w:sz w:val="20"/>
                <w:szCs w:val="20"/>
              </w:rPr>
              <w:t xml:space="preserve">cap</w:t>
            </w:r>
            <w:r>
              <w:rPr>
                <w:sz w:val="20"/>
                <w:szCs w:val="20"/>
              </w:rPr>
              <w:t xml:space="preserve">–VN30</w:t>
            </w:r>
          </w:p>
        </w:tc>
        <w:tc>
          <w:tcPr>
            <w:tcW w:w="1542" w:type="dxa"/>
          </w:tcPr>
          <w:p>
            <w:pPr>
              <w:spacing w:before="0" w:after="0" w:line="240" w:lineRule="auto"/>
              <w:jc w:val="left"/>
            </w:pPr>
            <w:r>
              <w:rPr>
                <w:sz w:val="20"/>
                <w:szCs w:val="20"/>
              </w:rPr>
              <w:t xml:space="preserve">9.38 [6.28, 13.27]</w:t>
            </w:r>
          </w:p>
        </w:tc>
        <w:tc>
          <w:tcPr>
            <w:tcW w:w="1674" w:type="dxa"/>
          </w:tcPr>
          <w:p>
            <w:pPr>
              <w:spacing w:before="0" w:after="0" w:line="240" w:lineRule="auto"/>
              <w:jc w:val="left"/>
            </w:pPr>
            <w:r>
              <w:rPr>
                <w:sz w:val="20"/>
                <w:szCs w:val="20"/>
              </w:rPr>
              <w:t xml:space="preserve">6.3</w:t>
            </w:r>
          </w:p>
        </w:tc>
        <w:tc>
          <w:tcPr>
            <w:tcW w:w="1514" w:type="dxa"/>
          </w:tcPr>
          <w:p>
            <w:pPr>
              <w:spacing w:before="0" w:after="0" w:line="240" w:lineRule="auto"/>
              <w:jc w:val="left"/>
            </w:pPr>
            <w:r>
              <w:rPr>
                <w:sz w:val="20"/>
                <w:szCs w:val="20"/>
              </w:rPr>
              <w:t xml:space="preserve">1.50</w:t>
            </w:r>
          </w:p>
        </w:tc>
        <w:tc>
          <w:tcPr>
            <w:tcW w:w="1319" w:type="dxa"/>
          </w:tcPr>
          <w:p>
            <w:pPr>
              <w:spacing w:before="0" w:after="0" w:line="240" w:lineRule="auto"/>
            </w:pPr>
          </w:p>
        </w:tc>
      </w:tr>
      <w:tr>
        <w:tc>
          <w:tcPr>
            <w:tcW w:w="1992" w:type="dxa"/>
          </w:tcPr>
          <w:p>
            <w:pPr>
              <w:spacing w:before="0" w:after="0" w:line="240" w:lineRule="auto"/>
              <w:jc w:val="left"/>
            </w:pPr>
            <w:r>
              <w:rPr>
                <w:sz w:val="20"/>
                <w:szCs w:val="20"/>
              </w:rPr>
              <w:t xml:space="preserve">VNINDEX quartiles, calm</w:t>
            </w:r>
          </w:p>
        </w:tc>
        <w:tc>
          <w:tcPr>
            <w:tcW w:w="1319" w:type="dxa"/>
          </w:tcPr>
          <w:p>
            <w:pPr>
              <w:spacing w:before="0" w:after="0" w:line="240" w:lineRule="auto"/>
              <w:jc w:val="left"/>
            </w:pPr>
            <w:r>
              <w:rPr>
                <w:sz w:val="20"/>
                <w:szCs w:val="20"/>
              </w:rPr>
              <w:t xml:space="preserve">VN30–VN100</w:t>
            </w:r>
          </w:p>
        </w:tc>
        <w:tc>
          <w:tcPr>
            <w:tcW w:w="1542" w:type="dxa"/>
          </w:tcPr>
          <w:p>
            <w:pPr>
              <w:spacing w:before="0" w:after="0" w:line="240" w:lineRule="auto"/>
              <w:jc w:val="left"/>
            </w:pPr>
            <w:r>
              <w:rPr>
                <w:sz w:val="20"/>
                <w:szCs w:val="20"/>
              </w:rPr>
              <w:t xml:space="preserve">0.77 [0.49, 1.14]</w:t>
            </w:r>
          </w:p>
        </w:tc>
        <w:tc>
          <w:tcPr>
            <w:tcW w:w="1674" w:type="dxa"/>
          </w:tcPr>
          <w:p>
            <w:pPr>
              <w:spacing w:before="0" w:after="0" w:line="240" w:lineRule="auto"/>
              <w:jc w:val="left"/>
            </w:pPr>
            <w:r>
              <w:rPr>
                <w:sz w:val="20"/>
                <w:szCs w:val="20"/>
              </w:rPr>
              <w:t xml:space="preserve">5.3</w:t>
            </w:r>
          </w:p>
        </w:tc>
        <w:tc>
          <w:tcPr>
            <w:tcW w:w="1514" w:type="dxa"/>
          </w:tcPr>
          <w:p>
            <w:pPr>
              <w:spacing w:before="0" w:after="0" w:line="240" w:lineRule="auto"/>
              <w:jc w:val="left"/>
            </w:pPr>
            <w:r>
              <w:rPr>
                <w:sz w:val="20"/>
                <w:szCs w:val="20"/>
              </w:rPr>
              <w:t xml:space="preserve">0.14</w:t>
            </w:r>
          </w:p>
        </w:tc>
        <w:tc>
          <w:tcPr>
            <w:tcW w:w="1319" w:type="dxa"/>
          </w:tcPr>
          <w:p>
            <w:pPr>
              <w:spacing w:before="0" w:after="0" w:line="240" w:lineRule="auto"/>
            </w:pPr>
          </w:p>
        </w:tc>
      </w:tr>
      <w:tr>
        <w:tc>
          <w:tcPr>
            <w:tcW w:w="1992" w:type="dxa"/>
          </w:tcPr>
          <w:p>
            <w:pPr>
              <w:spacing w:before="0" w:after="0" w:line="240" w:lineRule="auto"/>
              <w:jc w:val="left"/>
            </w:pPr>
            <w:r>
              <w:rPr>
                <w:sz w:val="20"/>
                <w:szCs w:val="20"/>
              </w:rPr>
              <w:t xml:space="preserve">VNINDEX quartiles, crisis</w:t>
            </w:r>
          </w:p>
        </w:tc>
        <w:tc>
          <w:tcPr>
            <w:tcW w:w="1319" w:type="dxa"/>
          </w:tcPr>
          <w:p>
            <w:pPr>
              <w:spacing w:before="0" w:after="0" w:line="240" w:lineRule="auto"/>
              <w:jc w:val="left"/>
            </w:pPr>
            <w:r>
              <w:rPr>
                <w:sz w:val="20"/>
                <w:szCs w:val="20"/>
              </w:rPr>
              <w:t xml:space="preserve">P</w:t>
            </w:r>
            <w:r>
              <w:rPr>
                <w:vertAlign w:val="subscript"/>
                <w:sz w:val="20"/>
                <w:szCs w:val="20"/>
              </w:rPr>
              <w:t xml:space="preserve">cap</w:t>
            </w:r>
            <w:r>
              <w:rPr>
                <w:sz w:val="20"/>
                <w:szCs w:val="20"/>
              </w:rPr>
              <w:t xml:space="preserve">–VN30</w:t>
            </w:r>
          </w:p>
        </w:tc>
        <w:tc>
          <w:tcPr>
            <w:tcW w:w="1542" w:type="dxa"/>
          </w:tcPr>
          <w:p>
            <w:pPr>
              <w:spacing w:before="0" w:after="0" w:line="240" w:lineRule="auto"/>
              <w:jc w:val="left"/>
            </w:pPr>
            <w:r>
              <w:rPr>
                <w:sz w:val="20"/>
                <w:szCs w:val="20"/>
              </w:rPr>
              <w:t xml:space="preserve">−2.07 [−2.88, −1.40]</w:t>
            </w:r>
          </w:p>
        </w:tc>
        <w:tc>
          <w:tcPr>
            <w:tcW w:w="1674" w:type="dxa"/>
          </w:tcPr>
          <w:p>
            <w:pPr>
              <w:spacing w:before="0" w:after="0" w:line="240" w:lineRule="auto"/>
              <w:jc w:val="left"/>
            </w:pPr>
            <w:r>
              <w:rPr>
                <w:sz w:val="20"/>
                <w:szCs w:val="20"/>
              </w:rPr>
              <w:t xml:space="preserve">8.8</w:t>
            </w:r>
          </w:p>
        </w:tc>
        <w:tc>
          <w:tcPr>
            <w:tcW w:w="1514" w:type="dxa"/>
          </w:tcPr>
          <w:p>
            <w:pPr>
              <w:spacing w:before="0" w:after="0" w:line="240" w:lineRule="auto"/>
              <w:jc w:val="left"/>
            </w:pPr>
            <w:r>
              <w:rPr>
                <w:sz w:val="20"/>
                <w:szCs w:val="20"/>
              </w:rPr>
              <w:t xml:space="preserve">0.23</w:t>
            </w:r>
          </w:p>
        </w:tc>
        <w:tc>
          <w:tcPr>
            <w:tcW w:w="1319" w:type="dxa"/>
          </w:tcPr>
          <w:p>
            <w:pPr>
              <w:spacing w:before="0" w:after="0" w:line="240" w:lineRule="auto"/>
            </w:pPr>
          </w:p>
        </w:tc>
      </w:tr>
      <w:tr>
        <w:tc>
          <w:tcPr>
            <w:tcW w:w="1992" w:type="dxa"/>
          </w:tcPr>
          <w:p>
            <w:pPr>
              <w:spacing w:before="0" w:after="0" w:line="240" w:lineRule="auto"/>
              <w:jc w:val="left"/>
            </w:pPr>
            <w:r>
              <w:rPr>
                <w:sz w:val="20"/>
                <w:szCs w:val="20"/>
              </w:rPr>
              <w:t xml:space="preserve">VNINDEX quartiles, crisis</w:t>
            </w:r>
          </w:p>
        </w:tc>
        <w:tc>
          <w:tcPr>
            <w:tcW w:w="1319" w:type="dxa"/>
          </w:tcPr>
          <w:p>
            <w:pPr>
              <w:spacing w:before="0" w:after="0" w:line="240" w:lineRule="auto"/>
              <w:jc w:val="left"/>
            </w:pPr>
            <w:r>
              <w:rPr>
                <w:sz w:val="20"/>
                <w:szCs w:val="20"/>
              </w:rPr>
              <w:t xml:space="preserve">VN30–VN100</w:t>
            </w:r>
          </w:p>
        </w:tc>
        <w:tc>
          <w:tcPr>
            <w:tcW w:w="1542" w:type="dxa"/>
          </w:tcPr>
          <w:p>
            <w:pPr>
              <w:spacing w:before="0" w:after="0" w:line="240" w:lineRule="auto"/>
              <w:jc w:val="left"/>
            </w:pPr>
            <w:r>
              <w:rPr>
                <w:sz w:val="20"/>
                <w:szCs w:val="20"/>
              </w:rPr>
              <w:t xml:space="preserve">−0.20 [−0.30, −0.13]</w:t>
            </w:r>
          </w:p>
        </w:tc>
        <w:tc>
          <w:tcPr>
            <w:tcW w:w="1674" w:type="dxa"/>
          </w:tcPr>
          <w:p>
            <w:pPr>
              <w:spacing w:before="0" w:after="0" w:line="240" w:lineRule="auto"/>
              <w:jc w:val="left"/>
            </w:pPr>
            <w:r>
              <w:rPr>
                <w:sz w:val="20"/>
                <w:szCs w:val="20"/>
              </w:rPr>
              <w:t xml:space="preserve">8.9</w:t>
            </w:r>
          </w:p>
        </w:tc>
        <w:tc>
          <w:tcPr>
            <w:tcW w:w="1514" w:type="dxa"/>
          </w:tcPr>
          <w:p>
            <w:pPr>
              <w:spacing w:before="0" w:after="0" w:line="240" w:lineRule="auto"/>
              <w:jc w:val="left"/>
            </w:pPr>
            <w:r>
              <w:rPr>
                <w:sz w:val="20"/>
                <w:szCs w:val="20"/>
              </w:rPr>
              <w:t xml:space="preserve">0.02</w:t>
            </w:r>
          </w:p>
        </w:tc>
        <w:tc>
          <w:tcPr>
            <w:tcW w:w="1319" w:type="dxa"/>
          </w:tcPr>
          <w:p>
            <w:pPr>
              <w:spacing w:before="0" w:after="0" w:line="240" w:lineRule="auto"/>
            </w:pPr>
          </w:p>
        </w:tc>
      </w:tr>
      <w:tr>
        <w:tc>
          <w:tcPr>
            <w:tcW w:w="9360" w:type="dxa"/>
            <w:gridSpan w:val="6"/>
          </w:tcPr>
          <w:p>
            <w:pPr>
              <w:spacing w:before="0" w:after="0" w:line="240" w:lineRule="auto"/>
              <w:jc w:val="left"/>
            </w:pPr>
            <w:r>
              <w:rPr>
                <w:iCs/>
                <w:i/>
                <w:sz w:val="20"/>
                <w:szCs w:val="20"/>
              </w:rPr>
              <w:t xml:space="preserve">Panel B: out-of-sample, 2023–2025 (H4)</w:t>
            </w:r>
          </w:p>
        </w:tc>
      </w:tr>
      <w:tr>
        <w:tc>
          <w:tcPr>
            <w:tcW w:w="1992" w:type="dxa"/>
          </w:tcPr>
          <w:p>
            <w:pPr>
              <w:spacing w:before="0" w:after="0" w:line="240" w:lineRule="auto"/>
              <w:jc w:val="left"/>
            </w:pPr>
            <w:r>
              <w:rPr>
                <w:sz w:val="20"/>
                <w:szCs w:val="20"/>
              </w:rPr>
              <w:t xml:space="preserve">P</w:t>
            </w:r>
            <w:r>
              <w:rPr>
                <w:vertAlign w:val="subscript"/>
                <w:sz w:val="20"/>
                <w:szCs w:val="20"/>
              </w:rPr>
              <w:t xml:space="preserve">cap</w:t>
            </w:r>
            <w:r>
              <w:rPr>
                <w:sz w:val="20"/>
                <w:szCs w:val="20"/>
              </w:rPr>
              <w:t xml:space="preserve">–VN30</w:t>
            </w:r>
          </w:p>
        </w:tc>
        <w:tc>
          <w:tcPr>
            <w:tcW w:w="1319" w:type="dxa"/>
          </w:tcPr>
          <w:p>
            <w:pPr>
              <w:spacing w:before="0" w:after="0" w:line="240" w:lineRule="auto"/>
              <w:jc w:val="left"/>
            </w:pPr>
            <w:r>
              <w:rPr>
                <w:sz w:val="20"/>
                <w:szCs w:val="20"/>
              </w:rPr>
              <w:t xml:space="preserve">−7.7771</w:t>
            </w:r>
          </w:p>
        </w:tc>
        <w:tc>
          <w:tcPr>
            <w:tcW w:w="1542" w:type="dxa"/>
          </w:tcPr>
          <w:p>
            <w:pPr>
              <w:spacing w:before="0" w:after="0" w:line="240" w:lineRule="auto"/>
              <w:jc w:val="left"/>
            </w:pPr>
            <w:r>
              <w:rPr>
                <w:sz w:val="20"/>
                <w:szCs w:val="20"/>
              </w:rPr>
              <w:t xml:space="preserve">−7.7434</w:t>
            </w:r>
          </w:p>
        </w:tc>
        <w:tc>
          <w:tcPr>
            <w:tcW w:w="1674" w:type="dxa"/>
          </w:tcPr>
          <w:p>
            <w:pPr>
              <w:spacing w:before="0" w:after="0" w:line="240" w:lineRule="auto"/>
              <w:jc w:val="left"/>
            </w:pPr>
            <w:r>
              <w:rPr>
                <w:sz w:val="20"/>
                <w:szCs w:val="20"/>
              </w:rPr>
              <w:t xml:space="preserve">−7.7644</w:t>
            </w:r>
          </w:p>
        </w:tc>
        <w:tc>
          <w:tcPr>
            <w:tcW w:w="1514" w:type="dxa"/>
          </w:tcPr>
          <w:p>
            <w:pPr>
              <w:spacing w:before="0" w:after="0" w:line="240" w:lineRule="auto"/>
              <w:jc w:val="left"/>
            </w:pPr>
            <w:r>
              <w:rPr>
                <w:sz w:val="20"/>
                <w:szCs w:val="20"/>
              </w:rPr>
              <w:t xml:space="preserve">−1.69 (0.091)</w:t>
            </w:r>
          </w:p>
        </w:tc>
        <w:tc>
          <w:tcPr>
            <w:tcW w:w="1319" w:type="dxa"/>
          </w:tcPr>
          <w:p>
            <w:pPr>
              <w:spacing w:before="0" w:after="0" w:line="240" w:lineRule="auto"/>
              <w:jc w:val="left"/>
            </w:pPr>
            <w:r>
              <w:rPr>
                <w:sz w:val="20"/>
                <w:szCs w:val="20"/>
              </w:rPr>
              <w:t xml:space="preserve">−1.34 (0.179)</w:t>
            </w:r>
          </w:p>
        </w:tc>
      </w:tr>
      <w:tr>
        <w:tc>
          <w:tcPr>
            <w:tcW w:w="1992" w:type="dxa"/>
          </w:tcPr>
          <w:p>
            <w:pPr>
              <w:spacing w:before="0" w:after="0" w:line="240" w:lineRule="auto"/>
              <w:jc w:val="left"/>
            </w:pPr>
            <w:r>
              <w:rPr>
                <w:sz w:val="20"/>
                <w:szCs w:val="20"/>
              </w:rPr>
              <w:t xml:space="preserve">VN30–VN100</w:t>
            </w:r>
          </w:p>
        </w:tc>
        <w:tc>
          <w:tcPr>
            <w:tcW w:w="1319" w:type="dxa"/>
          </w:tcPr>
          <w:p>
            <w:pPr>
              <w:spacing w:before="0" w:after="0" w:line="240" w:lineRule="auto"/>
              <w:jc w:val="left"/>
            </w:pPr>
            <w:r>
              <w:rPr>
                <w:sz w:val="20"/>
                <w:szCs w:val="20"/>
              </w:rPr>
              <w:t xml:space="preserve">−7.8357</w:t>
            </w:r>
          </w:p>
        </w:tc>
        <w:tc>
          <w:tcPr>
            <w:tcW w:w="1542" w:type="dxa"/>
          </w:tcPr>
          <w:p>
            <w:pPr>
              <w:spacing w:before="0" w:after="0" w:line="240" w:lineRule="auto"/>
              <w:jc w:val="left"/>
            </w:pPr>
            <w:r>
              <w:rPr>
                <w:sz w:val="20"/>
                <w:szCs w:val="20"/>
              </w:rPr>
              <w:t xml:space="preserve">−7.8315</w:t>
            </w:r>
          </w:p>
        </w:tc>
        <w:tc>
          <w:tcPr>
            <w:tcW w:w="1674" w:type="dxa"/>
          </w:tcPr>
          <w:p>
            <w:pPr>
              <w:spacing w:before="0" w:after="0" w:line="240" w:lineRule="auto"/>
              <w:jc w:val="left"/>
            </w:pPr>
            <w:r>
              <w:rPr>
                <w:sz w:val="20"/>
                <w:szCs w:val="20"/>
              </w:rPr>
              <w:t xml:space="preserve">−7.8346</w:t>
            </w:r>
          </w:p>
        </w:tc>
        <w:tc>
          <w:tcPr>
            <w:tcW w:w="1514" w:type="dxa"/>
          </w:tcPr>
          <w:p>
            <w:pPr>
              <w:spacing w:before="0" w:after="0" w:line="240" w:lineRule="auto"/>
              <w:jc w:val="left"/>
            </w:pPr>
            <w:r>
              <w:rPr>
                <w:sz w:val="20"/>
                <w:szCs w:val="20"/>
              </w:rPr>
              <w:t xml:space="preserve">−1.74 (0.081)</w:t>
            </w:r>
          </w:p>
        </w:tc>
        <w:tc>
          <w:tcPr>
            <w:tcW w:w="1319" w:type="dxa"/>
          </w:tcPr>
          <w:p>
            <w:pPr>
              <w:spacing w:before="0" w:after="0" w:line="240" w:lineRule="auto"/>
              <w:jc w:val="left"/>
            </w:pPr>
            <w:r>
              <w:rPr>
                <w:sz w:val="20"/>
                <w:szCs w:val="20"/>
              </w:rPr>
              <w:t xml:space="preserve">−1.45 (0.146)</w:t>
            </w:r>
          </w:p>
        </w:tc>
      </w:tr>
      <w:tr>
        <w:tc>
          <w:tcPr>
            <w:tcW w:w="1992" w:type="dxa"/>
          </w:tcPr>
          <w:p>
            <w:pPr>
              <w:spacing w:before="0" w:after="0" w:line="240" w:lineRule="auto"/>
              <w:jc w:val="left"/>
            </w:pPr>
            <w:r>
              <w:rPr>
                <w:sz w:val="20"/>
                <w:szCs w:val="20"/>
              </w:rPr>
              <w:t xml:space="preserve">VN30–VNINDEX</w:t>
            </w:r>
          </w:p>
        </w:tc>
        <w:tc>
          <w:tcPr>
            <w:tcW w:w="1319" w:type="dxa"/>
          </w:tcPr>
          <w:p>
            <w:pPr>
              <w:spacing w:before="0" w:after="0" w:line="240" w:lineRule="auto"/>
              <w:jc w:val="left"/>
            </w:pPr>
            <w:r>
              <w:rPr>
                <w:sz w:val="20"/>
                <w:szCs w:val="20"/>
              </w:rPr>
              <w:t xml:space="preserve">−7.9298</w:t>
            </w:r>
          </w:p>
        </w:tc>
        <w:tc>
          <w:tcPr>
            <w:tcW w:w="1542" w:type="dxa"/>
          </w:tcPr>
          <w:p>
            <w:pPr>
              <w:spacing w:before="0" w:after="0" w:line="240" w:lineRule="auto"/>
              <w:jc w:val="left"/>
            </w:pPr>
            <w:r>
              <w:rPr>
                <w:sz w:val="20"/>
                <w:szCs w:val="20"/>
              </w:rPr>
              <w:t xml:space="preserve">−7.9258</w:t>
            </w:r>
          </w:p>
        </w:tc>
        <w:tc>
          <w:tcPr>
            <w:tcW w:w="1674" w:type="dxa"/>
          </w:tcPr>
          <w:p>
            <w:pPr>
              <w:spacing w:before="0" w:after="0" w:line="240" w:lineRule="auto"/>
              <w:jc w:val="left"/>
            </w:pPr>
            <w:r>
              <w:rPr>
                <w:sz w:val="20"/>
                <w:szCs w:val="20"/>
              </w:rPr>
              <w:t xml:space="preserve">−7.9252</w:t>
            </w:r>
          </w:p>
        </w:tc>
        <w:tc>
          <w:tcPr>
            <w:tcW w:w="1514" w:type="dxa"/>
          </w:tcPr>
          <w:p>
            <w:pPr>
              <w:spacing w:before="0" w:after="0" w:line="240" w:lineRule="auto"/>
              <w:jc w:val="left"/>
            </w:pPr>
            <w:r>
              <w:rPr>
                <w:sz w:val="20"/>
                <w:szCs w:val="20"/>
              </w:rPr>
              <w:t xml:space="preserve">−1.82 (0.069)</w:t>
            </w:r>
          </w:p>
        </w:tc>
        <w:tc>
          <w:tcPr>
            <w:tcW w:w="1319" w:type="dxa"/>
          </w:tcPr>
          <w:p>
            <w:pPr>
              <w:spacing w:before="0" w:after="0" w:line="240" w:lineRule="auto"/>
              <w:jc w:val="left"/>
            </w:pPr>
            <w:r>
              <w:rPr>
                <w:sz w:val="20"/>
                <w:szCs w:val="20"/>
              </w:rPr>
              <w:t xml:space="preserve">−1.44 (0.150)</w:t>
            </w:r>
          </w:p>
        </w:tc>
      </w:tr>
      <w:tr>
        <w:tc>
          <w:tcPr>
            <w:tcW w:w="1992" w:type="dxa"/>
          </w:tcPr>
          <w:p>
            <w:pPr>
              <w:spacing w:before="0" w:after="0" w:line="240" w:lineRule="auto"/>
              <w:jc w:val="left"/>
            </w:pPr>
            <w:r>
              <w:rPr>
                <w:sz w:val="20"/>
                <w:szCs w:val="20"/>
              </w:rPr>
              <w:t xml:space="preserve">VN100–VNINDEX</w:t>
            </w:r>
          </w:p>
        </w:tc>
        <w:tc>
          <w:tcPr>
            <w:tcW w:w="1319" w:type="dxa"/>
          </w:tcPr>
          <w:p>
            <w:pPr>
              <w:spacing w:before="0" w:after="0" w:line="240" w:lineRule="auto"/>
              <w:jc w:val="left"/>
            </w:pPr>
            <w:r>
              <w:rPr>
                <w:sz w:val="20"/>
                <w:szCs w:val="20"/>
              </w:rPr>
              <w:t xml:space="preserve">−7.8904</w:t>
            </w:r>
          </w:p>
        </w:tc>
        <w:tc>
          <w:tcPr>
            <w:tcW w:w="1542" w:type="dxa"/>
          </w:tcPr>
          <w:p>
            <w:pPr>
              <w:spacing w:before="0" w:after="0" w:line="240" w:lineRule="auto"/>
              <w:jc w:val="left"/>
            </w:pPr>
            <w:r>
              <w:rPr>
                <w:sz w:val="20"/>
                <w:szCs w:val="20"/>
              </w:rPr>
              <w:t xml:space="preserve">−7.8880</w:t>
            </w:r>
          </w:p>
        </w:tc>
        <w:tc>
          <w:tcPr>
            <w:tcW w:w="1674" w:type="dxa"/>
          </w:tcPr>
          <w:p>
            <w:pPr>
              <w:spacing w:before="0" w:after="0" w:line="240" w:lineRule="auto"/>
              <w:jc w:val="left"/>
            </w:pPr>
            <w:r>
              <w:rPr>
                <w:sz w:val="20"/>
                <w:szCs w:val="20"/>
              </w:rPr>
              <w:t xml:space="preserve">−7.8867</w:t>
            </w:r>
          </w:p>
        </w:tc>
        <w:tc>
          <w:tcPr>
            <w:tcW w:w="1514" w:type="dxa"/>
          </w:tcPr>
          <w:p>
            <w:pPr>
              <w:spacing w:before="0" w:after="0" w:line="240" w:lineRule="auto"/>
              <w:jc w:val="left"/>
            </w:pPr>
            <w:r>
              <w:rPr>
                <w:sz w:val="20"/>
                <w:szCs w:val="20"/>
              </w:rPr>
              <w:t xml:space="preserve">−1.64 (0.100)</w:t>
            </w:r>
          </w:p>
        </w:tc>
        <w:tc>
          <w:tcPr>
            <w:tcW w:w="1319" w:type="dxa"/>
          </w:tcPr>
          <w:p>
            <w:pPr>
              <w:spacing w:before="0" w:after="0" w:line="240" w:lineRule="auto"/>
              <w:jc w:val="left"/>
            </w:pPr>
            <w:r>
              <w:rPr>
                <w:sz w:val="20"/>
                <w:szCs w:val="20"/>
              </w:rPr>
              <w:t xml:space="preserve">−1.43 (0.153)</w:t>
            </w:r>
          </w:p>
        </w:tc>
      </w:tr>
    </w:tbl>
    <w:p>
      <w:pPr>
        <w:pStyle w:val="Compact"/>
      </w:pPr>
      <w:r>
        <w:rPr>
          <w:sz w:val="20"/>
          <w:szCs w:val="20"/>
        </w:rPr>
        <w:t xml:space="preserve">Notes: Panel A: RE: relative error of Eq. (16) for an equally weighted position; P</w:t>
      </w:r>
      <w:r>
        <w:rPr>
          <w:vertAlign w:val="subscript"/>
          <w:sz w:val="20"/>
          <w:szCs w:val="20"/>
        </w:rPr>
        <w:t xml:space="preserve">cap</w:t>
      </w:r>
      <w:r>
        <w:rPr>
          <w:sz w:val="20"/>
          <w:szCs w:val="20"/>
        </w:rPr>
        <w:t xml:space="preserve">: overlap-purged mid-cap series; relative SE: bootstrap standard error of the regime portfolio variance. Panel B: QLIKE: quasi-likelihood loss; EWMA: exponentially weighted moving average; mean QLIKE over 735 evaluation days; DM: Diebold–Mariano t-statistic (p) on the QLIKE difference, negative when the static correlation has the lower loss. Source: Authors’ calculations.</w:t>
      </w:r>
    </w:p>
    <w:p>
      <w:pPr>
        <w:pStyle w:val="BodyText"/>
        <w:spacing w:before="0" w:after="120" w:line="300" w:lineRule="auto"/>
        <w:jc w:val="both"/>
      </w:pPr>
      <w:r>
        <w:rPr>
          <w:rFonts w:ascii="Times New Roman" w:hAnsi="Times New Roman" w:cs="Times New Roman" w:eastAsia="Times New Roman"/>
          <w:sz w:val="24"/>
          <w:szCs w:val="24"/>
        </w:rPr>
        <w:t xml:space="preserve">In sample, a static correlation overstates the variance of an equally weighted VN30 and P</w:t>
      </w:r>
      <w:r>
        <w:rPr>
          <w:rFonts w:ascii="Times New Roman" w:hAnsi="Times New Roman" w:cs="Times New Roman" w:eastAsia="Times New Roman"/>
          <w:vertAlign w:val="subscript"/>
          <w:sz w:val="24"/>
          <w:szCs w:val="24"/>
        </w:rPr>
        <w:t xml:space="preserve">cap</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position by 2.23% in chronological calm periods and 9.38% in the low-volatility quartile, and understates it by 1.84% and 2.07% in crisis regimes. Any pooled correlation produces this sign pattern. For nested pairs, the misstatement is at most 2.35% (Table S14). Relative to sampling error, the magnitudes are small: |RE| is 0.13–1.50 standard errors of the regime variance for P</w:t>
      </w:r>
      <w:r>
        <w:rPr>
          <w:rFonts w:ascii="Times New Roman" w:hAnsi="Times New Roman" w:cs="Times New Roman" w:eastAsia="Times New Roman"/>
          <w:vertAlign w:val="subscript"/>
          <w:sz w:val="24"/>
          <w:szCs w:val="24"/>
        </w:rPr>
        <w:t xml:space="preserve">cap</w:t>
      </w:r>
      <w:r>
        <w:rPr>
          <w:rFonts w:ascii="Times New Roman" w:hAnsi="Times New Roman" w:cs="Times New Roman" w:eastAsia="Times New Roman"/>
          <w:sz w:val="24"/>
          <w:szCs w:val="24"/>
        </w:rPr>
        <w:t xml:space="preserve">–VN30 and at most 0.43 for nested pairs. Out of sample, the static correlation has the lowest mean QLIKE for every pair, and all Diebold–Mariano statistics are negative (p = 0.069–0.179). H4 is not supported: regime variation in correlations is real in sample but too small or too poorly timed to exploit.</w:t>
      </w:r>
    </w:p>
    <w:p>
      <w:pPr>
        <w:pStyle w:val="heading20"/>
        <w:numPr>
          <w:ilvl w:val="0"/>
          <w:numId w:val="0"/>
        </w:numPr>
      </w:pPr>
      <w:r>
        <w:rPr>
          <w:rFonts w:ascii="Times New Roman" w:hAnsi="Times New Roman" w:cs="Times New Roman" w:eastAsia="Times New Roman"/>
          <w:b/>
          <w:sz w:val="24"/>
          <w:szCs w:val="24"/>
        </w:rPr>
        <w:t xml:space="preserve">5.7 Further robustness</w:t>
      </w:r>
    </w:p>
    <w:p>
      <w:pPr>
        <w:pStyle w:val="p1a"/>
        <w:spacing w:before="0" w:after="120" w:line="300" w:lineRule="auto"/>
        <w:jc w:val="both"/>
      </w:pPr>
      <w:r>
        <w:rPr>
          <w:rFonts w:ascii="Times New Roman" w:hAnsi="Times New Roman" w:cs="Times New Roman" w:eastAsia="Times New Roman"/>
          <w:sz w:val="24"/>
          <w:szCs w:val="24"/>
        </w:rPr>
        <w:t xml:space="preserve">None of the further checks changes the conclusions. DMCA (Kristoufek 2014) satisfies the same identity, so it checks only the detrending; it gives a purged coefficient of 0.882–0.891 and a three-pair gap of 0.086–0.096 (Table S4). The daily three-pair gap interval stays within 0.070–0.119 for blocks of 5–60 days (Table S6), and the daily VN30–VNINDEX average is 0.9665, 0.9663 and 0.9667 for detrending orders 1–3. Proxies that replace the free-float weight, such as the VN30–VN100 correlation (0.9865–0.9885), are unstable (Table S8), and shuffled surrogates attribute most of the multifractal range to fat tails (Fig. S1). Lead–lag, hedge-effectiveness and episode statistics are in Tables S9, S11 and S12.</w:t>
      </w:r>
    </w:p>
    <w:p>
      <w:pPr>
        <w:pStyle w:val="heading20"/>
        <w:numPr>
          <w:ilvl w:val="0"/>
          <w:numId w:val="0"/>
        </w:numPr>
      </w:pPr>
      <w:r>
        <w:rPr>
          <w:rFonts w:ascii="Times New Roman" w:hAnsi="Times New Roman" w:cs="Times New Roman" w:eastAsia="Times New Roman"/>
          <w:b/>
          <w:sz w:val="24"/>
          <w:szCs w:val="24"/>
        </w:rPr>
        <w:t xml:space="preserve">5.8 Summary</w:t>
      </w:r>
    </w:p>
    <w:p>
      <w:pPr>
        <w:pStyle w:val="p1a"/>
        <w:spacing w:before="0" w:after="120" w:line="300" w:lineRule="auto"/>
        <w:jc w:val="both"/>
      </w:pPr>
      <w:r>
        <w:rPr>
          <w:rFonts w:ascii="Times New Roman" w:hAnsi="Times New Roman" w:cs="Times New Roman" w:eastAsia="Times New Roman"/>
          <w:sz w:val="24"/>
          <w:szCs w:val="24"/>
        </w:rPr>
        <w:t xml:space="preserve">Table 9 summarizes the estimands and hypotheses.</w:t>
      </w:r>
    </w:p>
    <w:p>
      <w:pPr>
        <w:pStyle w:val="tablecaption0"/>
      </w:pPr>
      <w:r>
        <w:rPr>
          <w:bCs/>
          <w:b/>
        </w:rPr>
        <w:t xml:space="preserve">Table 9</w:t>
      </w:r>
      <w:r>
        <w:t xml:space="preserve"> </w:t>
      </w:r>
      <w:r>
        <w:t xml:space="preserve">Summary of estimands and hypothesis tests</w:t>
      </w:r>
    </w:p>
    <w:tbl>
      <w:tblPr>
        <w:tblStyle w:val="TableGrid"/>
        <w:tblW w:type="pct" w:w="5000"/>
        <w:tblLook w:firstRow="1" w:lastRow="0" w:firstColumn="0" w:lastColumn="0" w:noHBand="0" w:noVBand="0" w:val="0020"/>
        <w:jc w:val="start"/>
      </w:tblPr>
      <w:tblGrid>
        <w:gridCol w:w="1705"/>
        <w:gridCol w:w="1793"/>
        <w:gridCol w:w="2508"/>
        <w:gridCol w:w="1322"/>
        <w:gridCol w:w="2032"/>
      </w:tblGrid>
      <w:tr>
        <w:trPr>
          <w:tblHeader w:val="true"/>
        </w:trPr>
        <w:tc>
          <w:tcPr>
            <w:tcW w:w="1705" w:type="dxa"/>
          </w:tcPr>
          <w:p>
            <w:pPr>
              <w:spacing w:before="0" w:after="0" w:line="240" w:lineRule="auto"/>
              <w:jc w:val="left"/>
            </w:pPr>
            <w:r>
              <w:rPr>
                <w:sz w:val="20"/>
                <w:szCs w:val="20"/>
              </w:rPr>
              <w:t xml:space="preserve">Item</w:t>
            </w:r>
          </w:p>
        </w:tc>
        <w:tc>
          <w:tcPr>
            <w:tcW w:w="1793" w:type="dxa"/>
          </w:tcPr>
          <w:p>
            <w:pPr>
              <w:spacing w:before="0" w:after="0" w:line="240" w:lineRule="auto"/>
              <w:jc w:val="left"/>
            </w:pPr>
            <w:r>
              <w:rPr>
                <w:sz w:val="20"/>
                <w:szCs w:val="20"/>
              </w:rPr>
              <w:t xml:space="preserve">Statistic</w:t>
            </w:r>
          </w:p>
        </w:tc>
        <w:tc>
          <w:tcPr>
            <w:tcW w:w="2508" w:type="dxa"/>
          </w:tcPr>
          <w:p>
            <w:pPr>
              <w:spacing w:before="0" w:after="0" w:line="240" w:lineRule="auto"/>
              <w:jc w:val="left"/>
            </w:pPr>
            <w:r>
              <w:rPr>
                <w:sz w:val="20"/>
                <w:szCs w:val="20"/>
              </w:rPr>
              <w:t xml:space="preserve">Evidence</w:t>
            </w:r>
          </w:p>
        </w:tc>
        <w:tc>
          <w:tcPr>
            <w:tcW w:w="1322" w:type="dxa"/>
          </w:tcPr>
          <w:p>
            <w:pPr>
              <w:spacing w:before="0" w:after="0" w:line="240" w:lineRule="auto"/>
              <w:jc w:val="left"/>
            </w:pPr>
            <w:r>
              <w:rPr>
                <w:sz w:val="20"/>
                <w:szCs w:val="20"/>
              </w:rPr>
              <w:t xml:space="preserve">Outcome</w:t>
            </w:r>
          </w:p>
        </w:tc>
        <w:tc>
          <w:tcPr>
            <w:tcW w:w="2032" w:type="dxa"/>
          </w:tcPr>
          <w:p>
            <w:pPr>
              <w:spacing w:before="0" w:after="0" w:line="240" w:lineRule="auto"/>
              <w:jc w:val="left"/>
            </w:pPr>
            <w:r>
              <w:rPr>
                <w:sz w:val="20"/>
                <w:szCs w:val="20"/>
              </w:rPr>
              <w:t xml:space="preserve">Comment</w:t>
            </w:r>
          </w:p>
        </w:tc>
      </w:tr>
      <w:tr>
        <w:tc>
          <w:tcPr>
            <w:tcW w:w="1705" w:type="dxa"/>
          </w:tcPr>
          <w:p>
            <w:pPr>
              <w:spacing w:before="0" w:after="0" w:line="240" w:lineRule="auto"/>
              <w:jc w:val="left"/>
            </w:pPr>
            <w:r>
              <w:rPr>
                <w:sz w:val="20"/>
                <w:szCs w:val="20"/>
              </w:rPr>
              <w:t xml:space="preserve">E1 Benchmark and attribution</w:t>
            </w:r>
          </w:p>
        </w:tc>
        <w:tc>
          <w:tcPr>
            <w:tcW w:w="1793" w:type="dxa"/>
          </w:tcPr>
          <w:p>
            <w:pPr>
              <w:spacing w:before="0" w:after="0" w:line="240" w:lineRule="auto"/>
              <w:jc w:val="left"/>
            </w:pPr>
            <w:r>
              <w:rPr>
                <w:sz w:val="20"/>
                <w:szCs w:val="20"/>
              </w:rPr>
              <w:t xml:space="preserve">ρ̲; Shapley overlap share</w:t>
            </w:r>
          </w:p>
        </w:tc>
        <w:tc>
          <w:tcPr>
            <w:tcW w:w="2508" w:type="dxa"/>
          </w:tcPr>
          <w:p>
            <w:pPr>
              <w:spacing w:before="0" w:after="0" w:line="240" w:lineRule="auto"/>
              <w:jc w:val="left"/>
            </w:pPr>
            <w:r>
              <w:rPr>
                <w:sz w:val="20"/>
                <w:szCs w:val="20"/>
              </w:rPr>
              <w:t xml:space="preserve">ρ̲ 0.893–0.900; Shapley 0.505–0.508</w:t>
            </w:r>
          </w:p>
        </w:tc>
        <w:tc>
          <w:tcPr>
            <w:tcW w:w="1322" w:type="dxa"/>
          </w:tcPr>
          <w:p>
            <w:pPr>
              <w:spacing w:before="0" w:after="0" w:line="240" w:lineRule="auto"/>
              <w:jc w:val="left"/>
            </w:pPr>
            <w:r>
              <w:rPr>
                <w:sz w:val="20"/>
                <w:szCs w:val="20"/>
              </w:rPr>
              <w:t xml:space="preserve">Estimated (not a test)</w:t>
            </w:r>
          </w:p>
        </w:tc>
        <w:tc>
          <w:tcPr>
            <w:tcW w:w="2032" w:type="dxa"/>
          </w:tcPr>
          <w:p>
            <w:pPr>
              <w:spacing w:before="0" w:after="0" w:line="240" w:lineRule="auto"/>
              <w:jc w:val="left"/>
            </w:pPr>
            <w:r>
              <w:rPr>
                <w:sz w:val="20"/>
                <w:szCs w:val="20"/>
              </w:rPr>
              <w:t xml:space="preserve">Attribution depends mainly on the weight</w:t>
            </w:r>
          </w:p>
        </w:tc>
      </w:tr>
      <w:tr>
        <w:tc>
          <w:tcPr>
            <w:tcW w:w="1705" w:type="dxa"/>
          </w:tcPr>
          <w:p>
            <w:pPr>
              <w:spacing w:before="0" w:after="0" w:line="240" w:lineRule="auto"/>
              <w:jc w:val="left"/>
            </w:pPr>
            <w:r>
              <w:rPr>
                <w:sz w:val="20"/>
                <w:szCs w:val="20"/>
              </w:rPr>
              <w:t xml:space="preserve">E2 Sensitivity</w:t>
            </w:r>
          </w:p>
        </w:tc>
        <w:tc>
          <w:tcPr>
            <w:tcW w:w="1793" w:type="dxa"/>
          </w:tcPr>
          <w:p>
            <w:pPr>
              <w:spacing w:before="0" w:after="0" w:line="240" w:lineRule="auto"/>
              <w:jc w:val="left"/>
            </w:pPr>
            <w:r>
              <w:rPr>
                <w:sz w:val="20"/>
                <w:szCs w:val="20"/>
              </w:rPr>
              <w:t xml:space="preserve">Eq. (10)</w:t>
            </w:r>
          </w:p>
        </w:tc>
        <w:tc>
          <w:tcPr>
            <w:tcW w:w="2508" w:type="dxa"/>
          </w:tcPr>
          <w:p>
            <w:pPr>
              <w:spacing w:before="0" w:after="0" w:line="240" w:lineRule="auto"/>
              <w:jc w:val="left"/>
            </w:pPr>
            <w:r>
              <w:rPr>
                <w:sz w:val="20"/>
                <w:szCs w:val="20"/>
              </w:rPr>
              <w:t xml:space="preserve">0.106–0.112; with weight uncertainty 0.07–0.17</w:t>
            </w:r>
          </w:p>
        </w:tc>
        <w:tc>
          <w:tcPr>
            <w:tcW w:w="1322" w:type="dxa"/>
          </w:tcPr>
          <w:p>
            <w:pPr>
              <w:spacing w:before="0" w:after="0" w:line="240" w:lineRule="auto"/>
              <w:jc w:val="left"/>
            </w:pPr>
            <w:r>
              <w:rPr>
                <w:sz w:val="20"/>
                <w:szCs w:val="20"/>
              </w:rPr>
              <w:t xml:space="preserve">Estimated (not a test)</w:t>
            </w:r>
          </w:p>
        </w:tc>
        <w:tc>
          <w:tcPr>
            <w:tcW w:w="2032" w:type="dxa"/>
          </w:tcPr>
          <w:p>
            <w:pPr>
              <w:spacing w:before="0" w:after="0" w:line="240" w:lineRule="auto"/>
              <w:jc w:val="left"/>
            </w:pPr>
            <w:r>
              <w:rPr>
                <w:sz w:val="20"/>
                <w:szCs w:val="20"/>
              </w:rPr>
              <w:t xml:space="preserve">Purged changes damped about tenfold</w:t>
            </w:r>
          </w:p>
        </w:tc>
      </w:tr>
      <w:tr>
        <w:tc>
          <w:tcPr>
            <w:tcW w:w="1705" w:type="dxa"/>
          </w:tcPr>
          <w:p>
            <w:pPr>
              <w:spacing w:before="0" w:after="0" w:line="240" w:lineRule="auto"/>
              <w:jc w:val="left"/>
            </w:pPr>
            <w:r>
              <w:rPr>
                <w:sz w:val="20"/>
                <w:szCs w:val="20"/>
              </w:rPr>
              <w:t xml:space="preserve">E3 In-sample misstatement</w:t>
            </w:r>
          </w:p>
        </w:tc>
        <w:tc>
          <w:tcPr>
            <w:tcW w:w="1793" w:type="dxa"/>
          </w:tcPr>
          <w:p>
            <w:pPr>
              <w:spacing w:before="0" w:after="0" w:line="240" w:lineRule="auto"/>
              <w:jc w:val="left"/>
            </w:pPr>
            <w:r>
              <w:rPr>
                <w:sz w:val="20"/>
                <w:szCs w:val="20"/>
              </w:rPr>
              <w:t xml:space="preserve">RE, Eq. (16)</w:t>
            </w:r>
          </w:p>
        </w:tc>
        <w:tc>
          <w:tcPr>
            <w:tcW w:w="2508" w:type="dxa"/>
          </w:tcPr>
          <w:p>
            <w:pPr>
              <w:spacing w:before="0" w:after="0" w:line="240" w:lineRule="auto"/>
              <w:jc w:val="left"/>
            </w:pPr>
            <w:r>
              <w:rPr>
                <w:sz w:val="20"/>
                <w:szCs w:val="20"/>
              </w:rPr>
              <w:t xml:space="preserve">P</w:t>
            </w:r>
            <w:r>
              <w:rPr>
                <w:vertAlign w:val="subscript"/>
                <w:sz w:val="20"/>
                <w:szCs w:val="20"/>
              </w:rPr>
              <w:t xml:space="preserve">cap</w:t>
            </w:r>
            <w:r>
              <w:rPr>
                <w:sz w:val="20"/>
                <w:szCs w:val="20"/>
              </w:rPr>
              <w:t xml:space="preserve">–VN30 −2.1% to 9.4%; mostly below one SE</w:t>
            </w:r>
          </w:p>
        </w:tc>
        <w:tc>
          <w:tcPr>
            <w:tcW w:w="1322" w:type="dxa"/>
          </w:tcPr>
          <w:p>
            <w:pPr>
              <w:spacing w:before="0" w:after="0" w:line="240" w:lineRule="auto"/>
              <w:jc w:val="left"/>
            </w:pPr>
            <w:r>
              <w:rPr>
                <w:sz w:val="20"/>
                <w:szCs w:val="20"/>
              </w:rPr>
              <w:t xml:space="preserve">Estimated (not a test)</w:t>
            </w:r>
          </w:p>
        </w:tc>
        <w:tc>
          <w:tcPr>
            <w:tcW w:w="2032" w:type="dxa"/>
          </w:tcPr>
          <w:p>
            <w:pPr>
              <w:spacing w:before="0" w:after="0" w:line="240" w:lineRule="auto"/>
              <w:jc w:val="left"/>
            </w:pPr>
            <w:r>
              <w:rPr>
                <w:sz w:val="20"/>
                <w:szCs w:val="20"/>
              </w:rPr>
              <w:t xml:space="preserve">Sign pattern expected from pooling</w:t>
            </w:r>
          </w:p>
        </w:tc>
      </w:tr>
      <w:tr>
        <w:tc>
          <w:tcPr>
            <w:tcW w:w="1705" w:type="dxa"/>
          </w:tcPr>
          <w:p>
            <w:pPr>
              <w:spacing w:before="0" w:after="0" w:line="240" w:lineRule="auto"/>
              <w:jc w:val="left"/>
            </w:pPr>
            <w:r>
              <w:rPr>
                <w:sz w:val="20"/>
                <w:szCs w:val="20"/>
              </w:rPr>
              <w:t xml:space="preserve">H1 Material overlap gap</w:t>
            </w:r>
          </w:p>
        </w:tc>
        <w:tc>
          <w:tcPr>
            <w:tcW w:w="1793" w:type="dxa"/>
          </w:tcPr>
          <w:p>
            <w:pPr>
              <w:spacing w:before="0" w:after="0" w:line="240" w:lineRule="auto"/>
              <w:jc w:val="left"/>
            </w:pPr>
            <w:r>
              <w:rPr>
                <w:sz w:val="20"/>
                <w:szCs w:val="20"/>
              </w:rPr>
              <w:t xml:space="preserve">Like-for-like gap; lower CI &gt; 0.05</w:t>
            </w:r>
          </w:p>
        </w:tc>
        <w:tc>
          <w:tcPr>
            <w:tcW w:w="2508" w:type="dxa"/>
          </w:tcPr>
          <w:p>
            <w:pPr>
              <w:spacing w:before="0" w:after="0" w:line="240" w:lineRule="auto"/>
              <w:jc w:val="left"/>
            </w:pPr>
            <w:r>
              <w:rPr>
                <w:sz w:val="20"/>
                <w:szCs w:val="20"/>
              </w:rPr>
              <w:t xml:space="preserve">Gap 0.099–0.104; lower CI ≥ 0.084</w:t>
            </w:r>
          </w:p>
        </w:tc>
        <w:tc>
          <w:tcPr>
            <w:tcW w:w="1322" w:type="dxa"/>
          </w:tcPr>
          <w:p>
            <w:pPr>
              <w:spacing w:before="0" w:after="0" w:line="240" w:lineRule="auto"/>
              <w:jc w:val="left"/>
            </w:pPr>
            <w:r>
              <w:rPr>
                <w:sz w:val="20"/>
                <w:szCs w:val="20"/>
              </w:rPr>
              <w:t xml:space="preserve">Supported</w:t>
            </w:r>
          </w:p>
        </w:tc>
        <w:tc>
          <w:tcPr>
            <w:tcW w:w="2032" w:type="dxa"/>
          </w:tcPr>
          <w:p>
            <w:pPr>
              <w:spacing w:before="0" w:after="0" w:line="240" w:lineRule="auto"/>
              <w:jc w:val="left"/>
            </w:pPr>
            <w:r>
              <w:rPr>
                <w:sz w:val="20"/>
                <w:szCs w:val="20"/>
              </w:rPr>
              <w:t xml:space="preserve">Holds under weight uncertainty</w:t>
            </w:r>
          </w:p>
        </w:tc>
      </w:tr>
      <w:tr>
        <w:tc>
          <w:tcPr>
            <w:tcW w:w="1705" w:type="dxa"/>
          </w:tcPr>
          <w:p>
            <w:pPr>
              <w:spacing w:before="0" w:after="0" w:line="240" w:lineRule="auto"/>
              <w:jc w:val="left"/>
            </w:pPr>
            <w:r>
              <w:rPr>
                <w:sz w:val="20"/>
                <w:szCs w:val="20"/>
              </w:rPr>
              <w:t xml:space="preserve">H2 Horizon dependence</w:t>
            </w:r>
          </w:p>
        </w:tc>
        <w:tc>
          <w:tcPr>
            <w:tcW w:w="1793" w:type="dxa"/>
          </w:tcPr>
          <w:p>
            <w:pPr>
              <w:spacing w:before="0" w:after="0" w:line="240" w:lineRule="auto"/>
              <w:jc w:val="left"/>
            </w:pPr>
            <w:r>
              <w:rPr>
                <w:sz w:val="20"/>
                <w:szCs w:val="20"/>
              </w:rPr>
              <w:t xml:space="preserve">Studentized slopes; Holm (H2 family); TOST</w:t>
            </w:r>
          </w:p>
        </w:tc>
        <w:tc>
          <w:tcPr>
            <w:tcW w:w="2508" w:type="dxa"/>
          </w:tcPr>
          <w:p>
            <w:pPr>
              <w:spacing w:before="0" w:after="0" w:line="240" w:lineRule="auto"/>
              <w:jc w:val="left"/>
            </w:pPr>
            <w:r>
              <w:rPr>
                <w:sz w:val="20"/>
                <w:szCs w:val="20"/>
              </w:rPr>
              <w:t xml:space="preserve">4 of 8 broad-market slopes significant, all at M30 or H1; VN30–VN100 equivalent to zero at M30, H1</w:t>
            </w:r>
          </w:p>
        </w:tc>
        <w:tc>
          <w:tcPr>
            <w:tcW w:w="1322" w:type="dxa"/>
          </w:tcPr>
          <w:p>
            <w:pPr>
              <w:spacing w:before="0" w:after="0" w:line="240" w:lineRule="auto"/>
              <w:jc w:val="left"/>
            </w:pPr>
            <w:r>
              <w:rPr>
                <w:sz w:val="20"/>
                <w:szCs w:val="20"/>
              </w:rPr>
              <w:t xml:space="preserve">Supported</w:t>
            </w:r>
          </w:p>
        </w:tc>
        <w:tc>
          <w:tcPr>
            <w:tcW w:w="2032" w:type="dxa"/>
          </w:tcPr>
          <w:p>
            <w:pPr>
              <w:spacing w:before="0" w:after="0" w:line="240" w:lineRule="auto"/>
              <w:jc w:val="left"/>
            </w:pPr>
            <w:r>
              <w:rPr>
                <w:sz w:val="20"/>
                <w:szCs w:val="20"/>
              </w:rPr>
              <w:t xml:space="preserve">Not robust: vanishes without the auction bars</w:t>
            </w:r>
          </w:p>
        </w:tc>
      </w:tr>
      <w:tr>
        <w:tc>
          <w:tcPr>
            <w:tcW w:w="1705" w:type="dxa"/>
          </w:tcPr>
          <w:p>
            <w:pPr>
              <w:spacing w:before="0" w:after="0" w:line="240" w:lineRule="auto"/>
              <w:jc w:val="left"/>
            </w:pPr>
            <w:r>
              <w:rPr>
                <w:sz w:val="20"/>
                <w:szCs w:val="20"/>
              </w:rPr>
              <w:t xml:space="preserve">H3 Contagion</w:t>
            </w:r>
          </w:p>
        </w:tc>
        <w:tc>
          <w:tcPr>
            <w:tcW w:w="1793" w:type="dxa"/>
          </w:tcPr>
          <w:p>
            <w:pPr>
              <w:spacing w:before="0" w:after="0" w:line="240" w:lineRule="auto"/>
              <w:jc w:val="left"/>
            </w:pPr>
            <w:r>
              <w:rPr>
                <w:sz w:val="20"/>
                <w:szCs w:val="20"/>
              </w:rPr>
              <w:t xml:space="preserve">Forbes–Rigobon adjustment and Δβ, VN30 regimes</w:t>
            </w:r>
          </w:p>
        </w:tc>
        <w:tc>
          <w:tcPr>
            <w:tcW w:w="2508" w:type="dxa"/>
          </w:tcPr>
          <w:p>
            <w:pPr>
              <w:spacing w:before="0" w:after="0" w:line="240" w:lineRule="auto"/>
              <w:jc w:val="left"/>
            </w:pPr>
            <w:r>
              <w:rPr>
                <w:sz w:val="20"/>
                <w:szCs w:val="20"/>
              </w:rPr>
              <w:t xml:space="preserve">Forbes–Rigobon p = 0.998; Δβ = 0.210, p &lt; 0.001</w:t>
            </w:r>
          </w:p>
        </w:tc>
        <w:tc>
          <w:tcPr>
            <w:tcW w:w="1322" w:type="dxa"/>
          </w:tcPr>
          <w:p>
            <w:pPr>
              <w:spacing w:before="0" w:after="0" w:line="240" w:lineRule="auto"/>
              <w:jc w:val="left"/>
            </w:pPr>
            <w:r>
              <w:rPr>
                <w:sz w:val="20"/>
                <w:szCs w:val="20"/>
              </w:rPr>
              <w:t xml:space="preserve">Not supported</w:t>
            </w:r>
          </w:p>
        </w:tc>
        <w:tc>
          <w:tcPr>
            <w:tcW w:w="2032" w:type="dxa"/>
          </w:tcPr>
          <w:p>
            <w:pPr>
              <w:spacing w:before="0" w:after="0" w:line="240" w:lineRule="auto"/>
              <w:jc w:val="left"/>
            </w:pPr>
            <w:r>
              <w:rPr>
                <w:sz w:val="20"/>
                <w:szCs w:val="20"/>
              </w:rPr>
              <w:t xml:space="preserve">Loading rises on high-volatility days; residual variance rises too</w:t>
            </w:r>
          </w:p>
        </w:tc>
      </w:tr>
      <w:tr>
        <w:tc>
          <w:tcPr>
            <w:tcW w:w="1705" w:type="dxa"/>
          </w:tcPr>
          <w:p>
            <w:pPr>
              <w:spacing w:before="0" w:after="0" w:line="240" w:lineRule="auto"/>
              <w:jc w:val="left"/>
            </w:pPr>
            <w:r>
              <w:rPr>
                <w:sz w:val="20"/>
                <w:szCs w:val="20"/>
              </w:rPr>
              <w:t xml:space="preserve">H4 Value of regime conditioning</w:t>
            </w:r>
          </w:p>
        </w:tc>
        <w:tc>
          <w:tcPr>
            <w:tcW w:w="1793" w:type="dxa"/>
          </w:tcPr>
          <w:p>
            <w:pPr>
              <w:spacing w:before="0" w:after="0" w:line="240" w:lineRule="auto"/>
              <w:jc w:val="left"/>
            </w:pPr>
            <w:r>
              <w:rPr>
                <w:sz w:val="20"/>
                <w:szCs w:val="20"/>
              </w:rPr>
              <w:t xml:space="preserve">QLIKE; Diebold–Mariano</w:t>
            </w:r>
          </w:p>
        </w:tc>
        <w:tc>
          <w:tcPr>
            <w:tcW w:w="2508" w:type="dxa"/>
          </w:tcPr>
          <w:p>
            <w:pPr>
              <w:spacing w:before="0" w:after="0" w:line="240" w:lineRule="auto"/>
              <w:jc w:val="left"/>
            </w:pPr>
            <w:r>
              <w:rPr>
                <w:sz w:val="20"/>
                <w:szCs w:val="20"/>
              </w:rPr>
              <w:t xml:space="preserve">Static lowest for all pairs; p 0.07–0.18</w:t>
            </w:r>
          </w:p>
        </w:tc>
        <w:tc>
          <w:tcPr>
            <w:tcW w:w="1322" w:type="dxa"/>
          </w:tcPr>
          <w:p>
            <w:pPr>
              <w:spacing w:before="0" w:after="0" w:line="240" w:lineRule="auto"/>
              <w:jc w:val="left"/>
            </w:pPr>
            <w:r>
              <w:rPr>
                <w:sz w:val="20"/>
                <w:szCs w:val="20"/>
              </w:rPr>
              <w:t xml:space="preserve">Not supported</w:t>
            </w:r>
          </w:p>
        </w:tc>
        <w:tc>
          <w:tcPr>
            <w:tcW w:w="2032" w:type="dxa"/>
          </w:tcPr>
          <w:p>
            <w:pPr>
              <w:spacing w:before="0" w:after="0" w:line="240" w:lineRule="auto"/>
              <w:jc w:val="left"/>
            </w:pPr>
            <w:r>
              <w:rPr>
                <w:sz w:val="20"/>
                <w:szCs w:val="20"/>
              </w:rPr>
              <w:t xml:space="preserve">Static correlation has the lowest loss</w:t>
            </w:r>
          </w:p>
        </w:tc>
      </w:tr>
    </w:tbl>
    <w:p>
      <w:pPr>
        <w:pStyle w:val="Compact"/>
      </w:pPr>
      <w:r>
        <w:rPr>
          <w:sz w:val="20"/>
          <w:szCs w:val="20"/>
        </w:rPr>
        <w:t xml:space="preserve">Notes: Decision rules for H1–H4 in Section 2.7; all tests at the 5% level; RE: relative error of portfolio variance; SE: standard error; TOST: two one-sided tests; QLIKE: quasi-likelihood loss; CI: confidence interval. Source: Authors’ calculations.</w:t>
      </w:r>
    </w:p>
    <w:p>
      <w:pPr>
        <w:pStyle w:val="heading1"/>
        <w:numPr>
          <w:ilvl w:val="0"/>
          <w:numId w:val="0"/>
        </w:numPr>
      </w:pPr>
      <w:r>
        <w:rPr>
          <w:rFonts w:ascii="Times New Roman" w:hAnsi="Times New Roman" w:cs="Times New Roman" w:eastAsia="Times New Roman"/>
          <w:b/>
          <w:sz w:val="24"/>
          <w:szCs w:val="24"/>
        </w:rPr>
        <w:t xml:space="preserve">6 Discussion</w:t>
      </w:r>
    </w:p>
    <w:p>
      <w:pPr>
        <w:pStyle w:val="heading20"/>
        <w:numPr>
          <w:ilvl w:val="0"/>
          <w:numId w:val="0"/>
        </w:numPr>
      </w:pPr>
      <w:r>
        <w:rPr>
          <w:rFonts w:ascii="Times New Roman" w:hAnsi="Times New Roman" w:cs="Times New Roman" w:eastAsia="Times New Roman"/>
          <w:b/>
          <w:sz w:val="24"/>
          <w:szCs w:val="24"/>
        </w:rPr>
        <w:t xml:space="preserve">6.1 Mechanisms</w:t>
      </w:r>
    </w:p>
    <w:p>
      <w:pPr>
        <w:pStyle w:val="p1a"/>
        <w:spacing w:before="0" w:after="120" w:line="300" w:lineRule="auto"/>
        <w:jc w:val="both"/>
      </w:pPr>
      <w:r>
        <w:rPr>
          <w:rFonts w:ascii="Times New Roman" w:hAnsi="Times New Roman" w:cs="Times New Roman" w:eastAsia="Times New Roman"/>
          <w:sz w:val="24"/>
          <w:szCs w:val="24"/>
        </w:rPr>
        <w:t xml:space="preserve">One mechanism drives the nested results. A child’s variation enters every covariance and both standard deviations of a nested pair, and Lemma 1 pins the coefficient near a benchmark set by weight and relative amplitude. With VN30 at 68% of VN100, the benchmark is near 0.90 and the bound near 0.87, so the observed 0.99 says little about how mid caps move with large caps. Changes in the purged coefficient reach it damped about tenfold.</w:t>
      </w:r>
    </w:p>
    <w:p>
      <w:pPr>
        <w:pStyle w:val="BodyText"/>
        <w:spacing w:before="0" w:after="120" w:line="300" w:lineRule="auto"/>
        <w:jc w:val="both"/>
      </w:pPr>
      <w:r>
        <w:rPr>
          <w:rFonts w:ascii="Times New Roman" w:hAnsi="Times New Roman" w:cs="Times New Roman" w:eastAsia="Times New Roman"/>
          <w:sz w:val="24"/>
          <w:szCs w:val="24"/>
        </w:rPr>
        <w:t xml:space="preserve">The purged series has the features the size literature predicts. Daily VN30 returns lead P</w:t>
      </w:r>
      <w:r>
        <w:rPr>
          <w:rFonts w:ascii="Times New Roman" w:hAnsi="Times New Roman" w:cs="Times New Roman" w:eastAsia="Times New Roman"/>
          <w:vertAlign w:val="subscript"/>
          <w:sz w:val="24"/>
          <w:szCs w:val="24"/>
        </w:rPr>
        <w:t xml:space="preserve">cap</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returns (cross-autocorrelation 0.084, [0.028, 0.136]) while the reverse is negligible (0.007), an asymmetry of 0.076 [0.048, 0.102] in line with Lo and MacKinlay (1990) and Hou (2007); at intraday frequencies the lead is symmetric (Table S9). The auction-bar horizon dependence of broad-market pairs fits the Epps (1979) effect for small, less liquid stocks (Chen et al. 2021; Tran and Tran 2025), which index-level data cannot separate from gradual diffusion (Hong and Stein 1999). The higher loading on high-volatility days has several candidate sources that our data cannot rank: herding (Nguyen et al. 2023) and sector connectedness (Bui et al. 2022), limit hits under the ±7% band, margin calls and foreign flows concentrated in large caps with room under ownership limits. The rise in residual variance shows that crises also bring mid-cap-specific shocks, which the Forbes–Rigobon correction misreads as lower dependence.</w:t>
      </w:r>
    </w:p>
    <w:p>
      <w:pPr>
        <w:pStyle w:val="heading20"/>
        <w:numPr>
          <w:ilvl w:val="0"/>
          <w:numId w:val="0"/>
        </w:numPr>
      </w:pPr>
      <w:r>
        <w:rPr>
          <w:rFonts w:ascii="Times New Roman" w:hAnsi="Times New Roman" w:cs="Times New Roman" w:eastAsia="Times New Roman"/>
          <w:b/>
          <w:sz w:val="24"/>
          <w:szCs w:val="24"/>
        </w:rPr>
        <w:t xml:space="preserve">6.2 Implications</w:t>
      </w:r>
    </w:p>
    <w:p>
      <w:pPr>
        <w:pStyle w:val="p1a"/>
        <w:spacing w:before="0" w:after="120" w:line="300" w:lineRule="auto"/>
        <w:jc w:val="both"/>
      </w:pPr>
      <w:r>
        <w:rPr>
          <w:rFonts w:ascii="Times New Roman" w:hAnsi="Times New Roman" w:cs="Times New Roman" w:eastAsia="Times New Roman"/>
          <w:sz w:val="24"/>
          <w:szCs w:val="24"/>
        </w:rPr>
        <w:t xml:space="preserve">Users who judge diversification between tiers from nested index correlations should first decompose them. Box 1 does this from published series and the index weight. Its key outputs are the purged coefficient and the sensitivity, whose inverse of about 10 shows how ill-conditioned the index-level number is: an error of 0.001 in the nested coefficient becomes about 0.01 in the purged one. Holdings-based risk models are not affected. For hedging, a minimum-variance VN30 hedge removes a share ρ² of mid-cap variance (Ederington 1979), 0.79 [0.75, 0.82] over the full sample but 0.53 [0.45, 0.61] in the low-volatility quartile and 0.86 in the high-volatility quartile (Table S11). Hedging the VNMIDCAP exchange-traded fund with VN30 futures leaves about a fifth of the variance on average and about half in calm markets. A mid-cap derivative would remove this basis risk; we do not study whether such a contract would be viable. The case for regime-conditioned tier correlations is not supported: their in-sample gain is mostly within sampling error and vanishes out of sample. For users of index-level data, the error that matters is reading a nested correlation as evidence of diversification.</w:t>
      </w:r>
    </w:p>
    <w:p>
      <w:pPr>
        <w:pStyle w:val="heading20"/>
        <w:numPr>
          <w:ilvl w:val="0"/>
          <w:numId w:val="0"/>
        </w:numPr>
      </w:pPr>
      <w:r>
        <w:rPr>
          <w:rFonts w:ascii="Times New Roman" w:hAnsi="Times New Roman" w:cs="Times New Roman" w:eastAsia="Times New Roman"/>
          <w:b/>
          <w:sz w:val="24"/>
          <w:szCs w:val="24"/>
        </w:rPr>
        <w:t xml:space="preserve">6.3 Transferability and limitations</w:t>
      </w:r>
    </w:p>
    <w:p>
      <w:pPr>
        <w:pStyle w:val="p1a"/>
        <w:spacing w:before="0" w:after="120" w:line="300" w:lineRule="auto"/>
        <w:jc w:val="both"/>
      </w:pPr>
      <w:r>
        <w:rPr>
          <w:rFonts w:ascii="Times New Roman" w:hAnsi="Times New Roman" w:cs="Times New Roman" w:eastAsia="Times New Roman"/>
          <w:sz w:val="24"/>
          <w:szCs w:val="24"/>
        </w:rPr>
        <w:t xml:space="preserve">Lemma 1 applies to any child contained in its parent with a known weight under one weighting scheme. Fig. 4 shows benchmarks above 0.7 whenever the child holds half of the parent and the remaining constituents are no more volatile, so large components fixed by construction should be common in families such as SET50 within SET100 or IDX30 within LQ45; we did not compute them because we could not verify their weights. With partial overlap, the shared constituents form a third component, and Eq. (7) does not apply directly. We did not decompose the broad-market pairs: VNINDEX uses full capitalization and VN100 free-float capitalization, so VN100 is not a fixed-weight component of VNINDEX. The mismatch term of Eq. (12) cannot be bounded without constituent data, and the three-pair gap is therefore descriptive for these pairs.</w:t>
      </w:r>
    </w:p>
    <w:p>
      <w:pPr>
        <w:pStyle w:val="BodyText"/>
        <w:spacing w:before="0" w:after="120" w:line="300" w:lineRule="auto"/>
        <w:jc w:val="both"/>
      </w:pPr>
      <w:r>
        <w:rPr>
          <w:rFonts w:ascii="Times New Roman" w:hAnsi="Times New Roman" w:cs="Times New Roman" w:eastAsia="Times New Roman"/>
          <w:sz w:val="24"/>
          <w:szCs w:val="24"/>
        </w:rPr>
        <w:t xml:space="preserve">The evidence comes from one exchange and three indices, so the magnitudes should not be generalized beyond the HOSE. The purged series rests on one factsheet weight; a weight path from semi-annual reviews would narrow the attribution intervals, which weight error dominates. We could not validate P</w:t>
      </w:r>
      <w:r>
        <w:rPr>
          <w:rFonts w:ascii="Times New Roman" w:hAnsi="Times New Roman" w:cs="Times New Roman" w:eastAsia="Times New Roman"/>
          <w:vertAlign w:val="subscript"/>
          <w:sz w:val="24"/>
          <w:szCs w:val="24"/>
        </w:rPr>
        <w:t xml:space="preserve">cap</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against the published VNMIDCAP index or the FUEDCMID net asset value, so we call ρ</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overlap-purged rather than economic. Index-level prices cannot separate microstructure from diffusion, crisis evidence depends on the regime definition, and the out-of-sample period covers three years. The FTSE Russell reclassification from September 2026 offers a test: if foreign inflows raise the large-cap weight or lower the volatility of the remaining constituents relative to large caps, Eq. (8) predicts a higher benchmark.</w:t>
      </w:r>
    </w:p>
    <w:p>
      <w:pPr>
        <w:pStyle w:val="heading1"/>
        <w:numPr>
          <w:ilvl w:val="0"/>
          <w:numId w:val="0"/>
        </w:numPr>
      </w:pPr>
      <w:r>
        <w:rPr>
          <w:rFonts w:ascii="Times New Roman" w:hAnsi="Times New Roman" w:cs="Times New Roman" w:eastAsia="Times New Roman"/>
          <w:b/>
          <w:sz w:val="24"/>
          <w:szCs w:val="24"/>
        </w:rPr>
        <w:t xml:space="preserve">7 Conclusion</w:t>
      </w:r>
    </w:p>
    <w:p>
      <w:pPr>
        <w:pStyle w:val="p1a"/>
        <w:spacing w:before="0" w:after="120" w:line="300" w:lineRule="auto"/>
        <w:jc w:val="both"/>
      </w:pPr>
      <w:r>
        <w:rPr>
          <w:rFonts w:ascii="Times New Roman" w:hAnsi="Times New Roman" w:cs="Times New Roman" w:eastAsia="Times New Roman"/>
          <w:sz w:val="24"/>
          <w:szCs w:val="24"/>
        </w:rPr>
        <w:t xml:space="preserve">Correlations between nested equity indices contain a component fixed by construction. Extending the part–whole identity to scale-wise detrended coefficients yields a benchmark, a lower bound, a sensitivity and an order-free attribution, all computable from index-level inputs. On the HOSE, the VN30–VN100 coefficient moves by only about 0.11 per unit change in the purged coefficient, and removing the overlap lowers the correlation with large caps by about 0.10. The purged series shows a large-to-small lead and a higher mid-cap loading together with more mid-cap-specific risk on volatile days; horizon effects in broad-market pairs are confined to the auction bars; and regime-conditioned correlations bring no out-of-sample gain. Users of index-level data should decompose nested correlations before reading them as evidence about diversification between tiers.</w:t>
      </w:r>
    </w:p>
    <w:p>
      <w:pPr>
        <w:pStyle w:val="p1a"/>
        <w:spacing w:before="0" w:after="120" w:line="300" w:lineRule="auto"/>
        <w:jc w:val="both"/>
      </w:pPr>
      <w:r>
        <w:rPr>
          <w:rFonts w:ascii="Times New Roman" w:hAnsi="Times New Roman" w:cs="Times New Roman" w:eastAsia="Times New Roman"/>
          <w:bCs/>
          <w:b/>
          <w:sz w:val="24"/>
          <w:szCs w:val="24"/>
        </w:rPr>
        <w:t xml:space="preserve">Ethical standards</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This study uses only publicly available historical index price data from the Ho Chi Minh City Stock Exchange; it involves no human participants or personal data, therefore required no ethical approval, and complies with the current laws of Vietnam.</w:t>
      </w:r>
    </w:p>
    <w:p>
      <w:pPr>
        <w:pStyle w:val="p1a"/>
        <w:spacing w:before="0" w:after="120" w:line="300" w:lineRule="auto"/>
        <w:jc w:val="both"/>
      </w:pPr>
      <w:r>
        <w:rPr>
          <w:rFonts w:ascii="Times New Roman" w:hAnsi="Times New Roman" w:cs="Times New Roman" w:eastAsia="Times New Roman"/>
          <w:bCs/>
          <w:b/>
          <w:sz w:val="24"/>
          <w:szCs w:val="24"/>
        </w:rPr>
        <w:t xml:space="preserve">Data availability</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The index price data were obtained from TradingView (exchange: HOSE) and are subject to the vendor’s terms of use; the merged dataset is available from the corresponding author upon reasonable request.</w:t>
      </w:r>
    </w:p>
    <w:p>
      <w:pPr>
        <w:pStyle w:val="p1a"/>
        <w:spacing w:before="0" w:after="120" w:line="300" w:lineRule="auto"/>
        <w:jc w:val="both"/>
      </w:pPr>
      <w:r>
        <w:rPr>
          <w:rFonts w:ascii="Times New Roman" w:hAnsi="Times New Roman" w:cs="Times New Roman" w:eastAsia="Times New Roman"/>
          <w:bCs/>
          <w:b/>
          <w:sz w:val="24"/>
          <w:szCs w:val="24"/>
        </w:rPr>
        <w:t xml:space="preserve">Code availability</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The R code that reproduces every table and figure, with a map from each reported number to its output file, is provided as Online Resource 1 and will be deposited in a public repository upon acceptance. Supplementary tables and figures are provided as Online Resource 2.</w:t>
      </w:r>
    </w:p>
    <w:p>
      <w:pPr>
        <w:pStyle w:val="p1a"/>
        <w:spacing w:before="0" w:after="120" w:line="300" w:lineRule="auto"/>
        <w:jc w:val="both"/>
      </w:pPr>
      <w:r>
        <w:rPr>
          <w:rFonts w:ascii="Times New Roman" w:hAnsi="Times New Roman" w:cs="Times New Roman" w:eastAsia="Times New Roman"/>
          <w:bCs/>
          <w:b/>
          <w:sz w:val="24"/>
          <w:szCs w:val="24"/>
        </w:rPr>
        <w:t xml:space="preserve">Funding</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This research did not receive any specific grant from funding agencies in the public, commercial, or not-for-profit sectors.</w:t>
      </w:r>
    </w:p>
    <w:p>
      <w:pPr>
        <w:pStyle w:val="p1a"/>
        <w:spacing w:before="0" w:after="120" w:line="300" w:lineRule="auto"/>
        <w:jc w:val="both"/>
      </w:pPr>
      <w:r>
        <w:rPr>
          <w:rFonts w:ascii="Times New Roman" w:hAnsi="Times New Roman" w:cs="Times New Roman" w:eastAsia="Times New Roman"/>
          <w:bCs/>
          <w:b/>
          <w:sz w:val="24"/>
          <w:szCs w:val="24"/>
        </w:rPr>
        <w:t xml:space="preserve">Conflict of interest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The authors declare that they have no conflict of interest.</w:t>
      </w:r>
    </w:p>
    <w:p>
      <w:pPr>
        <w:pStyle w:val="p1a"/>
        <w:spacing w:before="0" w:after="120" w:line="300" w:lineRule="auto"/>
        <w:jc w:val="both"/>
      </w:pPr>
      <w:r>
        <w:rPr>
          <w:rFonts w:ascii="Times New Roman" w:hAnsi="Times New Roman" w:cs="Times New Roman" w:eastAsia="Times New Roman"/>
          <w:bCs/>
          <w:b/>
          <w:sz w:val="24"/>
          <w:szCs w:val="24"/>
        </w:rPr>
        <w:t xml:space="preserve">Author contributions</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Nguyen Thanh Binh: Conceptualization, Supervision, Validation, Writing – review &amp; editing. Nguyen Van Trung: Conceptualization, Data curation, Formal analysis, Investigation, Methodology, Software, Visualization, Writing – original draft, Writing – review &amp; editing. Ha Hong Hanh: Validation, Writing – review &amp; editing. Nguyen Bach Diep: Methodology, Formal analysis, Writing – original draft.</w:t>
      </w:r>
    </w:p>
    <w:p>
      <w:pPr>
        <w:pStyle w:val="p1a"/>
        <w:spacing w:before="0" w:after="120" w:line="300" w:lineRule="auto"/>
        <w:jc w:val="both"/>
      </w:pPr>
      <w:r>
        <w:rPr>
          <w:rFonts w:ascii="Times New Roman" w:hAnsi="Times New Roman" w:cs="Times New Roman" w:eastAsia="Times New Roman"/>
          <w:bCs/>
          <w:b/>
          <w:sz w:val="24"/>
          <w:szCs w:val="24"/>
        </w:rPr>
        <w:t xml:space="preserve">Declaration of generative AI use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During the preparation of this work the authors used Claude (Anthropic) for language editing, reference searching and verification, translation of the analysis code into R and drafting of revisions, and Gemini (Google) to improve the language and readability of the manuscript. After using these tools, the authors reviewed and edited the content as needed and take full responsibility for the content of the publication.</w:t>
      </w:r>
    </w:p>
    <w:p>
      <w:pPr>
        <w:pStyle w:val="heading1"/>
        <w:numPr>
          <w:ilvl w:val="0"/>
          <w:numId w:val="0"/>
        </w:numPr>
      </w:pPr>
      <w:r>
        <w:rPr>
          <w:rFonts w:ascii="Times New Roman" w:hAnsi="Times New Roman" w:cs="Times New Roman" w:eastAsia="Times New Roman"/>
          <w:b/>
          <w:sz w:val="24"/>
          <w:szCs w:val="24"/>
        </w:rPr>
        <w:t xml:space="preserve">References</w:t>
      </w:r>
    </w:p>
    <w:p>
      <w:pPr>
        <w:pStyle w:val="referenceitem"/>
      </w:pPr>
      <w:r>
        <w:rPr>
          <w:rFonts w:ascii="Times New Roman" w:hAnsi="Times New Roman" w:cs="Times New Roman" w:eastAsia="Times New Roman"/>
          <w:sz w:val="22"/>
          <w:szCs w:val="22"/>
        </w:rPr>
        <w:t xml:space="preserve">Abdul Karim, B., &amp; Xin Ning, H. (2013). Driving forces of the ASEAN-5 stock markets integration. Asia-Pacific Journal of Business Administration, 5(3), 186–191. https://doi.org/10.1108/APJBA-07-2012-0053</w:t>
      </w:r>
    </w:p>
    <w:p>
      <w:pPr>
        <w:pStyle w:val="referenceitem"/>
      </w:pPr>
      <w:r>
        <w:rPr>
          <w:rFonts w:ascii="Times New Roman" w:hAnsi="Times New Roman" w:cs="Times New Roman" w:eastAsia="Times New Roman"/>
          <w:sz w:val="22"/>
          <w:szCs w:val="22"/>
        </w:rPr>
        <w:t xml:space="preserve">Akhtaruzzaman, M., Boubaker, S., &amp; Sensoy, A. (2021). Financial contagion during COVID–19 crisis. Finance Research Letters, 38, 101604. https://doi.org/10.1016/j.frl.2020.101604</w:t>
      </w:r>
    </w:p>
    <w:p>
      <w:pPr>
        <w:pStyle w:val="referenceitem"/>
      </w:pPr>
      <w:r>
        <w:rPr>
          <w:rFonts w:ascii="Times New Roman" w:hAnsi="Times New Roman" w:cs="Times New Roman" w:eastAsia="Times New Roman"/>
          <w:sz w:val="22"/>
          <w:szCs w:val="22"/>
        </w:rPr>
        <w:t xml:space="preserve">Al Rababa’a, A. R., Alomari, M., &amp; McMillan, D. (2021). Multiscale stock-bond correlation: Implications for risk management. Research in International Business and Finance, 58, 101435. https://doi.org/10.1016/j.ribaf.2021.101435</w:t>
      </w:r>
    </w:p>
    <w:p>
      <w:pPr>
        <w:pStyle w:val="referenceitem"/>
      </w:pPr>
      <w:r>
        <w:rPr>
          <w:rFonts w:ascii="Times New Roman" w:hAnsi="Times New Roman" w:cs="Times New Roman" w:eastAsia="Times New Roman"/>
          <w:sz w:val="22"/>
          <w:szCs w:val="22"/>
        </w:rPr>
        <w:t xml:space="preserve">Andersen, T. G., &amp; Bollerslev, T. (1997). Intraday periodicity and volatility persistence in financial markets. Journal of Empirical Finance, 4(2–3), 115–158. https://doi.org/10.1016/S0927-5398(97)00004-2</w:t>
      </w:r>
    </w:p>
    <w:p>
      <w:pPr>
        <w:pStyle w:val="referenceitem"/>
      </w:pPr>
      <w:r>
        <w:rPr>
          <w:rFonts w:ascii="Times New Roman" w:hAnsi="Times New Roman" w:cs="Times New Roman" w:eastAsia="Times New Roman"/>
          <w:sz w:val="22"/>
          <w:szCs w:val="22"/>
        </w:rPr>
        <w:t xml:space="preserve">Ang, A., &amp; Chen, J. (2002). Asymmetric correlations of equity portfolios. Journal of Financial Economics, 63(3), 443–494. https://doi.org/10.1016/S0304-405X(02)00068-5</w:t>
      </w:r>
    </w:p>
    <w:p>
      <w:pPr>
        <w:pStyle w:val="referenceitem"/>
      </w:pPr>
      <w:r>
        <w:rPr>
          <w:rFonts w:ascii="Times New Roman" w:hAnsi="Times New Roman" w:cs="Times New Roman" w:eastAsia="Times New Roman"/>
          <w:sz w:val="22"/>
          <w:szCs w:val="22"/>
        </w:rPr>
        <w:t xml:space="preserve">Barberis, N., Shleifer, A., &amp; Wurgler, J. (2005). Comovement. Journal of Financial Economics, 75(2), 283–317. https://doi.org/10.1016/j.jfineco.2004.04.003</w:t>
      </w:r>
    </w:p>
    <w:p>
      <w:pPr>
        <w:pStyle w:val="referenceitem"/>
      </w:pPr>
      <w:r>
        <w:rPr>
          <w:rFonts w:ascii="Times New Roman" w:hAnsi="Times New Roman" w:cs="Times New Roman" w:eastAsia="Times New Roman"/>
          <w:sz w:val="22"/>
          <w:szCs w:val="22"/>
        </w:rPr>
        <w:t xml:space="preserve">Benjamini, Y., &amp; Hochberg, Y. (1995). Controlling the false discovery rate: A practical and powerful approach to multiple testing. Journal of the Royal Statistical Society: Series B (Methodological), 57(1), 289–300. https://doi.org/10.1111/j.2517-6161.1995.tb02031.x</w:t>
      </w:r>
    </w:p>
    <w:p>
      <w:pPr>
        <w:pStyle w:val="referenceitem"/>
      </w:pPr>
      <w:r>
        <w:rPr>
          <w:rFonts w:ascii="Times New Roman" w:hAnsi="Times New Roman" w:cs="Times New Roman" w:eastAsia="Times New Roman"/>
          <w:sz w:val="22"/>
          <w:szCs w:val="22"/>
        </w:rPr>
        <w:t xml:space="preserve">Benkraiem, R., Garfatta, R., Lakhal, F., &amp; Zorgati, I. (2022). Financial contagion intensity during the COVID-19 outbreak: A copula approach. International Review of Financial Analysis, 81, 102136. https://doi.org/10.1016/j.irfa.2022.102136</w:t>
      </w:r>
    </w:p>
    <w:p>
      <w:pPr>
        <w:pStyle w:val="referenceitem"/>
      </w:pPr>
      <w:r>
        <w:rPr>
          <w:rFonts w:ascii="Times New Roman" w:hAnsi="Times New Roman" w:cs="Times New Roman" w:eastAsia="Times New Roman"/>
          <w:sz w:val="22"/>
          <w:szCs w:val="22"/>
        </w:rPr>
        <w:t xml:space="preserve">Bui, H. Q., Tran, T., Pham, T. T., Nguyen, H. L.-P., &amp; Vo, D. H. (2022). Market volatility and spillover across 24 sectors in Vietnam. Cogent Economics &amp; Finance, 10(1), 2122188. https://doi.org/10.1080/23322039.2022.2122188</w:t>
      </w:r>
    </w:p>
    <w:p>
      <w:pPr>
        <w:pStyle w:val="referenceitem"/>
      </w:pPr>
      <w:r>
        <w:rPr>
          <w:rFonts w:ascii="Times New Roman" w:hAnsi="Times New Roman" w:cs="Times New Roman" w:eastAsia="Times New Roman"/>
          <w:sz w:val="22"/>
          <w:szCs w:val="22"/>
        </w:rPr>
        <w:t xml:space="preserve">Chang, P., Pienaar, E., &amp; Gebbie, T. (2021). The Epps effect under alternative sampling schemes. Physica A: Statistical Mechanics and its Applications, 583, 126329. https://doi.org/10.1016/j.physa.2021.126329</w:t>
      </w:r>
    </w:p>
    <w:p>
      <w:pPr>
        <w:pStyle w:val="referenceitem"/>
      </w:pPr>
      <w:r>
        <w:rPr>
          <w:rFonts w:ascii="Times New Roman" w:hAnsi="Times New Roman" w:cs="Times New Roman" w:eastAsia="Times New Roman"/>
          <w:sz w:val="22"/>
          <w:szCs w:val="22"/>
        </w:rPr>
        <w:t xml:space="preserve">Chen, H., Singal, V., &amp; Whitelaw, R. F. (2016). Comovement revisited. Journal of Financial Economics, 121(3), 624–644. https://doi.org/10.1016/j.jfineco.2016.05.007</w:t>
      </w:r>
    </w:p>
    <w:p>
      <w:pPr>
        <w:pStyle w:val="referenceitem"/>
      </w:pPr>
      <w:r>
        <w:rPr>
          <w:rFonts w:ascii="Times New Roman" w:hAnsi="Times New Roman" w:cs="Times New Roman" w:eastAsia="Times New Roman"/>
          <w:sz w:val="22"/>
          <w:szCs w:val="22"/>
        </w:rPr>
        <w:t xml:space="preserve">Chen, R., Geng, H., Lin, H., &amp; Nguyen, P. T. L. (2021). Liquidity, informed trading, and a market surveillance system: Evidence from the Vietnamese stock market. Pacific-Basin Finance Journal, 67, 101567. https://doi.org/10.1016/j.pacfin.2021.101567</w:t>
      </w:r>
    </w:p>
    <w:p>
      <w:pPr>
        <w:pStyle w:val="referenceitem"/>
      </w:pPr>
      <w:r>
        <w:rPr>
          <w:rFonts w:ascii="Times New Roman" w:hAnsi="Times New Roman" w:cs="Times New Roman" w:eastAsia="Times New Roman"/>
          <w:sz w:val="22"/>
          <w:szCs w:val="22"/>
        </w:rPr>
        <w:t xml:space="preserve">Chen, Y., Zhang, J., Lu, L., &amp; Xie, Z. (2024). Cross-correlation and multifractality analysis of the Chinese and American stock markets based on the MF-DCCA model. Heliyon, 10(17), e36537. https://doi.org/10.1016/j.heliyon.2024.e36537</w:t>
      </w:r>
    </w:p>
    <w:p>
      <w:pPr>
        <w:pStyle w:val="referenceitem"/>
      </w:pPr>
      <w:r>
        <w:rPr>
          <w:rFonts w:ascii="Times New Roman" w:hAnsi="Times New Roman" w:cs="Times New Roman" w:eastAsia="Times New Roman"/>
          <w:sz w:val="22"/>
          <w:szCs w:val="22"/>
        </w:rPr>
        <w:t xml:space="preserve">Cohen, J. (1988). Statistical power analysis for the behavioral sciences (2nd ed.). Lawrence Erlbaum Associates. https://doi.org/10.4324/9780203771587</w:t>
      </w:r>
    </w:p>
    <w:p>
      <w:pPr>
        <w:pStyle w:val="referenceitem"/>
      </w:pPr>
      <w:r>
        <w:rPr>
          <w:rFonts w:ascii="Times New Roman" w:hAnsi="Times New Roman" w:cs="Times New Roman" w:eastAsia="Times New Roman"/>
          <w:sz w:val="22"/>
          <w:szCs w:val="22"/>
        </w:rPr>
        <w:t xml:space="preserve">Corsetti, G., Pericoli, M., &amp; Sbracia, M. (2005).</w:t>
      </w:r>
      <w:r>
        <w:rPr>
          <w:rFonts w:ascii="Times New Roman" w:hAnsi="Times New Roman" w:cs="Times New Roman" w:eastAsia="Times New Roman"/>
          <w:sz w:val="22"/>
          <w:szCs w:val="22"/>
        </w:rPr>
        <w:t xml:space="preserve"> </w:t>
      </w:r>
      <w:r>
        <w:rPr>
          <w:rFonts w:ascii="Times New Roman" w:hAnsi="Times New Roman" w:cs="Times New Roman" w:eastAsia="Times New Roman"/>
          <w:sz w:val="22"/>
          <w:szCs w:val="22"/>
        </w:rPr>
        <w:t xml:space="preserve">‘</w:t>
      </w:r>
      <w:r>
        <w:rPr>
          <w:rFonts w:ascii="Times New Roman" w:hAnsi="Times New Roman" w:cs="Times New Roman" w:eastAsia="Times New Roman"/>
          <w:sz w:val="22"/>
          <w:szCs w:val="22"/>
        </w:rPr>
        <w:t xml:space="preserve">Some contagion, some interdependence</w:t>
      </w:r>
      <w:r>
        <w:rPr>
          <w:rFonts w:ascii="Times New Roman" w:hAnsi="Times New Roman" w:cs="Times New Roman" w:eastAsia="Times New Roman"/>
          <w:sz w:val="22"/>
          <w:szCs w:val="22"/>
        </w:rPr>
        <w:t xml:space="preserve">’</w:t>
      </w:r>
      <w:r>
        <w:rPr>
          <w:rFonts w:ascii="Times New Roman" w:hAnsi="Times New Roman" w:cs="Times New Roman" w:eastAsia="Times New Roman"/>
          <w:sz w:val="22"/>
          <w:szCs w:val="22"/>
        </w:rPr>
        <w:t xml:space="preserve">: More pitfalls in tests of financial contagion. Journal of International Money and Finance, 24(8), 1177–1199. https://doi.org/10.1016/j.jimonfin.2005.08.012</w:t>
      </w:r>
    </w:p>
    <w:p>
      <w:pPr>
        <w:pStyle w:val="referenceitem"/>
      </w:pPr>
      <w:r>
        <w:rPr>
          <w:rFonts w:ascii="Times New Roman" w:hAnsi="Times New Roman" w:cs="Times New Roman" w:eastAsia="Times New Roman"/>
          <w:sz w:val="22"/>
          <w:szCs w:val="22"/>
        </w:rPr>
        <w:t xml:space="preserve">Cremers, K. J. M., &amp; Petajisto, A. (2009). How active is your fund manager? A new measure that predicts performance. The Review of Financial Studies, 22(9), 3329–3365. https://doi.org/10.1093/rfs/hhp057</w:t>
      </w:r>
    </w:p>
    <w:p>
      <w:pPr>
        <w:pStyle w:val="referenceitem"/>
      </w:pPr>
      <w:r>
        <w:rPr>
          <w:rFonts w:ascii="Times New Roman" w:hAnsi="Times New Roman" w:cs="Times New Roman" w:eastAsia="Times New Roman"/>
          <w:sz w:val="22"/>
          <w:szCs w:val="22"/>
        </w:rPr>
        <w:t xml:space="preserve">Cureton, E. E. (1966). Corrected item-test correlations. Psychometrika, 31(1), 93–96. https://doi.org/10.1007/BF02289461</w:t>
      </w:r>
    </w:p>
    <w:p>
      <w:pPr>
        <w:pStyle w:val="referenceitem"/>
      </w:pPr>
      <w:r>
        <w:rPr>
          <w:rFonts w:ascii="Times New Roman" w:hAnsi="Times New Roman" w:cs="Times New Roman" w:eastAsia="Times New Roman"/>
          <w:sz w:val="22"/>
          <w:szCs w:val="22"/>
        </w:rPr>
        <w:t xml:space="preserve">DeCoste, J. (2025). Comovement and S&amp;P 500 membership. Global Finance Journal, 65, 101110. https://doi.org/10.1016/j.gfj.2025.101110</w:t>
      </w:r>
    </w:p>
    <w:p>
      <w:pPr>
        <w:pStyle w:val="referenceitem"/>
      </w:pPr>
      <w:r>
        <w:rPr>
          <w:rFonts w:ascii="Times New Roman" w:hAnsi="Times New Roman" w:cs="Times New Roman" w:eastAsia="Times New Roman"/>
          <w:sz w:val="22"/>
          <w:szCs w:val="22"/>
        </w:rPr>
        <w:t xml:space="preserve">Diebold, F. X., &amp; Mariano, R. S. (1995). Comparing predictive accuracy. Journal of Business &amp; Economic Statistics, 13(3), 253–263. https://doi.org/10.1080/07350015.1995.10524599</w:t>
      </w:r>
    </w:p>
    <w:p>
      <w:pPr>
        <w:pStyle w:val="referenceitem"/>
      </w:pPr>
      <w:r>
        <w:rPr>
          <w:rFonts w:ascii="Times New Roman" w:hAnsi="Times New Roman" w:cs="Times New Roman" w:eastAsia="Times New Roman"/>
          <w:sz w:val="22"/>
          <w:szCs w:val="22"/>
        </w:rPr>
        <w:t xml:space="preserve">Ederington, L. H. (1979). The hedging performance of the new futures markets. The Journal of Finance, 34(1), 157–170. https://doi.org/10.1111/j.1540-6261.1979.tb02077.x</w:t>
      </w:r>
    </w:p>
    <w:p>
      <w:pPr>
        <w:pStyle w:val="referenceitem"/>
      </w:pPr>
      <w:r>
        <w:rPr>
          <w:rFonts w:ascii="Times New Roman" w:hAnsi="Times New Roman" w:cs="Times New Roman" w:eastAsia="Times New Roman"/>
          <w:sz w:val="22"/>
          <w:szCs w:val="22"/>
        </w:rPr>
        <w:t xml:space="preserve">Epps, T. W. (1979). Comovements in stock prices in the very short run. Journal of the American Statistical Association, 74(366), 291–298. https://doi.org/10.1080/01621459.1979.10482508</w:t>
      </w:r>
    </w:p>
    <w:p>
      <w:pPr>
        <w:pStyle w:val="referenceitem"/>
      </w:pPr>
      <w:r>
        <w:rPr>
          <w:rFonts w:ascii="Times New Roman" w:hAnsi="Times New Roman" w:cs="Times New Roman" w:eastAsia="Times New Roman"/>
          <w:sz w:val="22"/>
          <w:szCs w:val="22"/>
        </w:rPr>
        <w:t xml:space="preserve">Forbes, K. J., &amp; Rigobon, R. (2002). No contagion, only interdependence: Measuring stock market comovements. The Journal of Finance, 57(5), 2223–2261. https://doi.org/10.1111/0022-1082.00494</w:t>
      </w:r>
    </w:p>
    <w:p>
      <w:pPr>
        <w:pStyle w:val="referenceitem"/>
      </w:pPr>
      <w:r>
        <w:rPr>
          <w:rFonts w:ascii="Times New Roman" w:hAnsi="Times New Roman" w:cs="Times New Roman" w:eastAsia="Times New Roman"/>
          <w:sz w:val="22"/>
          <w:szCs w:val="22"/>
        </w:rPr>
        <w:t xml:space="preserve">FTSE Russell. (2025, October 7). FTSE Russell announces results of September 2025 semi-annual country classification review [Press release]. London Stock Exchange Group. https://www.lseg.com/en/media-centre/press-releases/ftse-russell/2025/ftse-russell-country-classification-september-2025</w:t>
      </w:r>
    </w:p>
    <w:p>
      <w:pPr>
        <w:pStyle w:val="referenceitem"/>
      </w:pPr>
      <w:r>
        <w:rPr>
          <w:rFonts w:ascii="Times New Roman" w:hAnsi="Times New Roman" w:cs="Times New Roman" w:eastAsia="Times New Roman"/>
          <w:sz w:val="22"/>
          <w:szCs w:val="22"/>
        </w:rPr>
        <w:t xml:space="preserve">Ge, X., &amp; Lin, A. (2021). Multiscale multifractal detrended partial cross-correlation analysis of Chinese and American stock markets. Chaos, Solitons &amp; Fractals, 145, 110731. https://doi.org/10.1016/j.chaos.2021.110731</w:t>
      </w:r>
    </w:p>
    <w:p>
      <w:pPr>
        <w:pStyle w:val="referenceitem"/>
      </w:pPr>
      <w:r>
        <w:rPr>
          <w:rFonts w:ascii="Times New Roman" w:hAnsi="Times New Roman" w:cs="Times New Roman" w:eastAsia="Times New Roman"/>
          <w:sz w:val="22"/>
          <w:szCs w:val="22"/>
        </w:rPr>
        <w:t xml:space="preserve">Government of Vietnam. (2020). Decree No. 155/2020/ND-CP of 31 December 2020 detailing and guiding the implementation of a number of articles of the Law on Securities. Hanoi.</w:t>
      </w:r>
    </w:p>
    <w:p>
      <w:pPr>
        <w:pStyle w:val="referenceitem"/>
      </w:pPr>
      <w:r>
        <w:rPr>
          <w:rFonts w:ascii="Times New Roman" w:hAnsi="Times New Roman" w:cs="Times New Roman" w:eastAsia="Times New Roman"/>
          <w:sz w:val="22"/>
          <w:szCs w:val="22"/>
        </w:rPr>
        <w:t xml:space="preserve">Government of Vietnam. (2025). Decree No. 245/2025/ND-CP of 11 September 2025 amending and supplementing a number of articles of Decree No. 155/2020/ND-CP. Hanoi.</w:t>
      </w:r>
    </w:p>
    <w:p>
      <w:pPr>
        <w:pStyle w:val="referenceitem"/>
      </w:pPr>
      <w:r>
        <w:rPr>
          <w:rFonts w:ascii="Times New Roman" w:hAnsi="Times New Roman" w:cs="Times New Roman" w:eastAsia="Times New Roman"/>
          <w:sz w:val="22"/>
          <w:szCs w:val="22"/>
        </w:rPr>
        <w:t xml:space="preserve">Greenwood, R. (2008). Excess comovement of stock returns: Evidence from cross-sectional variation in Nikkei 225 weights. The Review of Financial Studies, 21(3), 1153–1186. https://doi.org/10.1093/rfs/hhm052</w:t>
      </w:r>
    </w:p>
    <w:p>
      <w:pPr>
        <w:pStyle w:val="referenceitem"/>
      </w:pPr>
      <w:r>
        <w:rPr>
          <w:rFonts w:ascii="Times New Roman" w:hAnsi="Times New Roman" w:cs="Times New Roman" w:eastAsia="Times New Roman"/>
          <w:sz w:val="22"/>
          <w:szCs w:val="22"/>
        </w:rPr>
        <w:t xml:space="preserve">Greenwood, R., &amp; Sammon, M. (2025). The disappearing index effect. The Journal of Finance, 80(2), 657–698. https://doi.org/10.1111/jofi.13410</w:t>
      </w:r>
    </w:p>
    <w:p>
      <w:pPr>
        <w:pStyle w:val="referenceitem"/>
      </w:pPr>
      <w:r>
        <w:rPr>
          <w:rFonts w:ascii="Times New Roman" w:hAnsi="Times New Roman" w:cs="Times New Roman" w:eastAsia="Times New Roman"/>
          <w:sz w:val="22"/>
          <w:szCs w:val="22"/>
        </w:rPr>
        <w:t xml:space="preserve">Guedes, E. F., da Silva Filho, A. M., &amp; Zebende, G. F. (2021). Detrended multiple cross-correlation coefficient with sliding windows approach. Physica A: Statistical Mechanics and its Applications, 574, 125990. https://doi.org/10.1016/j.physa.2021.125990</w:t>
      </w:r>
    </w:p>
    <w:p>
      <w:pPr>
        <w:pStyle w:val="referenceitem"/>
      </w:pPr>
      <w:r>
        <w:rPr>
          <w:rFonts w:ascii="Times New Roman" w:hAnsi="Times New Roman" w:cs="Times New Roman" w:eastAsia="Times New Roman"/>
          <w:sz w:val="22"/>
          <w:szCs w:val="22"/>
        </w:rPr>
        <w:t xml:space="preserve">Guo, Y., Li, P., &amp; Li, A. (2021). Tail risk contagion between international financial markets during COVID-19 pandemic. International Review of Financial Analysis, 73, 101649. https://doi.org/10.1016/j.irfa.2020.101649</w:t>
      </w:r>
    </w:p>
    <w:p>
      <w:pPr>
        <w:pStyle w:val="referenceitem"/>
      </w:pPr>
      <w:r>
        <w:rPr>
          <w:rFonts w:ascii="Times New Roman" w:hAnsi="Times New Roman" w:cs="Times New Roman" w:eastAsia="Times New Roman"/>
          <w:sz w:val="22"/>
          <w:szCs w:val="22"/>
        </w:rPr>
        <w:t xml:space="preserve">Ho Chi Minh City Stock Exchange. (2022, September 29). Listing and official trading of DCVFMVNMIDCAP ETF fund certificates [Press release]. HOSE.</w:t>
      </w:r>
    </w:p>
    <w:p>
      <w:pPr>
        <w:pStyle w:val="referenceitem"/>
      </w:pPr>
      <w:r>
        <w:rPr>
          <w:rFonts w:ascii="Times New Roman" w:hAnsi="Times New Roman" w:cs="Times New Roman" w:eastAsia="Times New Roman"/>
          <w:sz w:val="22"/>
          <w:szCs w:val="22"/>
        </w:rPr>
        <w:t xml:space="preserve">Holm, S. (1979). A simple sequentially rejective multiple test procedure. Scandinavian Journal of Statistics, 6(2), 65–70. https://www.jstor.org/stable/4615733</w:t>
      </w:r>
    </w:p>
    <w:p>
      <w:pPr>
        <w:pStyle w:val="referenceitem"/>
      </w:pPr>
      <w:r>
        <w:rPr>
          <w:rFonts w:ascii="Times New Roman" w:hAnsi="Times New Roman" w:cs="Times New Roman" w:eastAsia="Times New Roman"/>
          <w:sz w:val="22"/>
          <w:szCs w:val="22"/>
        </w:rPr>
        <w:t xml:space="preserve">Hong, H., &amp; Stein, J. C. (1999). A unified theory of underreaction, momentum trading, and overreaction in asset markets. The Journal of Finance, 54(6), 2143–2184. https://doi.org/10.1111/0022-1082.00184</w:t>
      </w:r>
    </w:p>
    <w:p>
      <w:pPr>
        <w:pStyle w:val="referenceitem"/>
      </w:pPr>
      <w:r>
        <w:rPr>
          <w:rFonts w:ascii="Times New Roman" w:hAnsi="Times New Roman" w:cs="Times New Roman" w:eastAsia="Times New Roman"/>
          <w:sz w:val="22"/>
          <w:szCs w:val="22"/>
        </w:rPr>
        <w:t xml:space="preserve">Hou, K. (2007). Industry information diffusion and the lead-lag effect in stock returns. The Review of Financial Studies, 20(4), 1113–1138. https://doi.org/10.1093/rfs/hhm003</w:t>
      </w:r>
    </w:p>
    <w:p>
      <w:pPr>
        <w:pStyle w:val="referenceitem"/>
      </w:pPr>
      <w:r>
        <w:rPr>
          <w:rFonts w:ascii="Times New Roman" w:hAnsi="Times New Roman" w:cs="Times New Roman" w:eastAsia="Times New Roman"/>
          <w:sz w:val="22"/>
          <w:szCs w:val="22"/>
        </w:rPr>
        <w:t xml:space="preserve">J.P. Morgan/Reuters. (1996). RiskMetrics: Technical document (4th ed.). Morgan Guaranty Trust Company.</w:t>
      </w:r>
    </w:p>
    <w:p>
      <w:pPr>
        <w:pStyle w:val="referenceitem"/>
      </w:pPr>
      <w:r>
        <w:rPr>
          <w:rFonts w:ascii="Times New Roman" w:hAnsi="Times New Roman" w:cs="Times New Roman" w:eastAsia="Times New Roman"/>
          <w:sz w:val="22"/>
          <w:szCs w:val="22"/>
        </w:rPr>
        <w:t xml:space="preserve">Jiang, Z.-Q., &amp; Zhou, W.-X. (2011). Multifractal detrending moving-average cross-correlation analysis. Physical Review E, 84(1), 016106. https://doi.org/10.1103/PhysRevE.84.016106</w:t>
      </w:r>
    </w:p>
    <w:p>
      <w:pPr>
        <w:pStyle w:val="referenceitem"/>
      </w:pPr>
      <w:r>
        <w:rPr>
          <w:rFonts w:ascii="Times New Roman" w:hAnsi="Times New Roman" w:cs="Times New Roman" w:eastAsia="Times New Roman"/>
          <w:sz w:val="22"/>
          <w:szCs w:val="22"/>
        </w:rPr>
        <w:t xml:space="preserve">Kakinaka, S., Hayakawa, T., Kato, D., &amp; Umeno, K. (2025). Fractal portfolio strategies: Does scale preference of investors matter? Applied Economics Letters, 32(3), 415–421. https://doi.org/10.1080/13504851.2023.2274298</w:t>
      </w:r>
    </w:p>
    <w:p>
      <w:pPr>
        <w:pStyle w:val="referenceitem"/>
      </w:pPr>
      <w:r>
        <w:rPr>
          <w:rFonts w:ascii="Times New Roman" w:hAnsi="Times New Roman" w:cs="Times New Roman" w:eastAsia="Times New Roman"/>
          <w:sz w:val="22"/>
          <w:szCs w:val="22"/>
        </w:rPr>
        <w:t xml:space="preserve">Kantelhardt, J. W., Zschiegner, S. A., Koscielny-Bunde, E., Havlin, S., Bunde, A., &amp; Stanley, H. E. (2002). Multifractal detrended fluctuation analysis of nonstationary time series. Physica A: Statistical Mechanics and its Applications, 316(1–4), 87–114. https://doi.org/10.1016/S0378-4371(02)01383-3</w:t>
      </w:r>
    </w:p>
    <w:p>
      <w:pPr>
        <w:pStyle w:val="referenceitem"/>
      </w:pPr>
      <w:r>
        <w:rPr>
          <w:rFonts w:ascii="Times New Roman" w:hAnsi="Times New Roman" w:cs="Times New Roman" w:eastAsia="Times New Roman"/>
          <w:sz w:val="22"/>
          <w:szCs w:val="22"/>
        </w:rPr>
        <w:t xml:space="preserve">Kristoufek, L. (2014). Detrending moving-average cross-correlation coefficient: Measuring cross-correlations between non-stationary series. Physica A: Statistical Mechanics and its Applications, 406, 169–175. https://doi.org/10.1016/j.physa.2014.03.015</w:t>
      </w:r>
    </w:p>
    <w:p>
      <w:pPr>
        <w:pStyle w:val="referenceitem"/>
      </w:pPr>
      <w:r>
        <w:rPr>
          <w:rFonts w:ascii="Times New Roman" w:hAnsi="Times New Roman" w:cs="Times New Roman" w:eastAsia="Times New Roman"/>
          <w:sz w:val="22"/>
          <w:szCs w:val="22"/>
        </w:rPr>
        <w:t xml:space="preserve">Le, T. T. V., Dang, T. P. T., &amp; Phan, T. H. N. (2025). The nonlinear dependence of the Vietnam stock market on the Asian stock market: Evidence from a quantile-on-quantile regression. International Journal of Innovative Research and Scientific Studies, 8(4), 535–553. https://doi.org/10.53894/ijirss.v8i4.7901</w:t>
      </w:r>
    </w:p>
    <w:p>
      <w:pPr>
        <w:pStyle w:val="referenceitem"/>
      </w:pPr>
      <w:r>
        <w:rPr>
          <w:rFonts w:ascii="Times New Roman" w:hAnsi="Times New Roman" w:cs="Times New Roman" w:eastAsia="Times New Roman"/>
          <w:sz w:val="22"/>
          <w:szCs w:val="22"/>
        </w:rPr>
        <w:t xml:space="preserve">Lean, H. H., &amp; Teng, K. T. (2013). Integration of world leaders and emerging powers into the Malaysian stock market: A DCC-MGARCH approach. Economic Modelling, 32, 333–342. https://doi.org/10.1016/j.econmod.2013.02.013</w:t>
      </w:r>
    </w:p>
    <w:p>
      <w:pPr>
        <w:pStyle w:val="referenceitem"/>
      </w:pPr>
      <w:r>
        <w:rPr>
          <w:rFonts w:ascii="Times New Roman" w:hAnsi="Times New Roman" w:cs="Times New Roman" w:eastAsia="Times New Roman"/>
          <w:sz w:val="22"/>
          <w:szCs w:val="22"/>
        </w:rPr>
        <w:t xml:space="preserve">Liao, Y., Coakley, J., &amp; Kellard, N. (2022). Index tracking and beta arbitrage effects in comovement. International Review of Financial Analysis, 83, 102330. https://doi.org/10.1016/j.irfa.2022.102330</w:t>
      </w:r>
    </w:p>
    <w:p>
      <w:pPr>
        <w:pStyle w:val="referenceitem"/>
      </w:pPr>
      <w:r>
        <w:rPr>
          <w:rFonts w:ascii="Times New Roman" w:hAnsi="Times New Roman" w:cs="Times New Roman" w:eastAsia="Times New Roman"/>
          <w:sz w:val="22"/>
          <w:szCs w:val="22"/>
        </w:rPr>
        <w:t xml:space="preserve">Lo, A. W., &amp; MacKinlay, A. C. (1990). When are contrarian profits due to stock market overreaction? The Review of Financial Studies, 3(2), 175–205. https://doi.org/10.1093/rfs/3.2.175</w:t>
      </w:r>
    </w:p>
    <w:p>
      <w:pPr>
        <w:pStyle w:val="referenceitem"/>
      </w:pPr>
      <w:r>
        <w:rPr>
          <w:rFonts w:ascii="Times New Roman" w:hAnsi="Times New Roman" w:cs="Times New Roman" w:eastAsia="Times New Roman"/>
          <w:sz w:val="22"/>
          <w:szCs w:val="22"/>
        </w:rPr>
        <w:t xml:space="preserve">Longin, F., &amp; Solnik, B. (2001). Extreme correlation of international equity markets. The Journal of Finance, 56(2), 649–676. https://doi.org/10.1111/0022-1082.00340</w:t>
      </w:r>
    </w:p>
    <w:p>
      <w:pPr>
        <w:pStyle w:val="referenceitem"/>
      </w:pPr>
      <w:r>
        <w:rPr>
          <w:rFonts w:ascii="Times New Roman" w:hAnsi="Times New Roman" w:cs="Times New Roman" w:eastAsia="Times New Roman"/>
          <w:sz w:val="22"/>
          <w:szCs w:val="22"/>
        </w:rPr>
        <w:t xml:space="preserve">Markowitz, H. (1952). Portfolio selection. The Journal of Finance, 7(1), 77–91. https://doi.org/10.1111/j.1540-6261.1952.tb01525.x</w:t>
      </w:r>
    </w:p>
    <w:p>
      <w:pPr>
        <w:pStyle w:val="referenceitem"/>
      </w:pPr>
      <w:r>
        <w:rPr>
          <w:rFonts w:ascii="Times New Roman" w:hAnsi="Times New Roman" w:cs="Times New Roman" w:eastAsia="Times New Roman"/>
          <w:sz w:val="22"/>
          <w:szCs w:val="22"/>
        </w:rPr>
        <w:t xml:space="preserve">Ministry of Finance of Vietnam. (2020). Circular No. 120/2020/TT-BTC of 31 December 2020 on trading of listed and registered shares, fund certificates, corporate bonds and covered warrants listed on the securities trading system. Hanoi.</w:t>
      </w:r>
    </w:p>
    <w:p>
      <w:pPr>
        <w:pStyle w:val="referenceitem"/>
      </w:pPr>
      <w:r>
        <w:rPr>
          <w:rFonts w:ascii="Times New Roman" w:hAnsi="Times New Roman" w:cs="Times New Roman" w:eastAsia="Times New Roman"/>
          <w:sz w:val="22"/>
          <w:szCs w:val="22"/>
        </w:rPr>
        <w:t xml:space="preserve">Newey, W. K., &amp; West, K. D. (1987). A simple, positive semi-definite, heteroskedasticity and autocorrelation consistent covariance matrix. Econometrica, 55(3), 703–708. https://doi.org/10.2307/1913610</w:t>
      </w:r>
    </w:p>
    <w:p>
      <w:pPr>
        <w:pStyle w:val="referenceitem"/>
      </w:pPr>
      <w:r>
        <w:rPr>
          <w:rFonts w:ascii="Times New Roman" w:hAnsi="Times New Roman" w:cs="Times New Roman" w:eastAsia="Times New Roman"/>
          <w:sz w:val="22"/>
          <w:szCs w:val="22"/>
        </w:rPr>
        <w:t xml:space="preserve">Nguyen, H. M., Bakry, W., &amp; Vuong, T. H. G. (2023). COVID-19 pandemic and herd behavior: Evidence from a frontier market. Journal of Behavioral and Experimental Finance, 38, 100807. https://doi.org/10.1016/j.jbef.2023.100807</w:t>
      </w:r>
    </w:p>
    <w:p>
      <w:pPr>
        <w:pStyle w:val="referenceitem"/>
      </w:pPr>
      <w:r>
        <w:rPr>
          <w:rFonts w:ascii="Times New Roman" w:hAnsi="Times New Roman" w:cs="Times New Roman" w:eastAsia="Times New Roman"/>
          <w:sz w:val="22"/>
          <w:szCs w:val="22"/>
        </w:rPr>
        <w:t xml:space="preserve">Okorie, D. I., &amp; Lin, B. (2021). Stock markets and the COVID-19 fractal contagion effects. Finance Research Letters, 38, 101640. https://doi.org/10.1016/j.frl.2020.101640</w:t>
      </w:r>
    </w:p>
    <w:p>
      <w:pPr>
        <w:pStyle w:val="referenceitem"/>
      </w:pPr>
      <w:r>
        <w:rPr>
          <w:rFonts w:ascii="Times New Roman" w:hAnsi="Times New Roman" w:cs="Times New Roman" w:eastAsia="Times New Roman"/>
          <w:sz w:val="22"/>
          <w:szCs w:val="22"/>
        </w:rPr>
        <w:t xml:space="preserve">Oświęcimka, P., Drożdż, S., Forczek, M., Jadach, S., &amp; Kwapień, J. (2014). Detrended cross-correlation analysis consistently extended to multifractality. Physical Review E, 89(2), 022805. https://doi.org/10.1103/PhysRevE.89.022805</w:t>
      </w:r>
    </w:p>
    <w:p>
      <w:pPr>
        <w:pStyle w:val="referenceitem"/>
      </w:pPr>
      <w:r>
        <w:rPr>
          <w:rFonts w:ascii="Times New Roman" w:hAnsi="Times New Roman" w:cs="Times New Roman" w:eastAsia="Times New Roman"/>
          <w:sz w:val="22"/>
          <w:szCs w:val="22"/>
        </w:rPr>
        <w:t xml:space="preserve">Patton, A. J. (2011). Volatility forecast comparison using imperfect volatility proxies. Journal of Econometrics, 160(1), 246–256. https://doi.org/10.1016/j.jeconom.2010.03.034</w:t>
      </w:r>
    </w:p>
    <w:p>
      <w:pPr>
        <w:pStyle w:val="referenceitem"/>
      </w:pPr>
      <w:r>
        <w:rPr>
          <w:rFonts w:ascii="Times New Roman" w:hAnsi="Times New Roman" w:cs="Times New Roman" w:eastAsia="Times New Roman"/>
          <w:sz w:val="22"/>
          <w:szCs w:val="22"/>
        </w:rPr>
        <w:t xml:space="preserve">Pearson, K. (1897). Mathematical contributions to the theory of evolution.—On a form of spurious correlation which may arise when indices are used in the measurement of organs. Proceedings of the Royal Society of London, 60, 489–498. https://doi.org/10.1098/rspl.1896.0076</w:t>
      </w:r>
    </w:p>
    <w:p>
      <w:pPr>
        <w:pStyle w:val="referenceitem"/>
      </w:pPr>
      <w:r>
        <w:rPr>
          <w:rFonts w:ascii="Times New Roman" w:hAnsi="Times New Roman" w:cs="Times New Roman" w:eastAsia="Times New Roman"/>
          <w:sz w:val="22"/>
          <w:szCs w:val="22"/>
        </w:rPr>
        <w:t xml:space="preserve">Peng, C.-K., Buldyrev, S. V., Havlin, S., Simons, M., Stanley, H. E., &amp; Goldberger, A. L. (1994). Mosaic organization of DNA nucleotides. Physical Review E, 49(2), 1685–1689. https://doi.org/10.1103/PhysRevE.49.1685</w:t>
      </w:r>
    </w:p>
    <w:p>
      <w:pPr>
        <w:pStyle w:val="referenceitem"/>
      </w:pPr>
      <w:r>
        <w:rPr>
          <w:rFonts w:ascii="Times New Roman" w:hAnsi="Times New Roman" w:cs="Times New Roman" w:eastAsia="Times New Roman"/>
          <w:sz w:val="22"/>
          <w:szCs w:val="22"/>
        </w:rPr>
        <w:t xml:space="preserve">Podobnik, B., Jiang, Z.-Q., Zhou, W.-X., &amp; Stanley, H. E. (2011). Statistical tests for power-law cross-correlated processes. Physical Review E, 84(6), 066118. https://doi.org/10.1103/PhysRevE.84.066118</w:t>
      </w:r>
    </w:p>
    <w:p>
      <w:pPr>
        <w:pStyle w:val="referenceitem"/>
      </w:pPr>
      <w:r>
        <w:rPr>
          <w:rFonts w:ascii="Times New Roman" w:hAnsi="Times New Roman" w:cs="Times New Roman" w:eastAsia="Times New Roman"/>
          <w:sz w:val="22"/>
          <w:szCs w:val="22"/>
        </w:rPr>
        <w:t xml:space="preserve">Podobnik, B., &amp; Stanley, H. E. (2008). Detrended cross-correlation analysis: A new method for analyzing two nonstationary time series. Physical Review Letters, 100(8), 084102. https://doi.org/10.1103/PhysRevLett.100.084102</w:t>
      </w:r>
    </w:p>
    <w:p>
      <w:pPr>
        <w:pStyle w:val="referenceitem"/>
      </w:pPr>
      <w:r>
        <w:rPr>
          <w:rFonts w:ascii="Times New Roman" w:hAnsi="Times New Roman" w:cs="Times New Roman" w:eastAsia="Times New Roman"/>
          <w:sz w:val="22"/>
          <w:szCs w:val="22"/>
        </w:rPr>
        <w:t xml:space="preserve">Politis, D. N., &amp; Romano, J. P. (1994). The stationary bootstrap. Journal of the American Statistical Association, 89(428), 1303–1313. https://doi.org/10.1080/01621459.1994.10476870</w:t>
      </w:r>
    </w:p>
    <w:p>
      <w:pPr>
        <w:pStyle w:val="referenceitem"/>
      </w:pPr>
      <w:r>
        <w:rPr>
          <w:rFonts w:ascii="Times New Roman" w:hAnsi="Times New Roman" w:cs="Times New Roman" w:eastAsia="Times New Roman"/>
          <w:sz w:val="22"/>
          <w:szCs w:val="22"/>
        </w:rPr>
        <w:t xml:space="preserve">Rigobon, R. (2003). Identification through heteroskedasticity. The Review of Economics and Statistics, 85(4), 777–792. https://doi.org/10.1162/003465303772815727</w:t>
      </w:r>
    </w:p>
    <w:p>
      <w:pPr>
        <w:pStyle w:val="referenceitem"/>
      </w:pPr>
      <w:r>
        <w:rPr>
          <w:rFonts w:ascii="Times New Roman" w:hAnsi="Times New Roman" w:cs="Times New Roman" w:eastAsia="Times New Roman"/>
          <w:sz w:val="22"/>
          <w:szCs w:val="22"/>
        </w:rPr>
        <w:t xml:space="preserve">Santana, T. P., Horta, N., Revez, C., Dias, R. M. T. S., &amp; Zebende, G. F. (2023). Effects of interdependence and contagion on crude oil and precious metals according to ρDCCA: A COVID-19 case study. Sustainability, 15(5), 3945. https://doi.org/10.3390/su15053945</w:t>
      </w:r>
    </w:p>
    <w:p>
      <w:pPr>
        <w:pStyle w:val="referenceitem"/>
      </w:pPr>
      <w:r>
        <w:rPr>
          <w:rFonts w:ascii="Times New Roman" w:hAnsi="Times New Roman" w:cs="Times New Roman" w:eastAsia="Times New Roman"/>
          <w:sz w:val="22"/>
          <w:szCs w:val="22"/>
        </w:rPr>
        <w:t xml:space="preserve">Schuirmann, D. J. (1987). A comparison of the two one-sided tests procedure and the power approach for assessing the equivalence of average bioavailability. Journal of Pharmacokinetics and Biopharmaceutics, 15(6), 657–680. https://doi.org/10.1007/BF01068419</w:t>
      </w:r>
    </w:p>
    <w:p>
      <w:pPr>
        <w:pStyle w:val="referenceitem"/>
      </w:pPr>
      <w:r>
        <w:rPr>
          <w:rFonts w:ascii="Times New Roman" w:hAnsi="Times New Roman" w:cs="Times New Roman" w:eastAsia="Times New Roman"/>
          <w:sz w:val="22"/>
          <w:szCs w:val="22"/>
        </w:rPr>
        <w:t xml:space="preserve">Shapley, L. S. (1953). A value for n-person games. In H. W. Kuhn &amp; A. W. Tucker (Eds.), Contributions to the theory of games II (pp. 307–317). Princeton University Press. https://doi.org/10.1515/9781400881970-018</w:t>
      </w:r>
    </w:p>
    <w:p>
      <w:pPr>
        <w:pStyle w:val="referenceitem"/>
      </w:pPr>
      <w:r>
        <w:rPr>
          <w:rFonts w:ascii="Times New Roman" w:hAnsi="Times New Roman" w:cs="Times New Roman" w:eastAsia="Times New Roman"/>
          <w:sz w:val="22"/>
          <w:szCs w:val="22"/>
        </w:rPr>
        <w:t xml:space="preserve">Tilfani, O., Ferreira, P., &amp; El Boukfaoui, M. Y. (2021). Dynamic cross-correlation and dynamic contagion of stock markets: A sliding windows approach with the DCCA correlation coefficient. Empirical Economics, 60(3), 1127–1156. https://doi.org/10.1007/s00181-019-01806-1</w:t>
      </w:r>
    </w:p>
    <w:p>
      <w:pPr>
        <w:pStyle w:val="referenceitem"/>
      </w:pPr>
      <w:r>
        <w:rPr>
          <w:rFonts w:ascii="Times New Roman" w:hAnsi="Times New Roman" w:cs="Times New Roman" w:eastAsia="Times New Roman"/>
          <w:sz w:val="22"/>
          <w:szCs w:val="22"/>
        </w:rPr>
        <w:t xml:space="preserve">Tran, M. H., &amp; Tran, N. M. (2025). High-frequency dynamics of the Vietnam stock market. VNU Journal of Economics and Business, 5(2), 51–59. https://doi.org/10.57110/vnu-jeb.v5i2.395</w:t>
      </w:r>
    </w:p>
    <w:p>
      <w:pPr>
        <w:pStyle w:val="referenceitem"/>
      </w:pPr>
      <w:r>
        <w:rPr>
          <w:rFonts w:ascii="Times New Roman" w:hAnsi="Times New Roman" w:cs="Times New Roman" w:eastAsia="Times New Roman"/>
          <w:sz w:val="22"/>
          <w:szCs w:val="22"/>
        </w:rPr>
        <w:t xml:space="preserve">Vietnam Securities Depository. (2015). Decision No. 211/QĐ-VSD of 18 December 2015 promulgating the Regulation on clearing and settlement of securities transactions. Hanoi.</w:t>
      </w:r>
    </w:p>
    <w:p>
      <w:pPr>
        <w:pStyle w:val="referenceitem"/>
      </w:pPr>
      <w:r>
        <w:rPr>
          <w:rFonts w:ascii="Times New Roman" w:hAnsi="Times New Roman" w:cs="Times New Roman" w:eastAsia="Times New Roman"/>
          <w:sz w:val="22"/>
          <w:szCs w:val="22"/>
        </w:rPr>
        <w:t xml:space="preserve">Wang, F., Ye, X., Chen, H., &amp; Wu, C. (2021). A portfolio strategy of stock market based on mean-MF-X-DMA model. Chaos, Solitons &amp; Fractals, 143, 110645. https://doi.org/10.1016/j.chaos.2020.110645</w:t>
      </w:r>
    </w:p>
    <w:p>
      <w:pPr>
        <w:pStyle w:val="referenceitem"/>
      </w:pPr>
      <w:r>
        <w:rPr>
          <w:rFonts w:ascii="Times New Roman" w:hAnsi="Times New Roman" w:cs="Times New Roman" w:eastAsia="Times New Roman"/>
          <w:sz w:val="22"/>
          <w:szCs w:val="22"/>
        </w:rPr>
        <w:t xml:space="preserve">Zebende, G. F. (2011). DCCA cross-correlation coefficient: Quantifying level of cross-correlation. Physica A: Statistical Mechanics and its Applications, 390(4), 614–618. https://doi.org/10.1016/j.physa.2010.10.022</w:t>
      </w:r>
    </w:p>
    <w:p>
      <w:pPr>
        <w:pStyle w:val="referenceitem"/>
      </w:pPr>
      <w:r>
        <w:rPr>
          <w:rFonts w:ascii="Times New Roman" w:hAnsi="Times New Roman" w:cs="Times New Roman" w:eastAsia="Times New Roman"/>
          <w:sz w:val="22"/>
          <w:szCs w:val="22"/>
        </w:rPr>
        <w:t xml:space="preserve">Zhou, W., Huang, J., &amp; Wang, M. (2025). Multifractal characteristics and information flow analysis of stock markets based on multifractal detrended cross-correlation analysis and transfer entropy. Fractal and Fractional, 9(1), 14. https://doi.org/10.3390/fractalfract9010014</w:t>
      </w:r>
    </w:p>
    <w:p>
      <w:pPr>
        <w:pStyle w:val="referenceitem"/>
      </w:pPr>
      <w:r>
        <w:rPr>
          <w:rFonts w:ascii="Times New Roman" w:hAnsi="Times New Roman" w:cs="Times New Roman" w:eastAsia="Times New Roman"/>
          <w:sz w:val="22"/>
          <w:szCs w:val="22"/>
        </w:rPr>
        <w:t xml:space="preserve">Zhou, W.-X. (2008). Multifractal detrended cross-correlation analysis for two nonstationary signals. Physical Review E, 77(6), 066211. https://doi.org/10.1103/PhysRevE.77.066211</w:t>
      </w:r>
    </w:p>
    <w:sectPr w:rsidR="0034643B" w:rsidRPr="00F57207">
      <w:footnotePr>
        <w:numRestart w:val="eachSect"/>
      </w:footnotePr>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6FF" w:usb1="4000FCFF" w:usb2="00000009" w:usb3="00000000" w:csb0="0000019F" w:csb1="00000000"/>
  </w:font>
  <w:font w:name="Noto Sans">
    <w:panose1 w:val="020B0502040504090204"/>
    <w:charset w:val="00"/>
    <w:family w:val="swiss"/>
    <w:pitch w:val="variable"/>
    <w:sig w:usb0="E00082FF" w:usb1="400078FF" w:usb2="08000029" w:usb3="00000000" w:csb0="0000019F" w:csb1="00000000"/>
  </w:font>
  <w:font w:name="Liberation Sans">
    <w:panose1 w:val="020B0604020202020204"/>
    <w:charset w:val="00"/>
    <w:family w:val="roman"/>
    <w:pitch w:val="default"/>
  </w:font>
  <w:font w:name="Linux Libertine G">
    <w:panose1 w:val="020B0604020202020204"/>
    <w:charset w:val="00"/>
    <w:family w:val="roman"/>
    <w:pitch w:val="default"/>
  </w:font>
  <w:font w:name="Courier">
    <w:panose1 w:val="02070309020205020404"/>
    <w:charset w:val="00"/>
    <w:family w:val="modern"/>
    <w:pitch w:val="fixed"/>
    <w:sig w:usb0="00000003" w:usb1="00000000" w:usb2="00000000" w:usb3="00000000" w:csb0="00000001" w:csb1="00000000"/>
  </w:font>
  <w:font w:name="Cambria Math">
    <w:panose1 w:val="02040503050406030204"/>
    <w:charset w:val="00"/>
    <w:family w:val="roman"/>
    <w:pitch w:val="variable"/>
    <w:sig w:usb0="E00002FF" w:usb1="420024FF" w:usb2="00000000" w:usb3="00000000" w:csb0="0000019F" w:csb1="00000000"/>
  </w:font>
  <w:font w:name="null">
    <w:altName w:val="Cambria"/>
    <w:panose1 w:val="020B0604020202020204"/>
    <w:charset w:val="00"/>
    <w:family w:val="roman"/>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000A990"/>
    <w:multiLevelType w:val="multilevel"/>
    <w:tmpl w:val="1F427FFE"/>
    <w:lvl w:ilvl="0">
      <w:numFmt w:val="bullet"/>
      <w:lvlText w:val=" "/>
      <w:lvlJc w:val="left"/>
      <w:pPr>
        <w:ind w:hanging="360" w:left="720"/>
      </w:pPr>
    </w:lvl>
    <w:lvl w:ilvl="1">
      <w:numFmt w:val="bullet"/>
      <w:lvlText w:val=" "/>
      <w:lvlJc w:val="left"/>
      <w:pPr>
        <w:ind w:hanging="360" w:left="1440"/>
      </w:pPr>
    </w:lvl>
    <w:lvl w:ilvl="2">
      <w:numFmt w:val="bullet"/>
      <w:lvlText w:val=" "/>
      <w:lvlJc w:val="left"/>
      <w:pPr>
        <w:ind w:hanging="360" w:left="2160"/>
      </w:pPr>
    </w:lvl>
    <w:lvl w:ilvl="3">
      <w:numFmt w:val="bullet"/>
      <w:lvlText w:val=" "/>
      <w:lvlJc w:val="left"/>
      <w:pPr>
        <w:ind w:hanging="360" w:left="2880"/>
      </w:pPr>
    </w:lvl>
    <w:lvl w:ilvl="4">
      <w:numFmt w:val="bullet"/>
      <w:lvlText w:val=" "/>
      <w:lvlJc w:val="left"/>
      <w:pPr>
        <w:ind w:hanging="360" w:left="3600"/>
      </w:pPr>
    </w:lvl>
    <w:lvl w:ilvl="5">
      <w:numFmt w:val="bullet"/>
      <w:lvlText w:val=" "/>
      <w:lvlJc w:val="left"/>
      <w:pPr>
        <w:ind w:hanging="360" w:left="4320"/>
      </w:pPr>
    </w:lvl>
    <w:lvl w:ilvl="6">
      <w:numFmt w:val="bullet"/>
      <w:lvlText w:val=" "/>
      <w:lvlJc w:val="left"/>
      <w:pPr>
        <w:ind w:hanging="360" w:left="5040"/>
      </w:pPr>
    </w:lvl>
    <w:lvl w:ilvl="7">
      <w:numFmt w:val="bullet"/>
      <w:lvlText w:val=" "/>
      <w:lvlJc w:val="left"/>
      <w:pPr>
        <w:ind w:hanging="360" w:left="5760"/>
      </w:pPr>
    </w:lvl>
    <w:lvl w:ilvl="8">
      <w:numFmt w:val="bullet"/>
      <w:lvlText w:val=" "/>
      <w:lvlJc w:val="left"/>
      <w:pPr>
        <w:ind w:hanging="360" w:left="6480"/>
      </w:pPr>
    </w:lvl>
  </w:abstractNum>
  <w:abstractNum w15:restartNumberingAfterBreak="0" w:abstractNumId="1">
    <w:nsid w:val="0000A991"/>
    <w:multiLevelType w:val="multilevel"/>
    <w:tmpl w:val="64A4709E"/>
    <w:lvl w:ilvl="0">
      <w:numFmt w:val="bullet"/>
      <w:lvlText w:val=""/>
      <w:lvlJc w:val="left"/>
      <w:pPr>
        <w:ind w:hanging="360" w:left="720"/>
      </w:pPr>
      <w:rPr>
        <w:rFonts w:ascii="Symbol" w:cs="Symbol" w:hAnsi="Symbol" w:hint="default"/>
      </w:rPr>
    </w:lvl>
    <w:lvl w:ilvl="1">
      <w:numFmt w:val="bullet"/>
      <w:lvlText w:val="o"/>
      <w:lvlJc w:val="left"/>
      <w:pPr>
        <w:ind w:hanging="360" w:left="1440"/>
      </w:pPr>
      <w:rPr>
        <w:rFonts w:ascii="Courier New" w:cs="Courier New" w:hAnsi="Courier New" w:hint="default"/>
      </w:rPr>
    </w:lvl>
    <w:lvl w:ilvl="2">
      <w:numFmt w:val="bullet"/>
      <w:lvlText w:val=""/>
      <w:lvlJc w:val="left"/>
      <w:pPr>
        <w:ind w:hanging="360" w:left="2160"/>
      </w:pPr>
      <w:rPr>
        <w:rFonts w:ascii="Wingdings" w:cs="Wingdings" w:hAnsi="Wingdings" w:hint="default"/>
      </w:rPr>
    </w:lvl>
    <w:lvl w:ilvl="3">
      <w:numFmt w:val="bullet"/>
      <w:lvlText w:val=""/>
      <w:lvlJc w:val="left"/>
      <w:pPr>
        <w:ind w:hanging="360" w:left="2880"/>
      </w:pPr>
      <w:rPr>
        <w:rFonts w:ascii="Symbol" w:cs="Symbol" w:hAnsi="Symbol" w:hint="default"/>
      </w:rPr>
    </w:lvl>
    <w:lvl w:ilvl="4">
      <w:numFmt w:val="bullet"/>
      <w:lvlText w:val="o"/>
      <w:lvlJc w:val="left"/>
      <w:pPr>
        <w:ind w:hanging="360" w:left="3600"/>
      </w:pPr>
      <w:rPr>
        <w:rFonts w:ascii="Courier New" w:cs="Courier New" w:hAnsi="Courier New" w:hint="default"/>
      </w:rPr>
    </w:lvl>
    <w:lvl w:ilvl="5">
      <w:numFmt w:val="bullet"/>
      <w:lvlText w:val=""/>
      <w:lvlJc w:val="left"/>
      <w:pPr>
        <w:ind w:hanging="360" w:left="4320"/>
      </w:pPr>
      <w:rPr>
        <w:rFonts w:ascii="Wingdings" w:cs="Wingdings" w:hAnsi="Wingdings" w:hint="default"/>
      </w:rPr>
    </w:lvl>
    <w:lvl w:ilvl="6">
      <w:numFmt w:val="bullet"/>
      <w:lvlText w:val=""/>
      <w:lvlJc w:val="left"/>
      <w:pPr>
        <w:ind w:hanging="360" w:left="5040"/>
      </w:pPr>
      <w:rPr>
        <w:rFonts w:ascii="Symbol" w:cs="Symbol" w:hAnsi="Symbol" w:hint="default"/>
      </w:rPr>
    </w:lvl>
    <w:lvl w:ilvl="7">
      <w:numFmt w:val="bullet"/>
      <w:lvlText w:val="o"/>
      <w:lvlJc w:val="left"/>
      <w:pPr>
        <w:ind w:hanging="360" w:left="5760"/>
      </w:pPr>
      <w:rPr>
        <w:rFonts w:ascii="Courier New" w:cs="Courier New" w:hAnsi="Courier New" w:hint="default"/>
      </w:rPr>
    </w:lvl>
    <w:lvl w:ilvl="8">
      <w:numFmt w:val="bullet"/>
      <w:lvlText w:val=""/>
      <w:lvlJc w:val="left"/>
      <w:pPr>
        <w:ind w:hanging="360" w:left="6480"/>
      </w:pPr>
      <w:rPr>
        <w:rFonts w:ascii="Wingdings" w:cs="Wingdings" w:hAnsi="Wingdings" w:hint="default"/>
      </w:rPr>
    </w:lvl>
  </w:abstractNum>
  <w:abstractNum w15:restartNumberingAfterBreak="0" w:abstractNumId="2">
    <w:nsid w:val="1A4A4B11"/>
    <w:multiLevelType w:val="multilevel"/>
    <w:tmpl w:val="10F4ADD0"/>
    <w:lvl w:ilvl="0">
      <w:start w:val="1"/>
      <w:numFmt w:val="bullet"/>
      <w:pStyle w:val="Aufzhlungszeichen"/>
      <w:lvlText w:val=""/>
      <w:lvlJc w:val="left"/>
      <w:pPr>
        <w:tabs>
          <w:tab w:pos="360" w:val="num"/>
        </w:tabs>
        <w:ind w:hanging="360" w:left="360"/>
      </w:pPr>
      <w:rPr>
        <w:rFonts w:ascii="Symbol" w:cs="Symbol" w:hAnsi="Symbol" w:hint="default"/>
      </w:rPr>
    </w:lvl>
    <w:lvl w:ilvl="1">
      <w:numFmt w:val="decimal"/>
      <w:lvlText w:val=""/>
      <w:lvlJc w:val="left"/>
      <w:pPr>
        <w:ind w:firstLine="0" w:left="0"/>
      </w:pPr>
    </w:lvl>
    <w:lvl w:ilvl="2">
      <w:numFmt w:val="decimal"/>
      <w:lvlText w:val=""/>
      <w:lvlJc w:val="left"/>
      <w:pPr>
        <w:ind w:firstLine="0" w:left="0"/>
      </w:pPr>
    </w:lvl>
    <w:lvl w:ilvl="3">
      <w:numFmt w:val="decimal"/>
      <w:lvlText w:val=""/>
      <w:lvlJc w:val="left"/>
      <w:pPr>
        <w:ind w:firstLine="0" w:left="0"/>
      </w:pPr>
    </w:lvl>
    <w:lvl w:ilvl="4">
      <w:numFmt w:val="decimal"/>
      <w:lvlText w:val=""/>
      <w:lvlJc w:val="left"/>
      <w:pPr>
        <w:ind w:firstLine="0" w:left="0"/>
      </w:pPr>
    </w:lvl>
    <w:lvl w:ilvl="5">
      <w:numFmt w:val="decimal"/>
      <w:lvlText w:val=""/>
      <w:lvlJc w:val="left"/>
      <w:pPr>
        <w:ind w:firstLine="0" w:left="0"/>
      </w:pPr>
    </w:lvl>
    <w:lvl w:ilvl="6">
      <w:numFmt w:val="decimal"/>
      <w:lvlText w:val=""/>
      <w:lvlJc w:val="left"/>
      <w:pPr>
        <w:ind w:firstLine="0" w:left="0"/>
      </w:pPr>
    </w:lvl>
    <w:lvl w:ilvl="7">
      <w:numFmt w:val="decimal"/>
      <w:lvlText w:val=""/>
      <w:lvlJc w:val="left"/>
      <w:pPr>
        <w:ind w:firstLine="0" w:left="0"/>
      </w:pPr>
    </w:lvl>
    <w:lvl w:ilvl="8">
      <w:numFmt w:val="decimal"/>
      <w:lvlText w:val=""/>
      <w:lvlJc w:val="left"/>
      <w:pPr>
        <w:ind w:firstLine="0" w:left="0"/>
      </w:pPr>
    </w:lvl>
  </w:abstractNum>
  <w:abstractNum w15:restartNumberingAfterBreak="0" w:abstractNumId="3">
    <w:nsid w:val="3C350A71"/>
    <w:multiLevelType w:val="multilevel"/>
    <w:tmpl w:val="7A72F900"/>
    <w:lvl w:ilvl="0">
      <w:start w:val="1"/>
      <w:numFmt w:val="decimal"/>
      <w:pStyle w:val="heading1"/>
      <w:lvlText w:val="%1"/>
      <w:lvlJc w:val="left"/>
      <w:pPr>
        <w:tabs>
          <w:tab w:pos="567" w:val="num"/>
        </w:tabs>
        <w:ind w:hanging="567" w:left="567"/>
      </w:pPr>
    </w:lvl>
    <w:lvl w:ilvl="1">
      <w:start w:val="1"/>
      <w:numFmt w:val="decimal"/>
      <w:lvlText w:val="%1.%2"/>
      <w:lvlJc w:val="left"/>
      <w:pPr>
        <w:tabs>
          <w:tab w:pos="567" w:val="num"/>
        </w:tabs>
        <w:ind w:hanging="567" w:left="567"/>
      </w:pPr>
    </w:lvl>
    <w:lvl w:ilvl="2">
      <w:start w:val="1"/>
      <w:numFmt w:val="decimal"/>
      <w:lvlText w:val="%1.%2.%3"/>
      <w:lvlJc w:val="left"/>
      <w:pPr>
        <w:tabs>
          <w:tab w:pos="851" w:val="num"/>
        </w:tabs>
        <w:ind w:hanging="851" w:left="851"/>
      </w:pPr>
    </w:lvl>
    <w:lvl w:ilvl="3">
      <w:start w:val="1"/>
      <w:numFmt w:val="decimal"/>
      <w:lvlText w:val="%1.%2.%3.%4"/>
      <w:lvlJc w:val="left"/>
      <w:pPr>
        <w:tabs>
          <w:tab w:pos="851" w:val="num"/>
        </w:tabs>
        <w:ind w:hanging="851" w:left="851"/>
      </w:pPr>
    </w:lvl>
    <w:lvl w:ilvl="4">
      <w:start w:val="1"/>
      <w:numFmt w:val="decimal"/>
      <w:lvlText w:val="%1.%2.%3.%4.%5"/>
      <w:lvlJc w:val="left"/>
      <w:pPr>
        <w:tabs>
          <w:tab w:pos="964" w:val="num"/>
        </w:tabs>
        <w:ind w:hanging="964" w:left="964"/>
      </w:pPr>
      <w:rPr>
        <w:rFonts w:ascii="Times New Roman" w:cs="Times New Roman" w:hAnsi="Times New Roman"/>
        <w:b w:val="0"/>
        <w:i/>
        <w:sz w:val="20"/>
      </w:rPr>
    </w:lvl>
    <w:lvl w:ilvl="5">
      <w:start w:val="1"/>
      <w:numFmt w:val="decimal"/>
      <w:lvlText w:val="%1.%2.%3.%4.%5.%6"/>
      <w:lvlJc w:val="left"/>
      <w:pPr>
        <w:tabs>
          <w:tab w:pos="1152" w:val="num"/>
        </w:tabs>
        <w:ind w:hanging="1152" w:left="1152"/>
      </w:pPr>
    </w:lvl>
    <w:lvl w:ilvl="6">
      <w:start w:val="1"/>
      <w:numFmt w:val="decimal"/>
      <w:lvlText w:val="%1.%2.%3.%4.%5.%6.%7"/>
      <w:lvlJc w:val="left"/>
      <w:pPr>
        <w:tabs>
          <w:tab w:pos="1296" w:val="num"/>
        </w:tabs>
        <w:ind w:hanging="1296" w:left="1296"/>
      </w:pPr>
    </w:lvl>
    <w:lvl w:ilvl="7">
      <w:start w:val="1"/>
      <w:numFmt w:val="decimal"/>
      <w:lvlText w:val="%1.%2.%3.%4.%5.%6.%7.%8"/>
      <w:lvlJc w:val="left"/>
      <w:pPr>
        <w:tabs>
          <w:tab w:pos="1440" w:val="num"/>
        </w:tabs>
        <w:ind w:hanging="1440" w:left="1440"/>
      </w:pPr>
    </w:lvl>
    <w:lvl w:ilvl="8">
      <w:start w:val="1"/>
      <w:numFmt w:val="decimal"/>
      <w:lvlText w:val="%1.%2.%3.%4.%5.%6.%7.%8.%9"/>
      <w:lvlJc w:val="left"/>
      <w:pPr>
        <w:tabs>
          <w:tab w:pos="1584" w:val="num"/>
        </w:tabs>
        <w:ind w:hanging="1584" w:left="1584"/>
      </w:pPr>
    </w:lvl>
  </w:abstractNum>
  <w:abstractNum w15:restartNumberingAfterBreak="0" w:abstractNumId="4">
    <w:nsid w:val="467112F0"/>
    <w:multiLevelType w:val="multilevel"/>
    <w:tmpl w:val="5836672C"/>
    <w:lvl w:ilvl="0">
      <w:start w:val="1"/>
      <w:numFmt w:val="bullet"/>
      <w:pStyle w:val="bulletitem"/>
      <w:lvlText w:val=""/>
      <w:lvlJc w:val="left"/>
      <w:pPr>
        <w:tabs>
          <w:tab w:pos="227" w:val="num"/>
        </w:tabs>
        <w:ind w:hanging="227" w:left="227"/>
      </w:pPr>
      <w:rPr>
        <w:rFonts w:ascii="Symbol" w:cs="Symbol" w:hAnsi="Symbol" w:hint="default"/>
      </w:rPr>
    </w:lvl>
    <w:lvl w:ilvl="1">
      <w:start w:val="1"/>
      <w:numFmt w:val="bullet"/>
      <w:lvlText w:val="─"/>
      <w:lvlJc w:val="left"/>
      <w:pPr>
        <w:tabs>
          <w:tab w:pos="454" w:val="num"/>
        </w:tabs>
        <w:ind w:hanging="227" w:left="454"/>
      </w:pPr>
      <w:rPr>
        <w:rFonts w:ascii="Times New Roman" w:cs="Times New Roman" w:hAnsi="Times New Roman" w:hint="cs"/>
      </w:rPr>
    </w:lvl>
    <w:lvl w:ilvl="2">
      <w:start w:val="1"/>
      <w:numFmt w:val="bullet"/>
      <w:lvlText w:val="o"/>
      <w:lvlJc w:val="left"/>
      <w:pPr>
        <w:tabs>
          <w:tab w:pos="680" w:val="num"/>
        </w:tabs>
        <w:ind w:hanging="226" w:left="680"/>
      </w:pPr>
      <w:rPr>
        <w:rFonts w:ascii="Courier New" w:cs="Courier New" w:hAnsi="Courier New" w:hint="default"/>
      </w:rPr>
    </w:lvl>
    <w:lvl w:ilvl="3">
      <w:start w:val="1"/>
      <w:numFmt w:val="bullet"/>
      <w:lvlText w:val=""/>
      <w:lvlJc w:val="left"/>
      <w:pPr>
        <w:tabs>
          <w:tab w:pos="907" w:val="num"/>
        </w:tabs>
        <w:ind w:hanging="227" w:left="907"/>
      </w:pPr>
      <w:rPr>
        <w:rFonts w:ascii="Wingdings" w:cs="Wingdings" w:hAnsi="Wingdings" w:hint="default"/>
      </w:rPr>
    </w:lvl>
    <w:lvl w:ilvl="4">
      <w:start w:val="1"/>
      <w:numFmt w:val="bullet"/>
      <w:lvlText w:val="o"/>
      <w:lvlJc w:val="left"/>
      <w:pPr>
        <w:tabs>
          <w:tab w:pos="1134" w:val="num"/>
        </w:tabs>
        <w:ind w:hanging="227" w:left="1134"/>
      </w:pPr>
      <w:rPr>
        <w:rFonts w:ascii="Courier New" w:cs="Courier New" w:hAnsi="Courier New" w:hint="default"/>
      </w:rPr>
    </w:lvl>
    <w:lvl w:ilvl="5">
      <w:start w:val="1"/>
      <w:numFmt w:val="bullet"/>
      <w:lvlText w:val=""/>
      <w:lvlJc w:val="left"/>
      <w:pPr>
        <w:tabs>
          <w:tab w:pos="1361" w:val="num"/>
        </w:tabs>
        <w:ind w:hanging="227" w:left="1361"/>
      </w:pPr>
      <w:rPr>
        <w:rFonts w:ascii="Wingdings" w:cs="Wingdings" w:hAnsi="Wingdings" w:hint="default"/>
      </w:rPr>
    </w:lvl>
    <w:lvl w:ilvl="6">
      <w:start w:val="1"/>
      <w:numFmt w:val="bullet"/>
      <w:lvlText w:val=""/>
      <w:lvlJc w:val="left"/>
      <w:pPr>
        <w:tabs>
          <w:tab w:pos="1588" w:val="num"/>
        </w:tabs>
        <w:ind w:hanging="227" w:left="1588"/>
      </w:pPr>
      <w:rPr>
        <w:rFonts w:ascii="Symbol" w:cs="Symbol" w:hAnsi="Symbol" w:hint="default"/>
      </w:rPr>
    </w:lvl>
    <w:lvl w:ilvl="7">
      <w:start w:val="1"/>
      <w:numFmt w:val="bullet"/>
      <w:lvlText w:val="o"/>
      <w:lvlJc w:val="left"/>
      <w:pPr>
        <w:tabs>
          <w:tab w:pos="1814" w:val="num"/>
        </w:tabs>
        <w:ind w:hanging="226" w:left="1814"/>
      </w:pPr>
      <w:rPr>
        <w:rFonts w:ascii="Courier New" w:cs="Courier New" w:hAnsi="Courier New" w:hint="default"/>
      </w:rPr>
    </w:lvl>
    <w:lvl w:ilvl="8">
      <w:start w:val="1"/>
      <w:numFmt w:val="bullet"/>
      <w:lvlText w:val=""/>
      <w:lvlJc w:val="left"/>
      <w:pPr>
        <w:tabs>
          <w:tab w:pos="2041" w:val="num"/>
        </w:tabs>
        <w:ind w:hanging="227" w:left="2041"/>
      </w:pPr>
      <w:rPr>
        <w:rFonts w:ascii="Wingdings" w:cs="Wingdings" w:hAnsi="Wingdings" w:hint="default"/>
      </w:rPr>
    </w:lvl>
  </w:abstractNum>
  <w:abstractNum w15:restartNumberingAfterBreak="0" w:abstractNumId="5">
    <w:nsid w:val="4C517F45"/>
    <w:multiLevelType w:val="multilevel"/>
    <w:tmpl w:val="7B804DE4"/>
    <w:lvl w:ilvl="0">
      <w:start w:val="1"/>
      <w:numFmt w:val="decimal"/>
      <w:pStyle w:val="Listennummer"/>
      <w:lvlText w:val="%1."/>
      <w:lvlJc w:val="left"/>
      <w:pPr>
        <w:tabs>
          <w:tab w:pos="227" w:val="num"/>
        </w:tabs>
        <w:ind w:hanging="227" w:left="227"/>
      </w:pPr>
    </w:lvl>
    <w:lvl w:ilvl="1">
      <w:numFmt w:val="decimal"/>
      <w:lvlText w:val=""/>
      <w:lvlJc w:val="left"/>
      <w:pPr>
        <w:ind w:firstLine="0" w:left="0"/>
      </w:pPr>
    </w:lvl>
    <w:lvl w:ilvl="2">
      <w:numFmt w:val="decimal"/>
      <w:lvlText w:val=""/>
      <w:lvlJc w:val="left"/>
      <w:pPr>
        <w:ind w:firstLine="0" w:left="0"/>
      </w:pPr>
    </w:lvl>
    <w:lvl w:ilvl="3">
      <w:numFmt w:val="decimal"/>
      <w:lvlText w:val=""/>
      <w:lvlJc w:val="left"/>
      <w:pPr>
        <w:ind w:firstLine="0" w:left="0"/>
      </w:pPr>
    </w:lvl>
    <w:lvl w:ilvl="4">
      <w:numFmt w:val="decimal"/>
      <w:lvlText w:val=""/>
      <w:lvlJc w:val="left"/>
      <w:pPr>
        <w:ind w:firstLine="0" w:left="0"/>
      </w:pPr>
    </w:lvl>
    <w:lvl w:ilvl="5">
      <w:numFmt w:val="decimal"/>
      <w:lvlText w:val=""/>
      <w:lvlJc w:val="left"/>
      <w:pPr>
        <w:ind w:firstLine="0" w:left="0"/>
      </w:pPr>
    </w:lvl>
    <w:lvl w:ilvl="6">
      <w:numFmt w:val="decimal"/>
      <w:lvlText w:val=""/>
      <w:lvlJc w:val="left"/>
      <w:pPr>
        <w:ind w:firstLine="0" w:left="0"/>
      </w:pPr>
    </w:lvl>
    <w:lvl w:ilvl="7">
      <w:numFmt w:val="decimal"/>
      <w:lvlText w:val=""/>
      <w:lvlJc w:val="left"/>
      <w:pPr>
        <w:ind w:firstLine="0" w:left="0"/>
      </w:pPr>
    </w:lvl>
    <w:lvl w:ilvl="8">
      <w:numFmt w:val="decimal"/>
      <w:lvlText w:val=""/>
      <w:lvlJc w:val="left"/>
      <w:pPr>
        <w:ind w:firstLine="0" w:left="0"/>
      </w:pPr>
    </w:lvl>
  </w:abstractNum>
  <w:abstractNum w15:restartNumberingAfterBreak="0" w:abstractNumId="6">
    <w:nsid w:val="51A624D8"/>
    <w:multiLevelType w:val="multilevel"/>
    <w:tmpl w:val="7D0A74B6"/>
    <w:lvl w:ilvl="0">
      <w:start w:val="1"/>
      <w:numFmt w:val="decimal"/>
      <w:pStyle w:val="referenceitem"/>
      <w:lvlText w:val="%1."/>
      <w:lvlJc w:val="right"/>
      <w:pPr>
        <w:tabs>
          <w:tab w:pos="341" w:val="num"/>
        </w:tabs>
        <w:ind w:hanging="114" w:left="341"/>
      </w:pPr>
    </w:lvl>
    <w:lvl w:ilvl="1">
      <w:start w:val="1"/>
      <w:numFmt w:val="lowerLetter"/>
      <w:lvlText w:val="%2."/>
      <w:lvlJc w:val="left"/>
      <w:pPr>
        <w:tabs>
          <w:tab w:pos="2010" w:val="num"/>
        </w:tabs>
        <w:ind w:hanging="360" w:left="2010"/>
      </w:pPr>
    </w:lvl>
    <w:lvl w:ilvl="2">
      <w:start w:val="1"/>
      <w:numFmt w:val="lowerRoman"/>
      <w:lvlText w:val="%3."/>
      <w:lvlJc w:val="right"/>
      <w:pPr>
        <w:tabs>
          <w:tab w:pos="2730" w:val="num"/>
        </w:tabs>
        <w:ind w:hanging="180" w:left="2730"/>
      </w:pPr>
    </w:lvl>
    <w:lvl w:ilvl="3">
      <w:start w:val="1"/>
      <w:numFmt w:val="decimal"/>
      <w:lvlText w:val="%4."/>
      <w:lvlJc w:val="left"/>
      <w:pPr>
        <w:tabs>
          <w:tab w:pos="3450" w:val="num"/>
        </w:tabs>
        <w:ind w:hanging="360" w:left="3450"/>
      </w:pPr>
    </w:lvl>
    <w:lvl w:ilvl="4">
      <w:start w:val="1"/>
      <w:numFmt w:val="lowerLetter"/>
      <w:lvlText w:val="%5."/>
      <w:lvlJc w:val="left"/>
      <w:pPr>
        <w:tabs>
          <w:tab w:pos="4170" w:val="num"/>
        </w:tabs>
        <w:ind w:hanging="360" w:left="4170"/>
      </w:pPr>
    </w:lvl>
    <w:lvl w:ilvl="5">
      <w:start w:val="1"/>
      <w:numFmt w:val="lowerRoman"/>
      <w:lvlText w:val="%6."/>
      <w:lvlJc w:val="right"/>
      <w:pPr>
        <w:tabs>
          <w:tab w:pos="4890" w:val="num"/>
        </w:tabs>
        <w:ind w:hanging="180" w:left="4890"/>
      </w:pPr>
    </w:lvl>
    <w:lvl w:ilvl="6">
      <w:start w:val="1"/>
      <w:numFmt w:val="decimal"/>
      <w:lvlText w:val="%7."/>
      <w:lvlJc w:val="left"/>
      <w:pPr>
        <w:tabs>
          <w:tab w:pos="5610" w:val="num"/>
        </w:tabs>
        <w:ind w:hanging="360" w:left="5610"/>
      </w:pPr>
    </w:lvl>
    <w:lvl w:ilvl="7">
      <w:start w:val="1"/>
      <w:numFmt w:val="lowerLetter"/>
      <w:lvlText w:val="%8."/>
      <w:lvlJc w:val="left"/>
      <w:pPr>
        <w:tabs>
          <w:tab w:pos="6330" w:val="num"/>
        </w:tabs>
        <w:ind w:hanging="360" w:left="6330"/>
      </w:pPr>
    </w:lvl>
    <w:lvl w:ilvl="8">
      <w:start w:val="1"/>
      <w:numFmt w:val="lowerRoman"/>
      <w:lvlText w:val="%9."/>
      <w:lvlJc w:val="right"/>
      <w:pPr>
        <w:tabs>
          <w:tab w:pos="7050" w:val="num"/>
        </w:tabs>
        <w:ind w:hanging="180" w:left="7050"/>
      </w:pPr>
    </w:lvl>
  </w:abstractNum>
  <w:abstractNum w15:restartNumberingAfterBreak="0" w:abstractNumId="7">
    <w:nsid w:val="51F6076D"/>
    <w:multiLevelType w:val="multilevel"/>
    <w:tmpl w:val="07C2DB6C"/>
    <w:lvl w:ilvl="0">
      <w:start w:val="1"/>
      <w:numFmt w:val="bullet"/>
      <w:pStyle w:val="dashitem"/>
      <w:lvlText w:val="─"/>
      <w:lvlJc w:val="left"/>
      <w:pPr>
        <w:tabs>
          <w:tab w:pos="227" w:val="num"/>
        </w:tabs>
        <w:ind w:hanging="227" w:left="227"/>
      </w:pPr>
      <w:rPr>
        <w:rFonts w:ascii="Times New Roman" w:cs="Times New Roman" w:hAnsi="Times New Roman" w:hint="cs"/>
      </w:rPr>
    </w:lvl>
    <w:lvl w:ilvl="1">
      <w:start w:val="1"/>
      <w:numFmt w:val="bullet"/>
      <w:lvlText w:val=""/>
      <w:lvlJc w:val="left"/>
      <w:pPr>
        <w:tabs>
          <w:tab w:pos="454" w:val="num"/>
        </w:tabs>
        <w:ind w:hanging="227" w:left="454"/>
      </w:pPr>
      <w:rPr>
        <w:rFonts w:ascii="Symbol" w:cs="Symbol" w:hAnsi="Symbol" w:hint="default"/>
      </w:rPr>
    </w:lvl>
    <w:lvl w:ilvl="2">
      <w:start w:val="1"/>
      <w:numFmt w:val="bullet"/>
      <w:lvlText w:val="○"/>
      <w:lvlJc w:val="left"/>
      <w:pPr>
        <w:tabs>
          <w:tab w:pos="680" w:val="num"/>
        </w:tabs>
        <w:ind w:hanging="226" w:left="680"/>
      </w:pPr>
      <w:rPr>
        <w:rFonts w:ascii="Times New Roman" w:cs="Times New Roman" w:hAnsi="Times New Roman" w:hint="cs"/>
      </w:rPr>
    </w:lvl>
    <w:lvl w:ilvl="3">
      <w:start w:val="1"/>
      <w:numFmt w:val="bullet"/>
      <w:lvlText w:val="■"/>
      <w:lvlJc w:val="left"/>
      <w:pPr>
        <w:tabs>
          <w:tab w:pos="907" w:val="num"/>
        </w:tabs>
        <w:ind w:hanging="227" w:left="907"/>
      </w:pPr>
      <w:rPr>
        <w:rFonts w:ascii="Times New Roman" w:cs="Times New Roman" w:hAnsi="Times New Roman" w:hint="cs"/>
      </w:rPr>
    </w:lvl>
    <w:lvl w:ilvl="4">
      <w:start w:val="1"/>
      <w:numFmt w:val="bullet"/>
      <w:lvlText w:val="○"/>
      <w:lvlJc w:val="left"/>
      <w:pPr>
        <w:tabs>
          <w:tab w:pos="1134" w:val="num"/>
        </w:tabs>
        <w:ind w:hanging="227" w:left="1134"/>
      </w:pPr>
      <w:rPr>
        <w:rFonts w:ascii="Times New Roman" w:cs="Times New Roman" w:hAnsi="Times New Roman" w:hint="cs"/>
      </w:rPr>
    </w:lvl>
    <w:lvl w:ilvl="5">
      <w:start w:val="1"/>
      <w:numFmt w:val="bullet"/>
      <w:lvlText w:val="■"/>
      <w:lvlJc w:val="left"/>
      <w:pPr>
        <w:tabs>
          <w:tab w:pos="1361" w:val="num"/>
        </w:tabs>
        <w:ind w:hanging="227" w:left="1361"/>
      </w:pPr>
      <w:rPr>
        <w:rFonts w:ascii="Times New Roman" w:cs="Times New Roman" w:hAnsi="Times New Roman" w:hint="cs"/>
      </w:rPr>
    </w:lvl>
    <w:lvl w:ilvl="6">
      <w:start w:val="1"/>
      <w:numFmt w:val="bullet"/>
      <w:lvlText w:val=""/>
      <w:lvlJc w:val="left"/>
      <w:pPr>
        <w:tabs>
          <w:tab w:pos="1588" w:val="num"/>
        </w:tabs>
        <w:ind w:hanging="227" w:left="1588"/>
      </w:pPr>
      <w:rPr>
        <w:rFonts w:ascii="Symbol" w:cs="Symbol" w:hAnsi="Symbol" w:hint="default"/>
      </w:rPr>
    </w:lvl>
    <w:lvl w:ilvl="7">
      <w:start w:val="1"/>
      <w:numFmt w:val="bullet"/>
      <w:lvlText w:val="○"/>
      <w:lvlJc w:val="left"/>
      <w:pPr>
        <w:tabs>
          <w:tab w:pos="1814" w:val="num"/>
        </w:tabs>
        <w:ind w:hanging="226" w:left="1814"/>
      </w:pPr>
      <w:rPr>
        <w:rFonts w:ascii="Times New Roman" w:cs="Times New Roman" w:hAnsi="Times New Roman" w:hint="cs"/>
      </w:rPr>
    </w:lvl>
    <w:lvl w:ilvl="8">
      <w:start w:val="1"/>
      <w:numFmt w:val="bullet"/>
      <w:lvlText w:val="■"/>
      <w:lvlJc w:val="left"/>
      <w:pPr>
        <w:tabs>
          <w:tab w:pos="2041" w:val="num"/>
        </w:tabs>
        <w:ind w:hanging="227" w:left="2041"/>
      </w:pPr>
      <w:rPr>
        <w:rFonts w:ascii="Times New Roman" w:cs="Times New Roman" w:hAnsi="Times New Roman" w:hint="cs"/>
      </w:rPr>
    </w:lvl>
  </w:abstractNum>
  <w:abstractNum w15:restartNumberingAfterBreak="0" w:abstractNumId="8">
    <w:nsid w:val="7E3B5E8C"/>
    <w:multiLevelType w:val="multilevel"/>
    <w:tmpl w:val="FD0C398A"/>
    <w:lvl w:ilvl="0">
      <w:start w:val="1"/>
      <w:numFmt w:val="decimal"/>
      <w:pStyle w:val="numitem"/>
      <w:lvlText w:val="%1."/>
      <w:lvlJc w:val="right"/>
      <w:pPr>
        <w:tabs>
          <w:tab w:pos="0" w:val="num"/>
        </w:tabs>
        <w:ind w:hanging="57" w:left="227"/>
      </w:pPr>
    </w:lvl>
    <w:lvl w:ilvl="1">
      <w:start w:val="1"/>
      <w:numFmt w:val="lowerLetter"/>
      <w:lvlText w:val="(%2)"/>
      <w:lvlJc w:val="left"/>
      <w:pPr>
        <w:tabs>
          <w:tab w:pos="510" w:val="num"/>
        </w:tabs>
        <w:ind w:hanging="283" w:left="510"/>
      </w:pPr>
    </w:lvl>
    <w:lvl w:ilvl="2">
      <w:start w:val="1"/>
      <w:numFmt w:val="lowerRoman"/>
      <w:lvlText w:val="(%3)"/>
      <w:lvlJc w:val="left"/>
      <w:pPr>
        <w:tabs>
          <w:tab w:pos="851" w:val="num"/>
        </w:tabs>
        <w:ind w:hanging="341" w:left="851"/>
      </w:pPr>
    </w:lvl>
    <w:lvl w:ilvl="3">
      <w:start w:val="1"/>
      <w:numFmt w:val="decimal"/>
      <w:lvlText w:val="(%4)"/>
      <w:lvlJc w:val="left"/>
      <w:pPr>
        <w:tabs>
          <w:tab w:pos="1191" w:val="num"/>
        </w:tabs>
        <w:ind w:hanging="340" w:left="1191"/>
      </w:pPr>
    </w:lvl>
    <w:lvl w:ilvl="4">
      <w:start w:val="1"/>
      <w:numFmt w:val="lowerLetter"/>
      <w:lvlText w:val="(%5)"/>
      <w:lvlJc w:val="left"/>
      <w:pPr>
        <w:tabs>
          <w:tab w:pos="1474" w:val="num"/>
        </w:tabs>
        <w:ind w:hanging="283" w:left="1474"/>
      </w:pPr>
    </w:lvl>
    <w:lvl w:ilvl="5">
      <w:start w:val="1"/>
      <w:numFmt w:val="lowerRoman"/>
      <w:lvlText w:val="(%6)"/>
      <w:lvlJc w:val="left"/>
      <w:pPr>
        <w:tabs>
          <w:tab w:pos="1814" w:val="num"/>
        </w:tabs>
        <w:ind w:hanging="340" w:left="1814"/>
      </w:pPr>
    </w:lvl>
    <w:lvl w:ilvl="6">
      <w:start w:val="1"/>
      <w:numFmt w:val="decimal"/>
      <w:lvlText w:val="%7."/>
      <w:lvlJc w:val="left"/>
      <w:pPr>
        <w:tabs>
          <w:tab w:pos="2155" w:val="num"/>
        </w:tabs>
        <w:ind w:hanging="341" w:left="2155"/>
      </w:pPr>
    </w:lvl>
    <w:lvl w:ilvl="7">
      <w:start w:val="1"/>
      <w:numFmt w:val="lowerLetter"/>
      <w:lvlText w:val="%8."/>
      <w:lvlJc w:val="left"/>
      <w:pPr>
        <w:tabs>
          <w:tab w:pos="2381" w:val="num"/>
        </w:tabs>
        <w:ind w:hanging="226" w:left="2381"/>
      </w:pPr>
    </w:lvl>
    <w:lvl w:ilvl="8">
      <w:start w:val="1"/>
      <w:numFmt w:val="lowerRoman"/>
      <w:lvlText w:val="%9."/>
      <w:lvlJc w:val="left"/>
      <w:pPr>
        <w:tabs>
          <w:tab w:pos="2722" w:val="num"/>
        </w:tabs>
        <w:ind w:hanging="341" w:left="2722"/>
      </w:p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16cid:durableId="1960186688" w:numId="1">
    <w:abstractNumId w:val="0"/>
  </w:num>
  <w:num w16cid:durableId="1113095680" w:numId="2">
    <w:abstractNumId w:val="1"/>
  </w:num>
  <w:num w16cid:durableId="49814577" w:numId="3">
    <w:abstractNumId w:val="4"/>
  </w:num>
  <w:num w16cid:durableId="707340148" w:numId="4">
    <w:abstractNumId w:val="4"/>
  </w:num>
  <w:num w16cid:durableId="613367619" w:numId="5">
    <w:abstractNumId w:val="7"/>
  </w:num>
  <w:num w16cid:durableId="460072155" w:numId="6">
    <w:abstractNumId w:val="7"/>
  </w:num>
  <w:num w16cid:durableId="1824420802" w:numId="7">
    <w:abstractNumId w:val="3"/>
  </w:num>
  <w:num w16cid:durableId="679044104" w:numId="8">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1169833279" w:numId="9">
    <w:abstractNumId w:val="8"/>
  </w:num>
  <w:num w16cid:durableId="1579755437" w:numId="10">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632173230" w:numId="11">
    <w:abstractNumId w:val="6"/>
  </w:num>
  <w:num w16cid:durableId="1821381311" w:numId="12">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2068213398" w:numId="13">
    <w:abstractNumId w:val="2"/>
  </w:num>
  <w:num w16cid:durableId="1107194490" w:numId="14">
    <w:abstractNumId w:val="2"/>
  </w:num>
  <w:num w16cid:durableId="1330714144" w:numId="15">
    <w:abstractNumId w:val="5"/>
  </w:num>
  <w:num w16cid:durableId="1919435861" w:numId="16">
    <w:abstractNumId w:val="5"/>
    <w:lvlOverride w:ilvl="0">
      <w:startOverride w:val="1"/>
    </w:lvlOverride>
    <w:lvlOverride w:ilvl="1"/>
    <w:lvlOverride w:ilvl="2"/>
    <w:lvlOverride w:ilvl="3"/>
    <w:lvlOverride w:ilvl="4"/>
    <w:lvlOverride w:ilvl="5"/>
    <w:lvlOverride w:ilvl="6"/>
    <w:lvlOverride w:ilvl="7"/>
    <w:lvlOverride w:ilvl="8"/>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proofState w:grammar="clean" w:spelling="clean"/>
  <w:stylePaneFormatFilter w:val="0004"/>
  <w:footnotePr>
    <w:footnote w:id="-1"/>
    <w:footnote w:id="0"/>
  </w:footnotePr>
  <w:doNotTrackMoves/>
  <w:savePreviewPicture/>
  <w:rsids>
  </w:rsids>
  <w:clrSchemeMapping w:accent1="accent1" w:accent2="accent2" w:accent3="accent3" w:accent4="accent4" w:accent5="accent5" w:accent6="accent6" w:bg1="light1" w:bg2="light2" w:followedHyperlink="followedHyperlink" w:hyperlink="hyperlink" w:t1="dark1" w:t2="dark2"/>
  <w:zoom w:percent="119"/>
  <w:embedSystemFonts/>
  <w:defaultTabStop w:val="720"/>
  <w:drawingGridHorizontalSpacing w:val="360"/>
  <w:drawingGridVerticalSpacing w:val="360"/>
  <w:displayHorizontalDrawingGridEvery w:val="0"/>
  <w:displayVerticalDrawingGridEvery w:val="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m:mathPr>
    <m:mathFont m:val="Cambria Math"/>
    <m:brkBin m:val="before"/>
    <m:brkBinSub m:val="--"/>
    <m:smallFrac m:val="0"/>
    <m:dispDef/>
    <m:lMargin m:val="0"/>
    <m:rMargin m:val="0"/>
    <m:defJc m:val="centerGroup"/>
    <m:wrapIndent m:val="1440"/>
    <m:intLim m:val="subSup"/>
    <m:naryLim m:val="undOvr"/>
  </m:mathPr>
  <w:themeFontLang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376" w:defLockedState="0" w:defQFormat="0" w:defSemiHidden="0" w:defUIPriority="0" w:defUnhideWhenUsed="0">
    <w:lsdException w:name="caption" w:qFormat="1"/>
    <w:lsdException w:name="FollowedHyperlink" w:uiPriority="99"/>
    <w:lsdException w:name="Strong" w:qFormat="1" w:uiPriority="22"/>
    <w:lsdException w:name="Normal (Web)"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213079"/>
    <w:pPr>
      <w:spacing w:after="0"/>
    </w:pPr>
    <w:rPr>
      <w:rFonts w:ascii="Times New Roman" w:cs="Times New Roman" w:eastAsia="Times New Roman" w:hAnsi="Times New Roman"/>
      <w:lang w:eastAsia="en-US"/>
    </w:rPr>
  </w:style>
  <w:style w:styleId="Heading10"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semiHidden/>
    <w:unhideWhenUsed/>
    <w:qFormat/>
    <w:rsid w:val="00A10FD9"/>
    <w:pPr>
      <w:keepNext/>
      <w:keepLines/>
      <w:spacing w:before="40"/>
      <w:outlineLvl w:val="6"/>
    </w:pPr>
    <w:rPr>
      <w:rFonts w:cstheme="majorBidi" w:eastAsiaTheme="majorEastAsia"/>
      <w:color w:themeColor="text1" w:themeTint="A6" w:val="595959"/>
    </w:rPr>
  </w:style>
  <w:style w:styleId="Heading8" w:type="paragraph">
    <w:name w:val="heading 8"/>
    <w:basedOn w:val="Normal"/>
    <w:next w:val="BodyText"/>
    <w:link w:val="Heading8Char"/>
    <w:semiHidden/>
    <w:unhideWhenUsed/>
    <w:qFormat/>
    <w:rsid w:val="00A10FD9"/>
    <w:pPr>
      <w:keepNext/>
      <w:keepLines/>
      <w:outlineLvl w:val="7"/>
    </w:pPr>
    <w:rPr>
      <w:rFonts w:cstheme="majorBidi" w:eastAsiaTheme="majorEastAsia"/>
      <w:i/>
      <w:iCs/>
      <w:color w:themeColor="text1" w:themeTint="D8" w:val="272727"/>
    </w:rPr>
  </w:style>
  <w:style w:styleId="Heading9" w:type="paragraph">
    <w:name w:val="heading 9"/>
    <w:basedOn w:val="Normal"/>
    <w:next w:val="BodyText"/>
    <w:link w:val="Heading9Char"/>
    <w:semiHidden/>
    <w:unhideWhenUsed/>
    <w:qFormat/>
    <w:rsid w:val="00A10FD9"/>
    <w:pPr>
      <w:keepNext/>
      <w:keepLines/>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qFormat/>
  </w:style>
  <w:style w:customStyle="1" w:styleId="Heading1Char" w:type="character">
    <w:name w:val="Heading 1 Char"/>
    <w:basedOn w:val="DefaultParagraphFont"/>
    <w:link w:val="Heading10"/>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link w:val="FootnoteTextChar"/>
    <w:unhideWhenUsed/>
    <w:qFormat/>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tcPr>
        <w:tcBorders>
          <w:bottom w:color="auto" w:space="0" w:sz="0" w:val="single"/>
        </w:tcBorders>
        <w:vAlign w:val="bottom"/>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qFormat/>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link w:val="SourceCode"/>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156082"/>
    </w:rPr>
  </w:style>
  <w:style w:styleId="TOCHeading" w:type="paragraph">
    <w:name w:val="TOC Heading"/>
    <w:basedOn w:val="Heading10"/>
    <w:next w:val="BodyText"/>
    <w:uiPriority w:val="39"/>
    <w:unhideWhenUsed/>
    <w:qFormat/>
    <w:pPr>
      <w:spacing w:before="240" w:line="259" w:lineRule="auto"/>
      <w:outlineLvl w:val="9"/>
    </w:pPr>
  </w:style>
  <w:style w:customStyle="1" w:styleId="SourceCode" w:type="paragraph">
    <w:name w:val="Source Code"/>
    <w:basedOn w:val="Normal"/>
    <w:link w:val="VerbatimChar"/>
    <w:pPr>
      <w:wordWrap w:val="0"/>
    </w:pPr>
  </w:style>
  <w:style w:customStyle="1" w:styleId="KeywordTok" w:type="character">
    <w:name w:val="KeywordTok"/>
    <w:basedOn w:val="VerbatimChar"/>
    <w:rPr>
      <w:rFonts w:ascii="Consolas" w:hAnsi="Consolas"/>
      <w:b/>
      <w:color w:val="007020"/>
      <w:sz w:val="22"/>
    </w:rPr>
  </w:style>
  <w:style w:customStyle="1" w:styleId="DataTypeTok" w:type="character">
    <w:name w:val="DataTypeTok"/>
    <w:basedOn w:val="VerbatimChar"/>
    <w:rPr>
      <w:rFonts w:ascii="Consolas" w:hAnsi="Consolas"/>
      <w:color w:val="902000"/>
      <w:sz w:val="22"/>
    </w:rPr>
  </w:style>
  <w:style w:customStyle="1" w:styleId="DecValTok" w:type="character">
    <w:name w:val="DecValTok"/>
    <w:basedOn w:val="VerbatimChar"/>
    <w:rPr>
      <w:rFonts w:ascii="Consolas" w:hAnsi="Consolas"/>
      <w:color w:val="40A070"/>
      <w:sz w:val="22"/>
    </w:rPr>
  </w:style>
  <w:style w:customStyle="1" w:styleId="BaseNTok" w:type="character">
    <w:name w:val="BaseNTok"/>
    <w:basedOn w:val="VerbatimChar"/>
    <w:rPr>
      <w:rFonts w:ascii="Consolas" w:hAnsi="Consolas"/>
      <w:color w:val="40A070"/>
      <w:sz w:val="22"/>
    </w:rPr>
  </w:style>
  <w:style w:customStyle="1" w:styleId="FloatTok" w:type="character">
    <w:name w:val="FloatTok"/>
    <w:basedOn w:val="VerbatimChar"/>
    <w:rPr>
      <w:rFonts w:ascii="Consolas" w:hAnsi="Consolas"/>
      <w:color w:val="40A070"/>
      <w:sz w:val="22"/>
    </w:rPr>
  </w:style>
  <w:style w:customStyle="1" w:styleId="ConstantTok" w:type="character">
    <w:name w:val="ConstantTok"/>
    <w:basedOn w:val="VerbatimChar"/>
    <w:rPr>
      <w:rFonts w:ascii="Consolas" w:hAnsi="Consolas"/>
      <w:color w:val="880000"/>
      <w:sz w:val="22"/>
    </w:rPr>
  </w:style>
  <w:style w:customStyle="1" w:styleId="CharTok" w:type="character">
    <w:name w:val="CharTok"/>
    <w:basedOn w:val="VerbatimChar"/>
    <w:rPr>
      <w:rFonts w:ascii="Consolas" w:hAnsi="Consolas"/>
      <w:color w:val="4070A0"/>
      <w:sz w:val="22"/>
    </w:rPr>
  </w:style>
  <w:style w:customStyle="1" w:styleId="SpecialCharTok" w:type="character">
    <w:name w:val="SpecialCharTok"/>
    <w:basedOn w:val="VerbatimChar"/>
    <w:rPr>
      <w:rFonts w:ascii="Consolas" w:hAnsi="Consolas"/>
      <w:color w:val="4070A0"/>
      <w:sz w:val="22"/>
    </w:rPr>
  </w:style>
  <w:style w:customStyle="1" w:styleId="StringTok" w:type="character">
    <w:name w:val="StringTok"/>
    <w:basedOn w:val="VerbatimChar"/>
    <w:rPr>
      <w:rFonts w:ascii="Consolas" w:hAnsi="Consolas"/>
      <w:color w:val="4070A0"/>
      <w:sz w:val="22"/>
    </w:rPr>
  </w:style>
  <w:style w:customStyle="1" w:styleId="VerbatimStringTok" w:type="character">
    <w:name w:val="VerbatimStringTok"/>
    <w:basedOn w:val="VerbatimChar"/>
    <w:rPr>
      <w:rFonts w:ascii="Consolas" w:hAnsi="Consolas"/>
      <w:color w:val="4070A0"/>
      <w:sz w:val="22"/>
    </w:rPr>
  </w:style>
  <w:style w:customStyle="1" w:styleId="SpecialStringTok" w:type="character">
    <w:name w:val="SpecialStringTok"/>
    <w:basedOn w:val="VerbatimChar"/>
    <w:rPr>
      <w:rFonts w:ascii="Consolas" w:hAnsi="Consolas"/>
      <w:color w:val="BB6688"/>
      <w:sz w:val="22"/>
    </w:rPr>
  </w:style>
  <w:style w:customStyle="1" w:styleId="ImportTok" w:type="character">
    <w:name w:val="ImportTok"/>
    <w:basedOn w:val="VerbatimChar"/>
    <w:rPr>
      <w:rFonts w:ascii="Consolas" w:hAnsi="Consolas"/>
      <w:b/>
      <w:color w:val="008000"/>
      <w:sz w:val="22"/>
    </w:rPr>
  </w:style>
  <w:style w:customStyle="1" w:styleId="CommentTok" w:type="character">
    <w:name w:val="CommentTok"/>
    <w:basedOn w:val="VerbatimChar"/>
    <w:rPr>
      <w:rFonts w:ascii="Consolas" w:hAnsi="Consolas"/>
      <w:i/>
      <w:color w:val="60A0B0"/>
      <w:sz w:val="22"/>
    </w:rPr>
  </w:style>
  <w:style w:customStyle="1" w:styleId="DocumentationTok" w:type="character">
    <w:name w:val="DocumentationTok"/>
    <w:basedOn w:val="VerbatimChar"/>
    <w:rPr>
      <w:rFonts w:ascii="Consolas" w:hAnsi="Consolas"/>
      <w:i/>
      <w:color w:val="BA2121"/>
      <w:sz w:val="22"/>
    </w:rPr>
  </w:style>
  <w:style w:customStyle="1" w:styleId="AnnotationTok" w:type="character">
    <w:name w:val="AnnotationTok"/>
    <w:basedOn w:val="VerbatimChar"/>
    <w:rPr>
      <w:rFonts w:ascii="Consolas" w:hAnsi="Consolas"/>
      <w:b/>
      <w:i/>
      <w:color w:val="60A0B0"/>
      <w:sz w:val="22"/>
    </w:rPr>
  </w:style>
  <w:style w:customStyle="1" w:styleId="CommentVarTok" w:type="character">
    <w:name w:val="CommentVarTok"/>
    <w:basedOn w:val="VerbatimChar"/>
    <w:rPr>
      <w:rFonts w:ascii="Consolas" w:hAnsi="Consolas"/>
      <w:b/>
      <w:i/>
      <w:color w:val="60A0B0"/>
      <w:sz w:val="22"/>
    </w:rPr>
  </w:style>
  <w:style w:customStyle="1" w:styleId="OtherTok" w:type="character">
    <w:name w:val="OtherTok"/>
    <w:basedOn w:val="VerbatimChar"/>
    <w:rPr>
      <w:rFonts w:ascii="Consolas" w:hAnsi="Consolas"/>
      <w:color w:val="007020"/>
      <w:sz w:val="22"/>
    </w:rPr>
  </w:style>
  <w:style w:customStyle="1" w:styleId="FunctionTok" w:type="character">
    <w:name w:val="FunctionTok"/>
    <w:basedOn w:val="VerbatimChar"/>
    <w:rPr>
      <w:rFonts w:ascii="Consolas" w:hAnsi="Consolas"/>
      <w:color w:val="06287E"/>
      <w:sz w:val="22"/>
    </w:rPr>
  </w:style>
  <w:style w:customStyle="1" w:styleId="VariableTok" w:type="character">
    <w:name w:val="VariableTok"/>
    <w:basedOn w:val="VerbatimChar"/>
    <w:rPr>
      <w:rFonts w:ascii="Consolas" w:hAnsi="Consolas"/>
      <w:color w:val="19177C"/>
      <w:sz w:val="22"/>
    </w:rPr>
  </w:style>
  <w:style w:customStyle="1" w:styleId="ControlFlowTok" w:type="character">
    <w:name w:val="ControlFlowTok"/>
    <w:basedOn w:val="VerbatimChar"/>
    <w:rPr>
      <w:rFonts w:ascii="Consolas" w:hAnsi="Consolas"/>
      <w:b/>
      <w:color w:val="007020"/>
      <w:sz w:val="22"/>
    </w:rPr>
  </w:style>
  <w:style w:customStyle="1" w:styleId="OperatorTok" w:type="character">
    <w:name w:val="OperatorTok"/>
    <w:basedOn w:val="VerbatimChar"/>
    <w:rPr>
      <w:rFonts w:ascii="Consolas" w:hAnsi="Consolas"/>
      <w:color w:val="666666"/>
      <w:sz w:val="22"/>
    </w:rPr>
  </w:style>
  <w:style w:customStyle="1" w:styleId="BuiltInTok" w:type="character">
    <w:name w:val="BuiltInTok"/>
    <w:basedOn w:val="VerbatimChar"/>
    <w:rPr>
      <w:rFonts w:ascii="Consolas" w:hAnsi="Consolas"/>
      <w:color w:val="008000"/>
      <w:sz w:val="22"/>
    </w:rPr>
  </w:style>
  <w:style w:customStyle="1" w:styleId="ExtensionTok" w:type="character">
    <w:name w:val="ExtensionTok"/>
    <w:basedOn w:val="VerbatimChar"/>
    <w:rPr>
      <w:rFonts w:ascii="Consolas" w:hAnsi="Consolas"/>
      <w:sz w:val="22"/>
    </w:rPr>
  </w:style>
  <w:style w:customStyle="1" w:styleId="PreprocessorTok" w:type="character">
    <w:name w:val="PreprocessorTok"/>
    <w:basedOn w:val="VerbatimChar"/>
    <w:rPr>
      <w:rFonts w:ascii="Consolas" w:hAnsi="Consolas"/>
      <w:color w:val="BC7A00"/>
      <w:sz w:val="22"/>
    </w:rPr>
  </w:style>
  <w:style w:customStyle="1" w:styleId="AttributeTok" w:type="character">
    <w:name w:val="AttributeTok"/>
    <w:basedOn w:val="VerbatimChar"/>
    <w:rPr>
      <w:rFonts w:ascii="Consolas" w:hAnsi="Consolas"/>
      <w:color w:val="7D9029"/>
      <w:sz w:val="22"/>
    </w:rPr>
  </w:style>
  <w:style w:customStyle="1" w:styleId="RegionMarkerTok" w:type="character">
    <w:name w:val="RegionMarkerTok"/>
    <w:basedOn w:val="VerbatimChar"/>
    <w:rPr>
      <w:rFonts w:ascii="Consolas" w:hAnsi="Consolas"/>
      <w:sz w:val="22"/>
    </w:rPr>
  </w:style>
  <w:style w:customStyle="1" w:styleId="InformationTok" w:type="character">
    <w:name w:val="InformationTok"/>
    <w:basedOn w:val="VerbatimChar"/>
    <w:rPr>
      <w:rFonts w:ascii="Consolas" w:hAnsi="Consolas"/>
      <w:b/>
      <w:i/>
      <w:color w:val="60A0B0"/>
      <w:sz w:val="22"/>
    </w:rPr>
  </w:style>
  <w:style w:customStyle="1" w:styleId="WarningTok" w:type="character">
    <w:name w:val="WarningTok"/>
    <w:basedOn w:val="VerbatimChar"/>
    <w:rPr>
      <w:rFonts w:ascii="Consolas" w:hAnsi="Consolas"/>
      <w:b/>
      <w:i/>
      <w:color w:val="60A0B0"/>
      <w:sz w:val="22"/>
    </w:rPr>
  </w:style>
  <w:style w:customStyle="1" w:styleId="AlertTok" w:type="character">
    <w:name w:val="AlertTok"/>
    <w:basedOn w:val="VerbatimChar"/>
    <w:rPr>
      <w:rFonts w:ascii="Consolas" w:hAnsi="Consolas"/>
      <w:b/>
      <w:color w:val="FF0000"/>
      <w:sz w:val="22"/>
    </w:rPr>
  </w:style>
  <w:style w:customStyle="1" w:styleId="ErrorTok" w:type="character">
    <w:name w:val="ErrorTok"/>
    <w:basedOn w:val="VerbatimChar"/>
    <w:rPr>
      <w:rFonts w:ascii="Consolas" w:hAnsi="Consolas"/>
      <w:b/>
      <w:color w:val="FF0000"/>
      <w:sz w:val="22"/>
    </w:rPr>
  </w:style>
  <w:style w:customStyle="1" w:styleId="NormalTok" w:type="character">
    <w:name w:val="NormalTok"/>
    <w:basedOn w:val="VerbatimChar"/>
    <w:rPr>
      <w:rFonts w:ascii="Consolas" w:hAnsi="Consolas"/>
      <w:sz w:val="22"/>
    </w:rPr>
  </w:style>
  <w:style w:styleId="PlaceholderText" w:type="character">
    <w:name w:val="Placeholder Text"/>
    <w:basedOn w:val="DefaultParagraphFont"/>
    <w:rsid w:val="00823A33"/>
    <w:rPr>
      <w:color w:val="666666"/>
    </w:rPr>
  </w:style>
  <w:style w:styleId="TableGrid" w:type="table">
    <w:name w:val="Table Grid"/>
    <w:basedOn w:val="TableNormal"/>
    <w:rsid w:val="00DB4888"/>
    <w:pPr>
      <w:spacing w:after="0"/>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ListParagraph" w:type="paragraph">
    <w:name w:val="List Paragraph"/>
    <w:basedOn w:val="Normal"/>
    <w:rsid w:val="00C61BCE"/>
    <w:pPr>
      <w:ind w:left="720"/>
      <w:contextualSpacing/>
    </w:pPr>
  </w:style>
  <w:style w:styleId="Strong" w:type="character">
    <w:name w:val="Strong"/>
    <w:basedOn w:val="DefaultParagraphFont"/>
    <w:uiPriority w:val="22"/>
    <w:qFormat/>
    <w:rsid w:val="00A509CE"/>
    <w:rPr>
      <w:b/>
      <w:bCs/>
    </w:rPr>
  </w:style>
  <w:style w:styleId="NormalWeb" w:type="paragraph">
    <w:name w:val="Normal (Web)"/>
    <w:basedOn w:val="Normal"/>
    <w:uiPriority w:val="99"/>
    <w:unhideWhenUsed/>
    <w:rsid w:val="004D17B6"/>
    <w:pPr>
      <w:spacing w:after="100" w:afterAutospacing="1" w:before="100" w:beforeAutospacing="1"/>
    </w:pPr>
  </w:style>
  <w:style w:styleId="FollowedHyperlink" w:type="character">
    <w:name w:val="FollowedHyperlink"/>
    <w:basedOn w:val="DefaultParagraphFont"/>
    <w:uiPriority w:val="99"/>
    <w:unhideWhenUsed/>
    <w:rsid w:val="000019C6"/>
    <w:rPr>
      <w:color w:themeColor="followedHyperlink" w:val="96607D"/>
      <w:u w:val="single"/>
    </w:rPr>
  </w:style>
  <w:style w:customStyle="1" w:styleId="msonormal0" w:type="paragraph">
    <w:name w:val="msonormal"/>
    <w:basedOn w:val="Normal"/>
    <w:rsid w:val="000019C6"/>
    <w:pPr>
      <w:spacing w:after="100" w:afterAutospacing="1" w:before="100" w:beforeAutospacing="1"/>
    </w:pPr>
  </w:style>
  <w:style w:customStyle="1" w:styleId="FootnoteTextChar" w:type="character">
    <w:name w:val="Footnote Text Char"/>
    <w:basedOn w:val="DefaultParagraphFont"/>
    <w:link w:val="FootnoteText"/>
    <w:rsid w:val="000019C6"/>
    <w:rPr>
      <w:rFonts w:ascii="Times New Roman" w:cs="Times New Roman" w:eastAsia="Times New Roman" w:hAnsi="Times New Roman"/>
      <w:lang w:eastAsia="en-US"/>
    </w:rPr>
  </w:style>
  <w:style w:styleId="Header" w:type="paragraph">
    <w:name w:val="header"/>
    <w:basedOn w:val="Normal"/>
    <w:link w:val="HeaderChar"/>
    <w:unhideWhenUsed/>
    <w:rsid w:val="000019C6"/>
    <w:pPr>
      <w:tabs>
        <w:tab w:pos="4536" w:val="center"/>
        <w:tab w:pos="9072" w:val="right"/>
      </w:tabs>
      <w:overflowPunct w:val="0"/>
      <w:autoSpaceDE w:val="0"/>
      <w:spacing w:line="240" w:lineRule="atLeast"/>
      <w:jc w:val="both"/>
    </w:pPr>
    <w:rPr>
      <w:sz w:val="18"/>
      <w:szCs w:val="20"/>
      <w:lang w:eastAsia="zh-CN"/>
    </w:rPr>
  </w:style>
  <w:style w:customStyle="1" w:styleId="HeaderChar" w:type="character">
    <w:name w:val="Header Char"/>
    <w:basedOn w:val="DefaultParagraphFont"/>
    <w:link w:val="Header"/>
    <w:rsid w:val="000019C6"/>
    <w:rPr>
      <w:rFonts w:ascii="Times New Roman" w:cs="Times New Roman" w:eastAsia="Times New Roman" w:hAnsi="Times New Roman"/>
      <w:sz w:val="18"/>
      <w:szCs w:val="20"/>
    </w:rPr>
  </w:style>
  <w:style w:styleId="Footer" w:type="paragraph">
    <w:name w:val="footer"/>
    <w:basedOn w:val="Normal"/>
    <w:link w:val="FooterChar"/>
    <w:unhideWhenUsed/>
    <w:rsid w:val="000019C6"/>
    <w:pPr>
      <w:tabs>
        <w:tab w:pos="4536" w:val="center"/>
        <w:tab w:pos="9072" w:val="right"/>
      </w:tabs>
      <w:overflowPunct w:val="0"/>
      <w:autoSpaceDE w:val="0"/>
      <w:spacing w:line="240" w:lineRule="atLeast"/>
      <w:ind w:firstLine="227"/>
      <w:jc w:val="both"/>
    </w:pPr>
    <w:rPr>
      <w:sz w:val="20"/>
      <w:szCs w:val="20"/>
      <w:lang w:eastAsia="zh-CN"/>
    </w:rPr>
  </w:style>
  <w:style w:customStyle="1" w:styleId="FooterChar" w:type="character">
    <w:name w:val="Footer Char"/>
    <w:basedOn w:val="DefaultParagraphFont"/>
    <w:link w:val="Footer"/>
    <w:rsid w:val="000019C6"/>
    <w:rPr>
      <w:rFonts w:ascii="Times New Roman" w:cs="Times New Roman" w:eastAsia="Times New Roman" w:hAnsi="Times New Roman"/>
      <w:sz w:val="20"/>
      <w:szCs w:val="20"/>
    </w:rPr>
  </w:style>
  <w:style w:customStyle="1" w:styleId="BodyTextChar" w:type="character">
    <w:name w:val="Body Text Char"/>
    <w:basedOn w:val="DefaultParagraphFont"/>
    <w:link w:val="BodyText"/>
    <w:rsid w:val="000019C6"/>
    <w:rPr>
      <w:rFonts w:ascii="Times New Roman" w:cs="Times New Roman" w:eastAsia="Times New Roman" w:hAnsi="Times New Roman"/>
      <w:lang w:eastAsia="en-US"/>
    </w:rPr>
  </w:style>
  <w:style w:styleId="List" w:type="paragraph">
    <w:name w:val="List"/>
    <w:basedOn w:val="BodyText"/>
    <w:unhideWhenUsed/>
    <w:rsid w:val="000019C6"/>
    <w:pPr>
      <w:overflowPunct w:val="0"/>
      <w:autoSpaceDE w:val="0"/>
      <w:spacing w:after="140" w:before="0" w:line="276" w:lineRule="auto"/>
      <w:ind w:firstLine="227"/>
      <w:jc w:val="both"/>
    </w:pPr>
    <w:rPr>
      <w:rFonts w:cs="Noto Sans"/>
      <w:sz w:val="20"/>
      <w:szCs w:val="20"/>
      <w:lang w:eastAsia="zh-CN"/>
    </w:rPr>
  </w:style>
  <w:style w:customStyle="1" w:styleId="author0" w:type="paragraph">
    <w:name w:val="author"/>
    <w:basedOn w:val="Normal"/>
    <w:next w:val="address"/>
    <w:rsid w:val="000019C6"/>
    <w:pPr>
      <w:suppressAutoHyphens/>
      <w:overflowPunct w:val="0"/>
      <w:autoSpaceDE w:val="0"/>
      <w:spacing w:after="200" w:line="240" w:lineRule="atLeast"/>
      <w:jc w:val="center"/>
    </w:pPr>
    <w:rPr>
      <w:sz w:val="20"/>
      <w:szCs w:val="20"/>
      <w:lang w:eastAsia="zh-CN"/>
    </w:rPr>
  </w:style>
  <w:style w:customStyle="1" w:styleId="Heading" w:type="paragraph">
    <w:name w:val="Heading"/>
    <w:basedOn w:val="Normal"/>
    <w:next w:val="BodyText"/>
    <w:rsid w:val="000019C6"/>
    <w:pPr>
      <w:keepNext/>
      <w:overflowPunct w:val="0"/>
      <w:autoSpaceDE w:val="0"/>
      <w:spacing w:after="120" w:before="240" w:line="240" w:lineRule="atLeast"/>
      <w:ind w:firstLine="227"/>
      <w:jc w:val="both"/>
    </w:pPr>
    <w:rPr>
      <w:rFonts w:ascii="Liberation Sans" w:cs="Noto Sans" w:eastAsia="Linux Libertine G" w:hAnsi="Liberation Sans"/>
      <w:sz w:val="28"/>
      <w:szCs w:val="28"/>
      <w:lang w:eastAsia="zh-CN"/>
    </w:rPr>
  </w:style>
  <w:style w:customStyle="1" w:styleId="Index" w:type="paragraph">
    <w:name w:val="Index"/>
    <w:basedOn w:val="Normal"/>
    <w:rsid w:val="000019C6"/>
    <w:pPr>
      <w:suppressLineNumbers/>
      <w:overflowPunct w:val="0"/>
      <w:autoSpaceDE w:val="0"/>
      <w:spacing w:line="240" w:lineRule="atLeast"/>
      <w:ind w:firstLine="227"/>
      <w:jc w:val="both"/>
    </w:pPr>
    <w:rPr>
      <w:rFonts w:cs="Noto Sans"/>
      <w:sz w:val="20"/>
      <w:szCs w:val="20"/>
      <w:lang w:eastAsia="zh-CN"/>
    </w:rPr>
  </w:style>
  <w:style w:customStyle="1" w:styleId="abstract0" w:type="paragraph">
    <w:name w:val="abstract"/>
    <w:basedOn w:val="Normal"/>
    <w:rsid w:val="000019C6"/>
    <w:pPr>
      <w:overflowPunct w:val="0"/>
      <w:autoSpaceDE w:val="0"/>
      <w:spacing w:after="360" w:before="600" w:line="220" w:lineRule="atLeast"/>
      <w:ind w:left="567" w:right="567"/>
      <w:contextualSpacing/>
      <w:jc w:val="both"/>
    </w:pPr>
    <w:rPr>
      <w:sz w:val="18"/>
      <w:szCs w:val="20"/>
      <w:lang w:eastAsia="zh-CN"/>
    </w:rPr>
  </w:style>
  <w:style w:customStyle="1" w:styleId="address" w:type="paragraph">
    <w:name w:val="address"/>
    <w:basedOn w:val="Normal"/>
    <w:rsid w:val="000019C6"/>
    <w:pPr>
      <w:suppressAutoHyphens/>
      <w:overflowPunct w:val="0"/>
      <w:autoSpaceDE w:val="0"/>
      <w:spacing w:after="200" w:line="220" w:lineRule="atLeast"/>
      <w:contextualSpacing/>
      <w:jc w:val="center"/>
    </w:pPr>
    <w:rPr>
      <w:sz w:val="18"/>
      <w:szCs w:val="20"/>
      <w:lang w:eastAsia="zh-CN"/>
    </w:rPr>
  </w:style>
  <w:style w:customStyle="1" w:styleId="bulletitem" w:type="paragraph">
    <w:name w:val="bulletitem"/>
    <w:basedOn w:val="Normal"/>
    <w:rsid w:val="000019C6"/>
    <w:pPr>
      <w:numPr>
        <w:numId w:val="3"/>
      </w:numPr>
      <w:overflowPunct w:val="0"/>
      <w:autoSpaceDE w:val="0"/>
      <w:spacing w:after="160" w:before="160" w:line="240" w:lineRule="atLeast"/>
      <w:contextualSpacing/>
      <w:jc w:val="both"/>
    </w:pPr>
    <w:rPr>
      <w:sz w:val="20"/>
      <w:szCs w:val="20"/>
      <w:lang w:eastAsia="zh-CN"/>
    </w:rPr>
  </w:style>
  <w:style w:customStyle="1" w:styleId="dashitem" w:type="paragraph">
    <w:name w:val="dashitem"/>
    <w:basedOn w:val="Normal"/>
    <w:rsid w:val="000019C6"/>
    <w:pPr>
      <w:numPr>
        <w:numId w:val="5"/>
      </w:numPr>
      <w:overflowPunct w:val="0"/>
      <w:autoSpaceDE w:val="0"/>
      <w:spacing w:after="160" w:before="160" w:line="240" w:lineRule="atLeast"/>
      <w:contextualSpacing/>
      <w:jc w:val="both"/>
    </w:pPr>
    <w:rPr>
      <w:sz w:val="20"/>
      <w:szCs w:val="20"/>
      <w:lang w:eastAsia="zh-CN"/>
    </w:rPr>
  </w:style>
  <w:style w:customStyle="1" w:styleId="equation" w:type="paragraph">
    <w:name w:val="equation"/>
    <w:basedOn w:val="Normal"/>
    <w:next w:val="Normal"/>
    <w:rsid w:val="000019C6"/>
    <w:pPr>
      <w:tabs>
        <w:tab w:pos="3289" w:val="center"/>
        <w:tab w:pos="6917" w:val="right"/>
      </w:tabs>
      <w:overflowPunct w:val="0"/>
      <w:autoSpaceDE w:val="0"/>
      <w:spacing w:after="160" w:before="160" w:line="240" w:lineRule="atLeast"/>
      <w:jc w:val="both"/>
    </w:pPr>
    <w:rPr>
      <w:sz w:val="20"/>
      <w:szCs w:val="20"/>
      <w:lang w:eastAsia="zh-CN"/>
    </w:rPr>
  </w:style>
  <w:style w:customStyle="1" w:styleId="figurecaption" w:type="paragraph">
    <w:name w:val="figurecaption"/>
    <w:basedOn w:val="Normal"/>
    <w:next w:val="Normal"/>
    <w:rsid w:val="000019C6"/>
    <w:pPr>
      <w:keepLines/>
      <w:overflowPunct w:val="0"/>
      <w:autoSpaceDE w:val="0"/>
      <w:spacing w:after="240" w:before="120" w:line="220" w:lineRule="atLeast"/>
      <w:jc w:val="center"/>
    </w:pPr>
    <w:rPr>
      <w:sz w:val="18"/>
      <w:szCs w:val="20"/>
      <w:lang w:eastAsia="zh-CN"/>
    </w:rPr>
  </w:style>
  <w:style w:customStyle="1" w:styleId="p1a" w:type="paragraph">
    <w:name w:val="p1a"/>
    <w:basedOn w:val="Normal"/>
    <w:rsid w:val="000019C6"/>
    <w:pPr>
      <w:overflowPunct w:val="0"/>
      <w:autoSpaceDE w:val="0"/>
      <w:spacing w:line="240" w:lineRule="atLeast"/>
      <w:jc w:val="both"/>
    </w:pPr>
    <w:rPr>
      <w:sz w:val="20"/>
      <w:szCs w:val="20"/>
      <w:lang w:eastAsia="zh-CN"/>
    </w:rPr>
  </w:style>
  <w:style w:customStyle="1" w:styleId="heading1" w:type="paragraph">
    <w:name w:val="heading1"/>
    <w:basedOn w:val="Heading10"/>
    <w:next w:val="Normal"/>
    <w:rsid w:val="000019C6"/>
    <w:pPr>
      <w:numPr>
        <w:numId w:val="7"/>
      </w:numPr>
      <w:tabs>
        <w:tab w:pos="567" w:val="left"/>
      </w:tabs>
      <w:suppressAutoHyphens/>
      <w:overflowPunct w:val="0"/>
      <w:autoSpaceDE w:val="0"/>
      <w:spacing w:after="240" w:line="300" w:lineRule="atLeast"/>
      <w:outlineLvl w:val="9"/>
    </w:pPr>
    <w:rPr>
      <w:rFonts w:ascii="Times New Roman" w:cs="Times New Roman" w:eastAsia="Times New Roman" w:hAnsi="Times New Roman"/>
      <w:b/>
      <w:bCs/>
      <w:color w:val="auto"/>
      <w:sz w:val="24"/>
      <w:szCs w:val="20"/>
      <w:lang w:eastAsia="zh-CN"/>
    </w:rPr>
  </w:style>
  <w:style w:customStyle="1" w:styleId="heading20" w:type="paragraph">
    <w:name w:val="heading2"/>
    <w:basedOn w:val="Heading2"/>
    <w:next w:val="Normal"/>
    <w:rsid w:val="000019C6"/>
    <w:pPr>
      <w:tabs>
        <w:tab w:pos="567" w:val="num"/>
      </w:tabs>
      <w:suppressAutoHyphens/>
      <w:overflowPunct w:val="0"/>
      <w:autoSpaceDE w:val="0"/>
      <w:spacing w:after="160" w:before="360" w:line="240" w:lineRule="atLeast"/>
      <w:ind w:hanging="567" w:left="567"/>
      <w:jc w:val="both"/>
      <w:outlineLvl w:val="9"/>
    </w:pPr>
    <w:rPr>
      <w:rFonts w:ascii="Times New Roman" w:cs="Times New Roman" w:eastAsia="Times New Roman" w:hAnsi="Times New Roman"/>
      <w:b/>
      <w:bCs/>
      <w:iCs/>
      <w:color w:val="auto"/>
      <w:sz w:val="20"/>
      <w:szCs w:val="20"/>
      <w:lang w:eastAsia="zh-CN"/>
    </w:rPr>
  </w:style>
  <w:style w:customStyle="1" w:styleId="image" w:type="paragraph">
    <w:name w:val="image"/>
    <w:basedOn w:val="Normal"/>
    <w:next w:val="Normal"/>
    <w:rsid w:val="000019C6"/>
    <w:pPr>
      <w:overflowPunct w:val="0"/>
      <w:autoSpaceDE w:val="0"/>
      <w:spacing w:after="120" w:before="240" w:line="240" w:lineRule="atLeast"/>
      <w:jc w:val="center"/>
    </w:pPr>
    <w:rPr>
      <w:sz w:val="20"/>
      <w:szCs w:val="20"/>
      <w:lang w:eastAsia="zh-CN"/>
    </w:rPr>
  </w:style>
  <w:style w:customStyle="1" w:styleId="keywords" w:type="paragraph">
    <w:name w:val="keywords"/>
    <w:basedOn w:val="abstract0"/>
    <w:next w:val="heading1"/>
    <w:rsid w:val="000019C6"/>
    <w:pPr>
      <w:spacing w:before="220"/>
      <w:contextualSpacing w:val="0"/>
    </w:pPr>
  </w:style>
  <w:style w:customStyle="1" w:styleId="numitem" w:type="paragraph">
    <w:name w:val="numitem"/>
    <w:basedOn w:val="Normal"/>
    <w:rsid w:val="000019C6"/>
    <w:pPr>
      <w:numPr>
        <w:numId w:val="9"/>
      </w:numPr>
      <w:overflowPunct w:val="0"/>
      <w:autoSpaceDE w:val="0"/>
      <w:spacing w:after="160" w:before="160" w:line="240" w:lineRule="atLeast"/>
      <w:contextualSpacing/>
      <w:jc w:val="both"/>
    </w:pPr>
    <w:rPr>
      <w:sz w:val="20"/>
      <w:szCs w:val="20"/>
      <w:lang w:eastAsia="zh-CN"/>
    </w:rPr>
  </w:style>
  <w:style w:customStyle="1" w:styleId="programcode" w:type="paragraph">
    <w:name w:val="programcode"/>
    <w:basedOn w:val="Normal"/>
    <w:rsid w:val="000019C6"/>
    <w:pPr>
      <w:tabs>
        <w:tab w:pos="227" w:val="left"/>
        <w:tab w:pos="454" w:val="left"/>
        <w:tab w:pos="680" w:val="left"/>
        <w:tab w:pos="907" w:val="left"/>
        <w:tab w:pos="1134" w:val="left"/>
        <w:tab w:pos="1361" w:val="left"/>
        <w:tab w:pos="1588" w:val="left"/>
        <w:tab w:pos="1814" w:val="left"/>
        <w:tab w:pos="2041" w:val="left"/>
        <w:tab w:pos="2268" w:val="left"/>
        <w:tab w:pos="2495" w:val="left"/>
        <w:tab w:pos="2722" w:val="left"/>
        <w:tab w:pos="2948" w:val="left"/>
        <w:tab w:pos="3175" w:val="left"/>
        <w:tab w:pos="3402" w:val="left"/>
        <w:tab w:pos="3629" w:val="left"/>
        <w:tab w:pos="3856" w:val="left"/>
        <w:tab w:pos="4082" w:val="left"/>
        <w:tab w:pos="4309" w:val="left"/>
        <w:tab w:pos="4536" w:val="left"/>
        <w:tab w:pos="4763" w:val="left"/>
        <w:tab w:pos="4990" w:val="left"/>
        <w:tab w:pos="5216" w:val="left"/>
        <w:tab w:pos="5443" w:val="left"/>
        <w:tab w:pos="5670" w:val="left"/>
        <w:tab w:pos="5897" w:val="left"/>
        <w:tab w:pos="6124" w:val="left"/>
        <w:tab w:pos="6350" w:val="left"/>
        <w:tab w:pos="6577" w:val="left"/>
      </w:tabs>
      <w:overflowPunct w:val="0"/>
      <w:autoSpaceDE w:val="0"/>
      <w:spacing w:after="160" w:before="160" w:line="240" w:lineRule="atLeast"/>
      <w:contextualSpacing/>
    </w:pPr>
    <w:rPr>
      <w:rFonts w:ascii="Courier" w:cs="Courier" w:hAnsi="Courier"/>
      <w:sz w:val="20"/>
      <w:szCs w:val="20"/>
      <w:lang w:eastAsia="zh-CN"/>
    </w:rPr>
  </w:style>
  <w:style w:customStyle="1" w:styleId="referenceitem" w:type="paragraph">
    <w:name w:val="referenceitem"/>
    <w:basedOn w:val="Normal"/>
    <w:rsid w:val="000019C6"/>
    <w:pPr>
      <w:numPr>
        <w:numId w:val="11"/>
      </w:numPr>
      <w:tabs>
        <w:tab w:pos="341" w:val="left"/>
      </w:tabs>
      <w:overflowPunct w:val="0"/>
      <w:autoSpaceDE w:val="0"/>
      <w:spacing w:line="220" w:lineRule="atLeast"/>
      <w:jc w:val="both"/>
    </w:pPr>
    <w:rPr>
      <w:sz w:val="18"/>
      <w:szCs w:val="20"/>
      <w:lang w:eastAsia="zh-CN"/>
    </w:rPr>
  </w:style>
  <w:style w:customStyle="1" w:styleId="runninghead-left" w:type="paragraph">
    <w:name w:val="running head - left"/>
    <w:basedOn w:val="Normal"/>
    <w:rsid w:val="000019C6"/>
    <w:pPr>
      <w:overflowPunct w:val="0"/>
      <w:autoSpaceDE w:val="0"/>
      <w:spacing w:line="240" w:lineRule="atLeast"/>
    </w:pPr>
    <w:rPr>
      <w:sz w:val="18"/>
      <w:szCs w:val="18"/>
      <w:lang w:eastAsia="zh-CN"/>
    </w:rPr>
  </w:style>
  <w:style w:customStyle="1" w:styleId="runninghead-right" w:type="paragraph">
    <w:name w:val="running head - right"/>
    <w:basedOn w:val="Normal"/>
    <w:rsid w:val="000019C6"/>
    <w:pPr>
      <w:overflowPunct w:val="0"/>
      <w:autoSpaceDE w:val="0"/>
      <w:spacing w:line="240" w:lineRule="atLeast"/>
      <w:jc w:val="right"/>
    </w:pPr>
    <w:rPr>
      <w:bCs/>
      <w:sz w:val="18"/>
      <w:szCs w:val="18"/>
      <w:lang w:eastAsia="zh-CN"/>
    </w:rPr>
  </w:style>
  <w:style w:customStyle="1" w:styleId="tablecaption0" w:type="paragraph">
    <w:name w:val="tablecaption"/>
    <w:basedOn w:val="Normal"/>
    <w:next w:val="Normal"/>
    <w:rsid w:val="000019C6"/>
    <w:pPr>
      <w:keepNext/>
      <w:keepLines/>
      <w:overflowPunct w:val="0"/>
      <w:autoSpaceDE w:val="0"/>
      <w:spacing w:after="120" w:before="240" w:line="220" w:lineRule="atLeast"/>
      <w:jc w:val="center"/>
    </w:pPr>
    <w:rPr>
      <w:sz w:val="18"/>
      <w:szCs w:val="20"/>
      <w:lang w:eastAsia="zh-CN" w:val="de-DE"/>
    </w:rPr>
  </w:style>
  <w:style w:customStyle="1" w:styleId="HeaderandFooter" w:type="paragraph">
    <w:name w:val="Header and Footer"/>
    <w:basedOn w:val="Normal"/>
    <w:rsid w:val="000019C6"/>
    <w:pPr>
      <w:suppressLineNumbers/>
      <w:tabs>
        <w:tab w:pos="4986" w:val="center"/>
        <w:tab w:pos="9972" w:val="right"/>
      </w:tabs>
      <w:overflowPunct w:val="0"/>
      <w:autoSpaceDE w:val="0"/>
      <w:spacing w:line="240" w:lineRule="atLeast"/>
      <w:ind w:firstLine="227"/>
      <w:jc w:val="both"/>
    </w:pPr>
    <w:rPr>
      <w:sz w:val="20"/>
      <w:szCs w:val="20"/>
      <w:lang w:eastAsia="zh-CN"/>
    </w:rPr>
  </w:style>
  <w:style w:customStyle="1" w:styleId="Aufzhlungszeichen" w:type="paragraph">
    <w:name w:val="Aufzählungszeichen"/>
    <w:basedOn w:val="Normal"/>
    <w:rsid w:val="000019C6"/>
    <w:pPr>
      <w:numPr>
        <w:numId w:val="13"/>
      </w:numPr>
      <w:overflowPunct w:val="0"/>
      <w:autoSpaceDE w:val="0"/>
      <w:spacing w:after="120" w:before="120" w:line="240" w:lineRule="atLeast"/>
      <w:contextualSpacing/>
      <w:jc w:val="both"/>
    </w:pPr>
    <w:rPr>
      <w:sz w:val="20"/>
      <w:szCs w:val="20"/>
      <w:lang w:eastAsia="zh-CN"/>
    </w:rPr>
  </w:style>
  <w:style w:customStyle="1" w:styleId="Listennummer" w:type="paragraph">
    <w:name w:val="Listennummer"/>
    <w:basedOn w:val="Normal"/>
    <w:rsid w:val="000019C6"/>
    <w:pPr>
      <w:numPr>
        <w:numId w:val="15"/>
      </w:numPr>
      <w:overflowPunct w:val="0"/>
      <w:autoSpaceDE w:val="0"/>
      <w:spacing w:line="240" w:lineRule="atLeast"/>
      <w:jc w:val="both"/>
    </w:pPr>
    <w:rPr>
      <w:sz w:val="20"/>
      <w:szCs w:val="20"/>
      <w:lang w:eastAsia="zh-CN"/>
    </w:rPr>
  </w:style>
  <w:style w:customStyle="1" w:styleId="WW8Num1z0" w:type="character">
    <w:name w:val="WW8Num1z0"/>
    <w:rsid w:val="000019C6"/>
    <w:rPr>
      <w:rFonts w:ascii="Symbol" w:cs="Symbol" w:hAnsi="Symbol" w:hint="default"/>
    </w:rPr>
  </w:style>
  <w:style w:customStyle="1" w:styleId="WW8Num2z0" w:type="character">
    <w:name w:val="WW8Num2z0"/>
    <w:rsid w:val="000019C6"/>
    <w:rPr>
      <w:rFonts w:ascii="Symbol" w:cs="Symbol" w:hAnsi="Symbol" w:hint="default"/>
    </w:rPr>
  </w:style>
  <w:style w:customStyle="1" w:styleId="WW8Num3z0" w:type="character">
    <w:name w:val="WW8Num3z0"/>
    <w:rsid w:val="000019C6"/>
    <w:rPr>
      <w:rFonts w:ascii="Symbol" w:cs="Symbol" w:hAnsi="Symbol" w:hint="default"/>
    </w:rPr>
  </w:style>
  <w:style w:customStyle="1" w:styleId="WW8Num4z0" w:type="character">
    <w:name w:val="WW8Num4z0"/>
    <w:rsid w:val="000019C6"/>
    <w:rPr>
      <w:rFonts w:ascii="Symbol" w:cs="Symbol" w:hAnsi="Symbol" w:hint="default"/>
    </w:rPr>
  </w:style>
  <w:style w:customStyle="1" w:styleId="WW8Num5z0" w:type="character">
    <w:name w:val="WW8Num5z0"/>
    <w:rsid w:val="000019C6"/>
  </w:style>
  <w:style w:customStyle="1" w:styleId="WW8Num6z0" w:type="character">
    <w:name w:val="WW8Num6z0"/>
    <w:rsid w:val="000019C6"/>
    <w:rPr>
      <w:rFonts w:ascii="Symbol" w:cs="Symbol" w:hAnsi="Symbol" w:hint="default"/>
    </w:rPr>
  </w:style>
  <w:style w:customStyle="1" w:styleId="WW8Num7z0" w:type="character">
    <w:name w:val="WW8Num7z0"/>
    <w:rsid w:val="000019C6"/>
  </w:style>
  <w:style w:customStyle="1" w:styleId="WW8Num8z0" w:type="character">
    <w:name w:val="WW8Num8z0"/>
    <w:rsid w:val="000019C6"/>
    <w:rPr>
      <w:rFonts w:ascii="Symbol" w:cs="Symbol" w:hAnsi="Symbol" w:hint="default"/>
    </w:rPr>
  </w:style>
  <w:style w:customStyle="1" w:styleId="WW8Num8z1" w:type="character">
    <w:name w:val="WW8Num8z1"/>
    <w:rsid w:val="000019C6"/>
    <w:rPr>
      <w:rFonts w:ascii="Times New Roman" w:cs="Times New Roman" w:hAnsi="Times New Roman" w:hint="cs"/>
    </w:rPr>
  </w:style>
  <w:style w:customStyle="1" w:styleId="WW8Num8z2" w:type="character">
    <w:name w:val="WW8Num8z2"/>
    <w:rsid w:val="000019C6"/>
    <w:rPr>
      <w:rFonts w:ascii="Courier New" w:cs="Courier New" w:hAnsi="Courier New" w:hint="default"/>
    </w:rPr>
  </w:style>
  <w:style w:customStyle="1" w:styleId="WW8Num8z3" w:type="character">
    <w:name w:val="WW8Num8z3"/>
    <w:rsid w:val="000019C6"/>
    <w:rPr>
      <w:rFonts w:ascii="Wingdings" w:cs="Wingdings" w:hAnsi="Wingdings" w:hint="default"/>
    </w:rPr>
  </w:style>
  <w:style w:customStyle="1" w:styleId="WW8Num9z0" w:type="character">
    <w:name w:val="WW8Num9z0"/>
    <w:rsid w:val="000019C6"/>
    <w:rPr>
      <w:rFonts w:ascii="Times New Roman" w:cs="Times New Roman" w:hAnsi="Times New Roman" w:hint="cs"/>
    </w:rPr>
  </w:style>
  <w:style w:customStyle="1" w:styleId="WW8Num9z1" w:type="character">
    <w:name w:val="WW8Num9z1"/>
    <w:rsid w:val="000019C6"/>
    <w:rPr>
      <w:rFonts w:ascii="Symbol" w:cs="Symbol" w:hAnsi="Symbol" w:hint="default"/>
    </w:rPr>
  </w:style>
  <w:style w:customStyle="1" w:styleId="WW8Num10z0" w:type="character">
    <w:name w:val="WW8Num10z0"/>
    <w:rsid w:val="000019C6"/>
  </w:style>
  <w:style w:customStyle="1" w:styleId="WW8Num10z4" w:type="character">
    <w:name w:val="WW8Num10z4"/>
    <w:rsid w:val="000019C6"/>
    <w:rPr>
      <w:rFonts w:ascii="Times New Roman" w:cs="Times New Roman" w:hAnsi="Times New Roman" w:hint="cs"/>
      <w:b w:val="0"/>
      <w:bCs w:val="0"/>
      <w:i/>
      <w:iCs w:val="0"/>
      <w:sz w:val="20"/>
    </w:rPr>
  </w:style>
  <w:style w:customStyle="1" w:styleId="WW8Num11z0" w:type="character">
    <w:name w:val="WW8Num11z0"/>
    <w:rsid w:val="000019C6"/>
  </w:style>
  <w:style w:customStyle="1" w:styleId="WW8Num12z0" w:type="character">
    <w:name w:val="WW8Num12z0"/>
    <w:rsid w:val="000019C6"/>
  </w:style>
  <w:style w:customStyle="1" w:styleId="Absatz-Standardschriftart" w:type="character">
    <w:name w:val="Absatz-Standardschriftart"/>
    <w:rsid w:val="000019C6"/>
  </w:style>
  <w:style w:customStyle="1" w:styleId="e-mail" w:type="character">
    <w:name w:val="e-mail"/>
    <w:basedOn w:val="Absatz-Standardschriftart"/>
    <w:rsid w:val="000019C6"/>
    <w:rPr>
      <w:rFonts w:ascii="Courier" w:cs="Courier" w:hAnsi="Courier" w:hint="default"/>
      <w:spacing w:val="-6"/>
      <w:lang w:eastAsia="en-US" w:val="en-US"/>
    </w:rPr>
  </w:style>
  <w:style w:customStyle="1" w:styleId="FootnoteCharacters" w:type="character">
    <w:name w:val="Footnote Characters"/>
    <w:basedOn w:val="Absatz-Standardschriftart"/>
    <w:rsid w:val="000019C6"/>
    <w:rPr>
      <w:vertAlign w:val="superscript"/>
    </w:rPr>
  </w:style>
  <w:style w:customStyle="1" w:styleId="heading30" w:type="character">
    <w:name w:val="heading3"/>
    <w:basedOn w:val="Absatz-Standardschriftart"/>
    <w:rsid w:val="000019C6"/>
    <w:rPr>
      <w:b/>
      <w:bCs w:val="0"/>
    </w:rPr>
  </w:style>
  <w:style w:customStyle="1" w:styleId="heading40" w:type="character">
    <w:name w:val="heading4"/>
    <w:basedOn w:val="Absatz-Standardschriftart"/>
    <w:rsid w:val="000019C6"/>
    <w:rPr>
      <w:i/>
      <w:iCs w:val="0"/>
    </w:rPr>
  </w:style>
  <w:style w:customStyle="1" w:styleId="url" w:type="character">
    <w:name w:val="url"/>
    <w:basedOn w:val="Absatz-Standardschriftart"/>
    <w:rsid w:val="000019C6"/>
    <w:rPr>
      <w:rFonts w:ascii="Courier" w:cs="Courier" w:hAnsi="Courier" w:hint="default"/>
      <w:lang w:eastAsia="en-US" w:val="en-US"/>
    </w:rPr>
  </w:style>
  <w:style w:styleId="PageNumber" w:type="character">
    <w:name w:val="page number"/>
    <w:basedOn w:val="Absatz-Standardschriftart"/>
    <w:unhideWhenUsed/>
    <w:rsid w:val="000019C6"/>
    <w:rPr>
      <w:sz w:val="18"/>
    </w:rPr>
  </w:style>
  <w:style w:styleId="Revision" w:type="paragraph">
    <w:name w:val="Revision"/>
    <w:hidden/>
    <w:rsid w:val="000F1FDE"/>
    <w:pPr>
      <w:spacing w:after="0"/>
    </w:pPr>
    <w:rPr>
      <w:rFonts w:ascii="Times New Roman" w:cs="Times New Roman" w:eastAsia="Times New Roman" w:hAnsi="Times New Roman"/>
      <w:lang w:eastAsia="en-US"/>
    </w:rPr>
  </w:style>
  <w:style w:styleId="CommentReference" w:type="character">
    <w:name w:val="annotation reference"/>
    <w:basedOn w:val="DefaultParagraphFont"/>
    <w:rsid w:val="00522B79"/>
    <w:rPr>
      <w:sz w:val="16"/>
      <w:szCs w:val="16"/>
    </w:rPr>
  </w:style>
  <w:style w:styleId="CommentText" w:type="paragraph">
    <w:name w:val="annotation text"/>
    <w:basedOn w:val="Normal"/>
    <w:link w:val="CommentTextChar"/>
    <w:rsid w:val="00522B79"/>
    <w:rPr>
      <w:sz w:val="20"/>
      <w:szCs w:val="20"/>
    </w:rPr>
  </w:style>
  <w:style w:customStyle="1" w:styleId="CommentTextChar" w:type="character">
    <w:name w:val="Comment Text Char"/>
    <w:basedOn w:val="DefaultParagraphFont"/>
    <w:link w:val="CommentText"/>
    <w:rsid w:val="00522B79"/>
    <w:rPr>
      <w:rFonts w:ascii="Times New Roman" w:cs="Times New Roman" w:eastAsia="Times New Roman" w:hAnsi="Times New Roman"/>
      <w:sz w:val="20"/>
      <w:szCs w:val="20"/>
      <w:lang w:eastAsia="en-US"/>
    </w:rPr>
  </w:style>
  <w:style w:styleId="CommentSubject" w:type="paragraph">
    <w:name w:val="annotation subject"/>
    <w:basedOn w:val="CommentText"/>
    <w:next w:val="CommentText"/>
    <w:link w:val="CommentSubjectChar"/>
    <w:rsid w:val="00522B79"/>
    <w:rPr>
      <w:b/>
      <w:bCs/>
    </w:rPr>
  </w:style>
  <w:style w:customStyle="1" w:styleId="CommentSubjectChar" w:type="character">
    <w:name w:val="Comment Subject Char"/>
    <w:basedOn w:val="CommentTextChar"/>
    <w:link w:val="CommentSubject"/>
    <w:rsid w:val="00522B79"/>
    <w:rPr>
      <w:rFonts w:ascii="Times New Roman" w:cs="Times New Roman" w:eastAsia="Times New Roman" w:hAnsi="Times New Roman"/>
      <w:b/>
      <w:bCs/>
      <w:sz w:val="20"/>
      <w:szCs w:val="20"/>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23" Target="media/rId23.png" /><Relationship Type="http://schemas.openxmlformats.org/officeDocument/2006/relationships/image" Id="rId26" Target="media/rId26.png" /><Relationship Type="http://schemas.openxmlformats.org/officeDocument/2006/relationships/image" Id="rId29" Target="media/rId29.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TotalTime>
  <Pages>25</Pages>
  <Words>10180</Words>
  <Characters>58026</Characters>
  <Application>Microsoft Office Word</Application>
  <DocSecurity>0</DocSecurity>
  <Lines>483</Lines>
  <Paragraphs>136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68070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2026-10-10T13:37:34Z</dcterms:created>
  <dcterms:modified xsi:type="dcterms:W3CDTF">2026-10-10T13:37:34Z</dcterms:modified>
</cp:coreProperties>
</file>

<file path=docProps/custom.xml><?xml version="1.0" encoding="utf-8"?>
<Properties xmlns="http://schemas.openxmlformats.org/officeDocument/2006/custom-properties" xmlns:vt="http://schemas.openxmlformats.org/officeDocument/2006/docPropsVTypes"/>
</file>