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p1a"/>
        <w:spacing w:before="0" w:after="120" w:line="300" w:lineRule="auto"/>
        <w:jc w:val="both"/>
      </w:pPr>
      <w:r>
        <w:rPr>
          <w:rFonts w:ascii="Times New Roman" w:hAnsi="Times New Roman" w:cs="Times New Roman" w:eastAsia="Times New Roman"/>
          <w:sz w:val="24"/>
          <w:szCs w:val="24"/>
        </w:rPr>
        <w:t xml:space="preserve">Nguyen Thanh Binh</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Nguyen Van Trung</w:t>
      </w:r>
      <w:r>
        <w:rPr>
          <w:rFonts w:ascii="Times New Roman" w:hAnsi="Times New Roman" w:cs="Times New Roman" w:eastAsia="Times New Roman"/>
          <w:vertAlign w:val="superscript"/>
          <w:sz w:val="24"/>
          <w:szCs w:val="24"/>
        </w:rPr>
        <w:t xml:space="preserve">a,*</w:t>
      </w:r>
      <w:r>
        <w:rPr>
          <w:rFonts w:ascii="Times New Roman" w:hAnsi="Times New Roman" w:cs="Times New Roman" w:eastAsia="Times New Roman"/>
          <w:sz w:val="24"/>
          <w:szCs w:val="24"/>
        </w:rPr>
        <w:t xml:space="preserve">, Ha Hong Hanh</w:t>
      </w:r>
      <w:r>
        <w:rPr>
          <w:rFonts w:ascii="Times New Roman" w:hAnsi="Times New Roman" w:cs="Times New Roman" w:eastAsia="Times New Roman"/>
          <w:vertAlign w:val="superscript"/>
          <w:sz w:val="24"/>
          <w:szCs w:val="24"/>
        </w:rPr>
        <w:t xml:space="preserve">b</w:t>
      </w:r>
      <w:r>
        <w:rPr>
          <w:rFonts w:ascii="Times New Roman" w:hAnsi="Times New Roman" w:cs="Times New Roman" w:eastAsia="Times New Roman"/>
          <w:sz w:val="24"/>
          <w:szCs w:val="24"/>
        </w:rPr>
        <w:t xml:space="preserve">, Nguyen Bach Diep</w:t>
      </w:r>
      <w:r>
        <w:rPr>
          <w:rFonts w:ascii="Times New Roman" w:hAnsi="Times New Roman" w:cs="Times New Roman" w:eastAsia="Times New Roman"/>
          <w:vertAlign w:val="superscript"/>
          <w:sz w:val="24"/>
          <w:szCs w:val="24"/>
        </w:rPr>
        <w:t xml:space="preserve">a</w:t>
      </w:r>
    </w:p>
    <w:p>
      <w:pPr>
        <w:pStyle w:val="Compact"/>
      </w:pPr>
      <w:r>
        <w:rPr>
          <w:vertAlign w:val="superscript"/>
          <w:sz w:val="20"/>
          <w:szCs w:val="20"/>
        </w:rPr>
        <w:t xml:space="preserve">a</w:t>
      </w:r>
      <w:r>
        <w:rPr>
          <w:sz w:val="20"/>
          <w:szCs w:val="20"/>
        </w:rPr>
        <w:t xml:space="preserve"> </w:t>
      </w:r>
      <w:r>
        <w:rPr>
          <w:sz w:val="20"/>
          <w:szCs w:val="20"/>
        </w:rPr>
        <w:t xml:space="preserve">Academy of Policy and Development, Nam An Khanh Urban Area, Hoai Duc District, Hanoi, Vietnam</w:t>
      </w:r>
    </w:p>
    <w:p>
      <w:pPr>
        <w:pStyle w:val="Compact"/>
      </w:pPr>
      <w:r>
        <w:rPr>
          <w:vertAlign w:val="superscript"/>
          <w:sz w:val="20"/>
          <w:szCs w:val="20"/>
        </w:rPr>
        <w:t xml:space="preserve">b</w:t>
      </w:r>
      <w:r>
        <w:rPr>
          <w:sz w:val="20"/>
          <w:szCs w:val="20"/>
        </w:rPr>
        <w:t xml:space="preserve"> </w:t>
      </w:r>
      <w:r>
        <w:rPr>
          <w:sz w:val="20"/>
          <w:szCs w:val="20"/>
        </w:rPr>
        <w:t xml:space="preserve">School of Accounting and Auditing, National Economics University, Hanoi, Vietnam</w:t>
      </w:r>
    </w:p>
    <w:p>
      <w:pPr>
        <w:pStyle w:val="Compact"/>
      </w:pPr>
      <w:r>
        <w:rPr>
          <w:sz w:val="20"/>
          <w:szCs w:val="20"/>
        </w:rPr>
        <w:t xml:space="preserve">* Corresponding author: Nguyen Van Trung, Academy of Policy and Development, Hanoi, Vietnam. Email: 15233582@st.neu.edu.vn. Tel: +84 355 347 831.</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In nested index systems, these correlations have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Read as a measure of how mid caps move with large caps, this number mixes economic linkage with the double counting of VN30 stocks on both sides. Holdings-based risk models avoid the problem; users of index-level data cannot. Index-level co-movement is easy to misread even without overlap (Chen et al. 2016). The arithmetic is old (Pearson 1897; Cureton 1966), but no version exists for the detrended, scale-dependent coefficients of the detrended cross-correlation analysis (DCCA) literature. That literature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We report three main findings. The VN30–VN100 coefficient responds to the purged coefficient with a sensitivity of 0.106–0.112, and the like-for-like gap between nested and purged coefficients is 0.099–0.104. Because κ hardly varies with the timescale (0.47–0.52), the Pearson version gives the same answer. Horizon dependence is confined to intraday broad-market pairs and comes from the auction bars. Crisis evidence depends on whether contagion is measured by an adjusted correlation or a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 2 reviews the literature and states the hypotheses. 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 We review what each establishes and leaves open, then state the gap, estimands and hypotheses.</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the correlation of an item with the total score that contains it, and Cureton (1966) gave a standard correction. Both results are static Pearson identities; neither measures the component at different timescales or attaches sampling uncertainty to it.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 studies use the coefficient to track contagion (Okorie and Lin 2021; Tilfani et al. 2021) or information flow (Zhou et al. 2025) and build scale-aware portfolios (Wang et al. 2021; Kakinaka et al. 2025). These studies treat the coefficient as a measure of economic dependence between disjoint assets. None of them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Membership-based co-movement is therefore a weak guide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an effect whose size depends on the sampling scheme (Chang et al. 2021), and gradual diffusion (Hong and Stein 1999) lets co-movement build with the horizon. On the HOSE, small-firm liquidity fell after a market surveillance system was introduced (Chen et al. 2021), and price adjustment is delayed under retail-heavy trading (Tran and Tran 2025). Three forces raise all correlations at once: herding in stress (Nguyen et al. 2023), sector connectedness above 60% that rose to near 90% during COVID-19 (Bui et al. 2022) and nonlinear regional dependence (Le et al. 2025).</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 No study applies volatility-robust tests to tiers of one market whose indices overlap.</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that matter here.</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coefficient is largely masked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DCCA: detrended cross-correlation analysis; MF-DCCA: multifractal DCCA;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For this review, we searched Google Scholar and publisher databases for 2021–2026, plus the classical sources these works cite. Search strings combined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detrended cross-correlation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overlap</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nested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constituent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together 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part–whole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item–total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contagion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Forbes–Rigobon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heteroskedasticity</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Vietnam</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co-movement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stock 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 A share above one half is not a finding: it holds whenever κ &lt; √3 and the purged coefficient is non-negative.</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at every frequency, the lower 95% bound of the like-for-like gap exceeds 0.05, the estimation tolerance of Section 4.4; the gap is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Six features of the HOSE matter here. 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Short selling is restricted. Circular 120/2020/TT-BTC (Ministry of Finance of Vietnam 2020) provides a framework for covered short sales that, to our knowledge, had not been implemented,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cannot be shorted or hedged with a dedicated derivative. Finally,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synthetic shadow series: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because we cannot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series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factsheet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overlap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934"/>
        <w:gridCol w:w="3099"/>
        <w:gridCol w:w="3327"/>
      </w:tblGrid>
      <w:tr>
        <w:trPr>
          <w:tblHeader w:val="true"/>
        </w:trPr>
        <w:tc>
          <w:tcPr>
            <w:tcW w:w="2934" w:type="dxa"/>
          </w:tcPr>
          <w:p>
            <w:pPr>
              <w:spacing w:before="0" w:after="0" w:line="240" w:lineRule="auto"/>
              <w:jc w:val="left"/>
            </w:pPr>
            <w:r>
              <w:rPr>
                <w:sz w:val="20"/>
                <w:szCs w:val="20"/>
              </w:rPr>
              <w:t xml:space="preserve">Step</w:t>
            </w:r>
          </w:p>
        </w:tc>
        <w:tc>
          <w:tcPr>
            <w:tcW w:w="3099" w:type="dxa"/>
          </w:tcPr>
          <w:p>
            <w:pPr>
              <w:spacing w:before="0" w:after="0" w:line="240" w:lineRule="auto"/>
              <w:jc w:val="left"/>
            </w:pPr>
            <w:r>
              <w:rPr>
                <w:sz w:val="20"/>
                <w:szCs w:val="20"/>
              </w:rPr>
              <w:t xml:space="preserve">Computation</w:t>
            </w:r>
          </w:p>
        </w:tc>
        <w:tc>
          <w:tcPr>
            <w:tcW w:w="3327" w:type="dxa"/>
          </w:tcPr>
          <w:p>
            <w:pPr>
              <w:spacing w:before="0" w:after="0" w:line="240" w:lineRule="auto"/>
              <w:jc w:val="left"/>
            </w:pPr>
            <w:r>
              <w:rPr>
                <w:sz w:val="20"/>
                <w:szCs w:val="20"/>
              </w:rPr>
              <w:t xml:space="preserve">VN30 in VN100, daily</w:t>
            </w:r>
          </w:p>
        </w:tc>
      </w:tr>
      <w:tr>
        <w:tc>
          <w:tcPr>
            <w:tcW w:w="2934" w:type="dxa"/>
          </w:tcPr>
          <w:p>
            <w:pPr>
              <w:spacing w:before="0" w:after="0" w:line="240" w:lineRule="auto"/>
              <w:jc w:val="left"/>
            </w:pPr>
            <w:r>
              <w:rPr>
                <w:sz w:val="20"/>
                <w:szCs w:val="20"/>
              </w:rPr>
              <w:t xml:space="preserve">1. Inputs</w:t>
            </w:r>
          </w:p>
        </w:tc>
        <w:tc>
          <w:tcPr>
            <w:tcW w:w="309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327"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934" w:type="dxa"/>
          </w:tcPr>
          <w:p>
            <w:pPr>
              <w:spacing w:before="0" w:after="0" w:line="240" w:lineRule="auto"/>
              <w:jc w:val="left"/>
            </w:pPr>
            <w:r>
              <w:rPr>
                <w:sz w:val="20"/>
                <w:szCs w:val="20"/>
              </w:rPr>
              <w:t xml:space="preserve">2. Volatility of remaining constituents</w:t>
            </w:r>
          </w:p>
        </w:tc>
        <w:tc>
          <w:tcPr>
            <w:tcW w:w="309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327"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934" w:type="dxa"/>
          </w:tcPr>
          <w:p>
            <w:pPr>
              <w:spacing w:before="0" w:after="0" w:line="240" w:lineRule="auto"/>
              <w:jc w:val="left"/>
            </w:pPr>
            <w:r>
              <w:rPr>
                <w:sz w:val="20"/>
                <w:szCs w:val="20"/>
              </w:rPr>
              <w:t xml:space="preserve">3. Relative amplitude</w:t>
            </w:r>
          </w:p>
        </w:tc>
        <w:tc>
          <w:tcPr>
            <w:tcW w:w="309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327" w:type="dxa"/>
          </w:tcPr>
          <w:p>
            <w:pPr>
              <w:spacing w:before="0" w:after="0" w:line="240" w:lineRule="auto"/>
              <w:jc w:val="left"/>
            </w:pPr>
            <w:r>
              <w:rPr>
                <w:sz w:val="20"/>
                <w:szCs w:val="20"/>
              </w:rPr>
              <w:t xml:space="preserve">κ = 0.475</w:t>
            </w:r>
          </w:p>
        </w:tc>
      </w:tr>
      <w:tr>
        <w:tc>
          <w:tcPr>
            <w:tcW w:w="2934" w:type="dxa"/>
          </w:tcPr>
          <w:p>
            <w:pPr>
              <w:spacing w:before="0" w:after="0" w:line="240" w:lineRule="auto"/>
              <w:jc w:val="left"/>
            </w:pPr>
            <w:r>
              <w:rPr>
                <w:sz w:val="20"/>
                <w:szCs w:val="20"/>
              </w:rPr>
              <w:t xml:space="preserve">4. Benchmark and bound</w:t>
            </w:r>
          </w:p>
        </w:tc>
        <w:tc>
          <w:tcPr>
            <w:tcW w:w="309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327" w:type="dxa"/>
          </w:tcPr>
          <w:p>
            <w:pPr>
              <w:spacing w:before="0" w:after="0" w:line="240" w:lineRule="auto"/>
              <w:jc w:val="left"/>
            </w:pPr>
            <w:r>
              <w:rPr>
                <w:sz w:val="20"/>
                <w:szCs w:val="20"/>
              </w:rPr>
              <w:t xml:space="preserve">ρ̲ = 0.903; bound 0.880</w:t>
            </w:r>
          </w:p>
        </w:tc>
      </w:tr>
      <w:tr>
        <w:tc>
          <w:tcPr>
            <w:tcW w:w="2934" w:type="dxa"/>
          </w:tcPr>
          <w:p>
            <w:pPr>
              <w:spacing w:before="0" w:after="0" w:line="240" w:lineRule="auto"/>
              <w:jc w:val="left"/>
            </w:pPr>
            <w:r>
              <w:rPr>
                <w:sz w:val="20"/>
                <w:szCs w:val="20"/>
              </w:rPr>
              <w:t xml:space="preserve">5. Purged coefficient</w:t>
            </w:r>
          </w:p>
        </w:tc>
        <w:tc>
          <w:tcPr>
            <w:tcW w:w="309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327"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934" w:type="dxa"/>
          </w:tcPr>
          <w:p>
            <w:pPr>
              <w:spacing w:before="0" w:after="0" w:line="240" w:lineRule="auto"/>
              <w:jc w:val="left"/>
            </w:pPr>
            <w:r>
              <w:rPr>
                <w:sz w:val="20"/>
                <w:szCs w:val="20"/>
              </w:rPr>
              <w:t xml:space="preserve">6. Sensitivity</w:t>
            </w:r>
          </w:p>
        </w:tc>
        <w:tc>
          <w:tcPr>
            <w:tcW w:w="3099" w:type="dxa"/>
          </w:tcPr>
          <w:p>
            <w:pPr>
              <w:spacing w:before="0" w:after="0" w:line="240" w:lineRule="auto"/>
              <w:jc w:val="left"/>
            </w:pPr>
            <w:r>
              <w:rPr>
                <w:sz w:val="20"/>
                <w:szCs w:val="20"/>
              </w:rPr>
              <w:t xml:space="preserve">Eq. (10)</w:t>
            </w:r>
          </w:p>
        </w:tc>
        <w:tc>
          <w:tcPr>
            <w:tcW w:w="3327"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overlap-purged series P</w:t>
      </w:r>
      <w:r>
        <w:rPr>
          <w:vertAlign w:val="subscript"/>
          <w:sz w:val="20"/>
          <w:szCs w:val="20"/>
        </w:rPr>
        <w:t xml:space="preserve">cap</w:t>
      </w:r>
      <w:r>
        <w:rPr>
          <w:sz w:val="20"/>
          <w:szCs w:val="20"/>
        </w:rPr>
        <w:t xml:space="preserve"> </w:t>
      </w:r>
      <w:r>
        <w:rPr>
          <w:sz w:val="20"/>
          <w:szCs w:val="20"/>
        </w:rPr>
        <w:t xml:space="preserve">exactly; subscripts A, B and M: child, parent and remaining constituents.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an interval around the factsheet weight that allows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heteroskedasticity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Coefficients at different scales come from the same series, so for all inference we resample the data with the stationary block bootstrap (Politis and Romano 1994) with mean blocks of about 20 trading days and recompute every curve and statistic in each replicate. We use 499 replicates for the DCCA statistics of Tables 4–6 and for the decomposition, hedge-effectiveness and tail-dependence statistics; 399 for the like-for-like gap under weight uncertainty; 199 for the trimmed-bar checks of Section 5.4 and Tables S7 and S15 and the 30-minute block-length checks of Table S6; and 999 for the factor-model, lead–lag and materiality (Table S14) statistics and for the Forbes–Rigobon tests under VN30 quartiles, across weights and with 2021 added. The remaining Forbes–Rigobon and relative-error statistics use 1,999 replicates.</w:t>
      </w:r>
    </w:p>
    <w:p>
      <w:pPr>
        <w:pStyle w:val="BodyText"/>
        <w:spacing w:before="0" w:after="120" w:line="300" w:lineRule="auto"/>
        <w:jc w:val="both"/>
      </w:pPr>
      <w:r>
        <w:rPr>
          <w:rFonts w:ascii="Times New Roman" w:hAnsi="Times New Roman" w:cs="Times New Roman" w:eastAsia="Times New Roman"/>
          <w:sz w:val="24"/>
          <w:szCs w:val="24"/>
        </w:rPr>
        <w:t xml:space="preserve">Intervals are percentile 95% intervals, capped at ±1 for correlations. With B = 499 replicates, percentile p-values cannot fall below 0.004 (reported as p &lt; 0.005): p = 2 min{k₋ + 1, k₊ + 1}/(B + 1), where k₋ and k₊ count replicates at or below and at or above zero.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H2.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 sense of Corsetti et al. (2005),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 (RE)</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We obtain intervals by resampling the full sample jointly and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has the highest daily standard deviation (0.0124) and VNINDEX the lowest (0.0115). 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DCCA: detrended cross-correlation analysis;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(generalized autoregressive conditional heteroskedasticity).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the nested pairs and the overlap-purged pair</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P</w:t>
      </w:r>
      <w:r>
        <w:rPr>
          <w:vertAlign w:val="subscript"/>
          <w:sz w:val="20"/>
          <w:szCs w:val="20"/>
        </w:rPr>
        <w:t xml:space="preserve">cap</w:t>
      </w:r>
      <w:r>
        <w:rPr>
          <w:sz w:val="20"/>
          <w:szCs w:val="20"/>
        </w:rPr>
        <w:t xml:space="preserve">: overlap-purged mid-cap series;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tolerance at every frequency, so H1 is supported. The three-pair gap is 0.086–0.096, with Cohen’s q (Cohen 1988) of 0.78–0.89; it also uses the broad-market pairs, which cannot be purged by weight. We report q descriptively because both coefficients come from the same sample. Overlap thus inflates co-movement that is already strong.</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H1 holds under weight uncertainty. The size of the gap, however,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P</w:t>
      </w:r>
      <w:r>
        <w:rPr>
          <w:vertAlign w:val="subscript"/>
          <w:sz w:val="20"/>
          <w:szCs w:val="20"/>
        </w:rPr>
        <w:t xml:space="preserve">cap</w:t>
      </w:r>
      <w:r>
        <w:rPr>
          <w:sz w:val="20"/>
          <w:szCs w:val="20"/>
        </w:rPr>
        <w:t xml:space="preserve">: overlap-purged mid-cap series;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w:t>
      </w:r>
      <w:r>
        <w:rPr>
          <w:sz w:val="20"/>
          <w:szCs w:val="20"/>
        </w:rPr>
        <w:t xml:space="preserve">(overlap-purged mid-cap series). Brackets: block-bootstrap 95% intervals; Panel B covers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about 0.09. Under weight uncertainty, the sensitivity interval is 0.07–0.17. With κ of 0.48–0.50, the remaining 32% of VN100 contributes about half as much detrended variation as VN30, which puts the benchmark at 0.893–0.900 and the lower bound of Eq. (9) at 0.864–0.875. No purged coefficient in [−1, 1] could push the VN30–VN100 coefficient below about 0.86.</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contours show the Pearson benchmark by child weight and relative volatility of the remaining constituents, and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 Even a child weight of 0.5 with equal volatilities gives a benchmark of about 0.7.</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lists reliable-range slopes for the four main pairs with bootstrap, studentized and adjusted p-values.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H2 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P</w:t>
      </w:r>
      <w:r>
        <w:rPr>
          <w:vertAlign w:val="subscript"/>
          <w:sz w:val="20"/>
          <w:szCs w:val="20"/>
        </w:rPr>
        <w:t xml:space="preserve">cap</w:t>
      </w:r>
      <w:r>
        <w:rPr>
          <w:sz w:val="20"/>
          <w:szCs w:val="20"/>
        </w:rPr>
        <w:t xml:space="preserve">: overlap-purged mid-cap series.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the M30 and H1 frequencies. In the H2 family, four slopes survive Holm adjustment (VN100–VNINDEX at H1; VN30–VNINDEX at H1; VN100–VNINDEX at M30; VN30–VNINDEX at M30), with estimates of 0.0019–0.0024, a rise of about 0.01 across the reliable range. None is significant at 1D or H4; with significant positive slopes at both frequencies the rule requires, H2 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(the sensitivity)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 a purged slope of 0.01 per unit of ln s, five times the broad-market slopes, would move the nested slope by about 0.001, the TOST margin.</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first bar of each day holds the overnight return and the opening auction, where intraday volatility peaks (Andersen and Bollerslev 1997). It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 It is consistent with the Epps (1979) mechanism if the auctions are where prices of less liquid constituents catch up.</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presents the Forbes–Rigobon and factor-model tests under three regime definitions.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ordinary least squares slope of P</w:t>
      </w:r>
      <w:r>
        <w:rPr>
          <w:vertAlign w:val="subscript"/>
          <w:sz w:val="20"/>
          <w:szCs w:val="20"/>
        </w:rPr>
        <w:t xml:space="preserve">cap</w:t>
      </w:r>
      <w:r>
        <w:rPr>
          <w:sz w:val="20"/>
          <w:szCs w:val="20"/>
        </w:rPr>
        <w:t xml:space="preserve"> </w:t>
      </w:r>
      <w:r>
        <w:rPr>
          <w:sz w:val="20"/>
          <w:szCs w:val="20"/>
        </w:rPr>
        <w:t xml:space="preserve">(overlap-purged mid-cap series) 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however,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p &lt; 0.001) but not between chronological episodes (Δβ = 0.008, [−0.128, 0.140]). Neither result changes when 2021 is added as a crisis (789 days; Forbes–Rigobon p = 0.987; Δβ = −0.005, [−0.122, 0.124]). Under its decision rule, H3 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from a static correlation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(H4)</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relative error of Eq. (16) for an equally weighted position; P</w:t>
      </w:r>
      <w:r>
        <w:rPr>
          <w:vertAlign w:val="subscript"/>
          <w:sz w:val="20"/>
          <w:szCs w:val="20"/>
        </w:rPr>
        <w:t xml:space="preserve">cap</w:t>
      </w:r>
      <w:r>
        <w:rPr>
          <w:sz w:val="20"/>
          <w:szCs w:val="20"/>
        </w:rPr>
        <w:t xml:space="preserve">: overlap-purged mid-cap series; relative SE: bootstrap standard error of the regime portfolio variance. Panel B: QLIKE: quasi-likelihood loss; EWMA: exponentially weighted moving average;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crisis regimes. Any pooled correlation produces this sign pattern.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H4 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three-pair gap interval stays within 0.070–0.119 for blocks of 5–60 days (Table S6), and the daily VN30–VNINDEX average is 0.9665, 0.9663 and 0.9667 for detrending orders 1–3. Proxies that replace the free-float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05"/>
        <w:gridCol w:w="1793"/>
        <w:gridCol w:w="2508"/>
        <w:gridCol w:w="1322"/>
        <w:gridCol w:w="2032"/>
      </w:tblGrid>
      <w:tr>
        <w:trPr>
          <w:tblHeader w:val="true"/>
        </w:trPr>
        <w:tc>
          <w:tcPr>
            <w:tcW w:w="1705" w:type="dxa"/>
          </w:tcPr>
          <w:p>
            <w:pPr>
              <w:spacing w:before="0" w:after="0" w:line="240" w:lineRule="auto"/>
              <w:jc w:val="left"/>
            </w:pPr>
            <w:r>
              <w:rPr>
                <w:sz w:val="20"/>
                <w:szCs w:val="20"/>
              </w:rPr>
              <w:t xml:space="preserve">Item</w:t>
            </w:r>
          </w:p>
        </w:tc>
        <w:tc>
          <w:tcPr>
            <w:tcW w:w="1793" w:type="dxa"/>
          </w:tcPr>
          <w:p>
            <w:pPr>
              <w:spacing w:before="0" w:after="0" w:line="240" w:lineRule="auto"/>
              <w:jc w:val="left"/>
            </w:pPr>
            <w:r>
              <w:rPr>
                <w:sz w:val="20"/>
                <w:szCs w:val="20"/>
              </w:rPr>
              <w:t xml:space="preserve">Statistic</w:t>
            </w:r>
          </w:p>
        </w:tc>
        <w:tc>
          <w:tcPr>
            <w:tcW w:w="2508" w:type="dxa"/>
          </w:tcPr>
          <w:p>
            <w:pPr>
              <w:spacing w:before="0" w:after="0" w:line="240" w:lineRule="auto"/>
              <w:jc w:val="left"/>
            </w:pPr>
            <w:r>
              <w:rPr>
                <w:sz w:val="20"/>
                <w:szCs w:val="20"/>
              </w:rPr>
              <w:t xml:space="preserve">Evidence</w:t>
            </w:r>
          </w:p>
        </w:tc>
        <w:tc>
          <w:tcPr>
            <w:tcW w:w="1322" w:type="dxa"/>
          </w:tcPr>
          <w:p>
            <w:pPr>
              <w:spacing w:before="0" w:after="0" w:line="240" w:lineRule="auto"/>
              <w:jc w:val="left"/>
            </w:pPr>
            <w:r>
              <w:rPr>
                <w:sz w:val="20"/>
                <w:szCs w:val="20"/>
              </w:rPr>
              <w:t xml:space="preserve">Outcome</w:t>
            </w:r>
          </w:p>
        </w:tc>
        <w:tc>
          <w:tcPr>
            <w:tcW w:w="2032" w:type="dxa"/>
          </w:tcPr>
          <w:p>
            <w:pPr>
              <w:spacing w:before="0" w:after="0" w:line="240" w:lineRule="auto"/>
              <w:jc w:val="left"/>
            </w:pPr>
            <w:r>
              <w:rPr>
                <w:sz w:val="20"/>
                <w:szCs w:val="20"/>
              </w:rPr>
              <w:t xml:space="preserve">Comment</w:t>
            </w:r>
          </w:p>
        </w:tc>
      </w:tr>
      <w:tr>
        <w:tc>
          <w:tcPr>
            <w:tcW w:w="1705" w:type="dxa"/>
          </w:tcPr>
          <w:p>
            <w:pPr>
              <w:spacing w:before="0" w:after="0" w:line="240" w:lineRule="auto"/>
              <w:jc w:val="left"/>
            </w:pPr>
            <w:r>
              <w:rPr>
                <w:sz w:val="20"/>
                <w:szCs w:val="20"/>
              </w:rPr>
              <w:t xml:space="preserve">E1 Benchmark and attribution</w:t>
            </w:r>
          </w:p>
        </w:tc>
        <w:tc>
          <w:tcPr>
            <w:tcW w:w="1793" w:type="dxa"/>
          </w:tcPr>
          <w:p>
            <w:pPr>
              <w:spacing w:before="0" w:after="0" w:line="240" w:lineRule="auto"/>
              <w:jc w:val="left"/>
            </w:pPr>
            <w:r>
              <w:rPr>
                <w:sz w:val="20"/>
                <w:szCs w:val="20"/>
              </w:rPr>
              <w:t xml:space="preserve">ρ̲; Shapley overlap share</w:t>
            </w:r>
          </w:p>
        </w:tc>
        <w:tc>
          <w:tcPr>
            <w:tcW w:w="2508" w:type="dxa"/>
          </w:tcPr>
          <w:p>
            <w:pPr>
              <w:spacing w:before="0" w:after="0" w:line="240" w:lineRule="auto"/>
              <w:jc w:val="left"/>
            </w:pPr>
            <w:r>
              <w:rPr>
                <w:sz w:val="20"/>
                <w:szCs w:val="20"/>
              </w:rPr>
              <w:t xml:space="preserve">ρ̲ 0.893–0.900; Shapley 0.505–0.508</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Attribution depends mainly on the weight</w:t>
            </w:r>
          </w:p>
        </w:tc>
      </w:tr>
      <w:tr>
        <w:tc>
          <w:tcPr>
            <w:tcW w:w="1705" w:type="dxa"/>
          </w:tcPr>
          <w:p>
            <w:pPr>
              <w:spacing w:before="0" w:after="0" w:line="240" w:lineRule="auto"/>
              <w:jc w:val="left"/>
            </w:pPr>
            <w:r>
              <w:rPr>
                <w:sz w:val="20"/>
                <w:szCs w:val="20"/>
              </w:rPr>
              <w:t xml:space="preserve">E2 Sensitivity</w:t>
            </w:r>
          </w:p>
        </w:tc>
        <w:tc>
          <w:tcPr>
            <w:tcW w:w="1793" w:type="dxa"/>
          </w:tcPr>
          <w:p>
            <w:pPr>
              <w:spacing w:before="0" w:after="0" w:line="240" w:lineRule="auto"/>
              <w:jc w:val="left"/>
            </w:pPr>
            <w:r>
              <w:rPr>
                <w:sz w:val="20"/>
                <w:szCs w:val="20"/>
              </w:rPr>
              <w:t xml:space="preserve">Eq. (10)</w:t>
            </w:r>
          </w:p>
        </w:tc>
        <w:tc>
          <w:tcPr>
            <w:tcW w:w="2508" w:type="dxa"/>
          </w:tcPr>
          <w:p>
            <w:pPr>
              <w:spacing w:before="0" w:after="0" w:line="240" w:lineRule="auto"/>
              <w:jc w:val="left"/>
            </w:pPr>
            <w:r>
              <w:rPr>
                <w:sz w:val="20"/>
                <w:szCs w:val="20"/>
              </w:rPr>
              <w:t xml:space="preserve">0.106–0.112; with weight uncertainty 0.07–0.17</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Purged changes damped about tenfold</w:t>
            </w:r>
          </w:p>
        </w:tc>
      </w:tr>
      <w:tr>
        <w:tc>
          <w:tcPr>
            <w:tcW w:w="1705" w:type="dxa"/>
          </w:tcPr>
          <w:p>
            <w:pPr>
              <w:spacing w:before="0" w:after="0" w:line="240" w:lineRule="auto"/>
              <w:jc w:val="left"/>
            </w:pPr>
            <w:r>
              <w:rPr>
                <w:sz w:val="20"/>
                <w:szCs w:val="20"/>
              </w:rPr>
              <w:t xml:space="preserve">E3 In-sample misstatement</w:t>
            </w:r>
          </w:p>
        </w:tc>
        <w:tc>
          <w:tcPr>
            <w:tcW w:w="1793" w:type="dxa"/>
          </w:tcPr>
          <w:p>
            <w:pPr>
              <w:spacing w:before="0" w:after="0" w:line="240" w:lineRule="auto"/>
              <w:jc w:val="left"/>
            </w:pPr>
            <w:r>
              <w:rPr>
                <w:sz w:val="20"/>
                <w:szCs w:val="20"/>
              </w:rPr>
              <w:t xml:space="preserve">RE, Eq. (16)</w:t>
            </w:r>
          </w:p>
        </w:tc>
        <w:tc>
          <w:tcPr>
            <w:tcW w:w="250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2" w:type="dxa"/>
          </w:tcPr>
          <w:p>
            <w:pPr>
              <w:spacing w:before="0" w:after="0" w:line="240" w:lineRule="auto"/>
              <w:jc w:val="left"/>
            </w:pPr>
            <w:r>
              <w:rPr>
                <w:sz w:val="20"/>
                <w:szCs w:val="20"/>
              </w:rPr>
              <w:t xml:space="preserve">Estimated (not a test)</w:t>
            </w:r>
          </w:p>
        </w:tc>
        <w:tc>
          <w:tcPr>
            <w:tcW w:w="2032" w:type="dxa"/>
          </w:tcPr>
          <w:p>
            <w:pPr>
              <w:spacing w:before="0" w:after="0" w:line="240" w:lineRule="auto"/>
              <w:jc w:val="left"/>
            </w:pPr>
            <w:r>
              <w:rPr>
                <w:sz w:val="20"/>
                <w:szCs w:val="20"/>
              </w:rPr>
              <w:t xml:space="preserve">Sign pattern expected from pooling</w:t>
            </w:r>
          </w:p>
        </w:tc>
      </w:tr>
      <w:tr>
        <w:tc>
          <w:tcPr>
            <w:tcW w:w="1705" w:type="dxa"/>
          </w:tcPr>
          <w:p>
            <w:pPr>
              <w:spacing w:before="0" w:after="0" w:line="240" w:lineRule="auto"/>
              <w:jc w:val="left"/>
            </w:pPr>
            <w:r>
              <w:rPr>
                <w:sz w:val="20"/>
                <w:szCs w:val="20"/>
              </w:rPr>
              <w:t xml:space="preserve">H1 Material overlap gap</w:t>
            </w:r>
          </w:p>
        </w:tc>
        <w:tc>
          <w:tcPr>
            <w:tcW w:w="1793" w:type="dxa"/>
          </w:tcPr>
          <w:p>
            <w:pPr>
              <w:spacing w:before="0" w:after="0" w:line="240" w:lineRule="auto"/>
              <w:jc w:val="left"/>
            </w:pPr>
            <w:r>
              <w:rPr>
                <w:sz w:val="20"/>
                <w:szCs w:val="20"/>
              </w:rPr>
              <w:t xml:space="preserve">Like-for-like gap; lower CI &gt; 0.05</w:t>
            </w:r>
          </w:p>
        </w:tc>
        <w:tc>
          <w:tcPr>
            <w:tcW w:w="2508" w:type="dxa"/>
          </w:tcPr>
          <w:p>
            <w:pPr>
              <w:spacing w:before="0" w:after="0" w:line="240" w:lineRule="auto"/>
              <w:jc w:val="left"/>
            </w:pPr>
            <w:r>
              <w:rPr>
                <w:sz w:val="20"/>
                <w:szCs w:val="20"/>
              </w:rPr>
              <w:t xml:space="preserve">Gap 0.099–0.104; lower CI ≥ 0.084</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Holds under weight uncertainty</w:t>
            </w:r>
          </w:p>
        </w:tc>
      </w:tr>
      <w:tr>
        <w:tc>
          <w:tcPr>
            <w:tcW w:w="1705" w:type="dxa"/>
          </w:tcPr>
          <w:p>
            <w:pPr>
              <w:spacing w:before="0" w:after="0" w:line="240" w:lineRule="auto"/>
              <w:jc w:val="left"/>
            </w:pPr>
            <w:r>
              <w:rPr>
                <w:sz w:val="20"/>
                <w:szCs w:val="20"/>
              </w:rPr>
              <w:t xml:space="preserve">H2 Horizon dependence</w:t>
            </w:r>
          </w:p>
        </w:tc>
        <w:tc>
          <w:tcPr>
            <w:tcW w:w="1793" w:type="dxa"/>
          </w:tcPr>
          <w:p>
            <w:pPr>
              <w:spacing w:before="0" w:after="0" w:line="240" w:lineRule="auto"/>
              <w:jc w:val="left"/>
            </w:pPr>
            <w:r>
              <w:rPr>
                <w:sz w:val="20"/>
                <w:szCs w:val="20"/>
              </w:rPr>
              <w:t xml:space="preserve">Studentized slopes; Holm (H2 family); TOST</w:t>
            </w:r>
          </w:p>
        </w:tc>
        <w:tc>
          <w:tcPr>
            <w:tcW w:w="2508" w:type="dxa"/>
          </w:tcPr>
          <w:p>
            <w:pPr>
              <w:spacing w:before="0" w:after="0" w:line="240" w:lineRule="auto"/>
              <w:jc w:val="left"/>
            </w:pPr>
            <w:r>
              <w:rPr>
                <w:sz w:val="20"/>
                <w:szCs w:val="20"/>
              </w:rPr>
              <w:t xml:space="preserve">4 of 8 broad-market slopes significant, all at M30 or H1; VN30–VN100 equivalent to zero at M30, H1</w:t>
            </w:r>
          </w:p>
        </w:tc>
        <w:tc>
          <w:tcPr>
            <w:tcW w:w="1322" w:type="dxa"/>
          </w:tcPr>
          <w:p>
            <w:pPr>
              <w:spacing w:before="0" w:after="0" w:line="240" w:lineRule="auto"/>
              <w:jc w:val="left"/>
            </w:pPr>
            <w:r>
              <w:rPr>
                <w:sz w:val="20"/>
                <w:szCs w:val="20"/>
              </w:rPr>
              <w:t xml:space="preserve">Supported</w:t>
            </w:r>
          </w:p>
        </w:tc>
        <w:tc>
          <w:tcPr>
            <w:tcW w:w="2032" w:type="dxa"/>
          </w:tcPr>
          <w:p>
            <w:pPr>
              <w:spacing w:before="0" w:after="0" w:line="240" w:lineRule="auto"/>
              <w:jc w:val="left"/>
            </w:pPr>
            <w:r>
              <w:rPr>
                <w:sz w:val="20"/>
                <w:szCs w:val="20"/>
              </w:rPr>
              <w:t xml:space="preserve">Not robust: vanishes without the auction bars</w:t>
            </w:r>
          </w:p>
        </w:tc>
      </w:tr>
      <w:tr>
        <w:tc>
          <w:tcPr>
            <w:tcW w:w="1705" w:type="dxa"/>
          </w:tcPr>
          <w:p>
            <w:pPr>
              <w:spacing w:before="0" w:after="0" w:line="240" w:lineRule="auto"/>
              <w:jc w:val="left"/>
            </w:pPr>
            <w:r>
              <w:rPr>
                <w:sz w:val="20"/>
                <w:szCs w:val="20"/>
              </w:rPr>
              <w:t xml:space="preserve">H3 Contagion</w:t>
            </w:r>
          </w:p>
        </w:tc>
        <w:tc>
          <w:tcPr>
            <w:tcW w:w="1793" w:type="dxa"/>
          </w:tcPr>
          <w:p>
            <w:pPr>
              <w:spacing w:before="0" w:after="0" w:line="240" w:lineRule="auto"/>
              <w:jc w:val="left"/>
            </w:pPr>
            <w:r>
              <w:rPr>
                <w:sz w:val="20"/>
                <w:szCs w:val="20"/>
              </w:rPr>
              <w:t xml:space="preserve">Forbes–Rigobon adjustment and Δβ, VN30 regimes</w:t>
            </w:r>
          </w:p>
        </w:tc>
        <w:tc>
          <w:tcPr>
            <w:tcW w:w="2508" w:type="dxa"/>
          </w:tcPr>
          <w:p>
            <w:pPr>
              <w:spacing w:before="0" w:after="0" w:line="240" w:lineRule="auto"/>
              <w:jc w:val="left"/>
            </w:pPr>
            <w:r>
              <w:rPr>
                <w:sz w:val="20"/>
                <w:szCs w:val="20"/>
              </w:rPr>
              <w:t xml:space="preserve">Forbes–Rigobon p = 0.998; Δβ = 0.210, p &lt; 0.001</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Loading rises on high-volatility days; residual variance rises too</w:t>
            </w:r>
          </w:p>
        </w:tc>
      </w:tr>
      <w:tr>
        <w:tc>
          <w:tcPr>
            <w:tcW w:w="1705" w:type="dxa"/>
          </w:tcPr>
          <w:p>
            <w:pPr>
              <w:spacing w:before="0" w:after="0" w:line="240" w:lineRule="auto"/>
              <w:jc w:val="left"/>
            </w:pPr>
            <w:r>
              <w:rPr>
                <w:sz w:val="20"/>
                <w:szCs w:val="20"/>
              </w:rPr>
              <w:t xml:space="preserve">H4 Value of regime conditioning</w:t>
            </w:r>
          </w:p>
        </w:tc>
        <w:tc>
          <w:tcPr>
            <w:tcW w:w="1793" w:type="dxa"/>
          </w:tcPr>
          <w:p>
            <w:pPr>
              <w:spacing w:before="0" w:after="0" w:line="240" w:lineRule="auto"/>
              <w:jc w:val="left"/>
            </w:pPr>
            <w:r>
              <w:rPr>
                <w:sz w:val="20"/>
                <w:szCs w:val="20"/>
              </w:rPr>
              <w:t xml:space="preserve">QLIKE; Diebold–Mariano</w:t>
            </w:r>
          </w:p>
        </w:tc>
        <w:tc>
          <w:tcPr>
            <w:tcW w:w="2508" w:type="dxa"/>
          </w:tcPr>
          <w:p>
            <w:pPr>
              <w:spacing w:before="0" w:after="0" w:line="240" w:lineRule="auto"/>
              <w:jc w:val="left"/>
            </w:pPr>
            <w:r>
              <w:rPr>
                <w:sz w:val="20"/>
                <w:szCs w:val="20"/>
              </w:rPr>
              <w:t xml:space="preserve">Static lowest for all pairs; p 0.07–0.18</w:t>
            </w:r>
          </w:p>
        </w:tc>
        <w:tc>
          <w:tcPr>
            <w:tcW w:w="1322" w:type="dxa"/>
          </w:tcPr>
          <w:p>
            <w:pPr>
              <w:spacing w:before="0" w:after="0" w:line="240" w:lineRule="auto"/>
              <w:jc w:val="left"/>
            </w:pPr>
            <w:r>
              <w:rPr>
                <w:sz w:val="20"/>
                <w:szCs w:val="20"/>
              </w:rPr>
              <w:t xml:space="preserve">Not supported</w:t>
            </w:r>
          </w:p>
        </w:tc>
        <w:tc>
          <w:tcPr>
            <w:tcW w:w="2032"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H1–H4 in Section 2.7; all tests at the 5% level; RE: relative error of portfolio variance; SE: standard error; TOST: two one-sided tests; QLIKE: quasi-likelihood loss; CI: confidence interval.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One mechanism drives the nested results. A child’s variation enters every covariance and both standard deviations of a nested pair, and Lemma 1 pins the coefficient near a benchmark set by weight and relative amplitude. With VN30 at 68% of VN100, the benchmark is near 0.90 and the bound near 0.87, so the observed 0.99 says little about how mid caps move with large caps. Changes in the purged coefficient reach it damped about tenfold.</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in line with Lo and MacKinlay (1990) and Hou (2007); at intraday frequencies the lead is symmetric (Table S9). The auction-bar horizon dependence of broad-market pairs fits the Epps (1979) effect for small, less liquid stocks (Chen et al. 2021; Tran and Tran 2025), which index-level data cannot separate from gradual diffusion (Hong and Stein 1999). The higher loading on high-volatility days has several candidate sources that our data cannot rank: herding (Nguyen et al. 2023) and sector connectedness (Bui et al. 2022), limit hits under the ±7% band, margin calls and foreign flows concentrated in large caps with room under ownership limits. The rise in residual variance shows that crises also bring mid-cap-specific shocks, which the Forbes–Rigobon correction misreads as lower dependence.</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Users who judge diversification between tiers from nested index correlations should first decompose them. Box 1 does this from published series and the index weight. Its key outputs are the purged coefficient and the sensitivity, whose inverse of about 10 shows how ill-conditioned the index-level number is: an error of 0.001 in the nested coefficient becomes about 0.01 in the purged one. Holdings-based risk models are not affected. For hedging, a minimum-variance VN30 hedge removes a share ρ² of mid-cap variance (Ederington 1979), 0.79 [0.75, 0.82] over the full sample but 0.53 [0.45, 0.61] in the low-volatility quartile and 0.86 in the high-volatility quartile (Table S11). Hedging the VNMIDCAP exchange-traded fund with VN30 futures leaves about a fifth of the variance on average and about half in calm markets. A mid-cap derivative would remove this basis risk; we do not study whether such a contract would be viable. The case for regime-conditioned tier correlations is not supported: their in-sample gain is mostly within sampling error and vanishes out of sample. For users of index-level data, the error that matters is reading a nested correlation as evidence of diversification.</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remaining constituents are no more volatile, so large components fixed by construction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all computable from index-level inputs. On the HOSE, the VN30–VN100 coefficient moves by only about 0.11 per unit change in the purged coefficient, and removing the overlap lowers the correlation with large caps by about 0.10. The purged series shows a large-to-small lead and a higher mid-cap loading together with more mid-cap-specific risk on volatile days; horizon effects in broad-market pairs are confined to the auction bars; and regime-conditioned correlations bring no out-of-sample gain.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research did not receive any specific grant from funding agencies in the public, commercial, or not-for-profit sectors.</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Author contributions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Nguyen Thanh Binh: Conceptualization, Supervision, Validation, Writing – review &amp; editing. Nguyen Van Trung: Conceptualization, Data curation, Formal analysis, Investigation, Methodology, Software, Visualization, Writing – original draft, Writing – review &amp; editing. Ha Hong Hanh: Validation, Writing – review &amp; editing. Nguyen Bach Diep: Methodology, Formal analysis, Writing – original draft.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2026-10-10T13:40:57Z</dcterms:created>
  <dcterms:modified xsi:type="dcterms:W3CDTF">2026-10-10T13:40:57Z</dcterms:modified>
</cp:coreProperties>
</file>

<file path=docProps/custom.xml><?xml version="1.0" encoding="utf-8"?>
<Properties xmlns="http://schemas.openxmlformats.org/officeDocument/2006/custom-properties" xmlns:vt="http://schemas.openxmlformats.org/officeDocument/2006/docPropsVTypes"/>
</file>