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p1a"/>
        <w:spacing w:before="0" w:after="120" w:line="300" w:lineRule="auto"/>
        <w:jc w:val="both"/>
      </w:pPr>
      <w:r>
        <w:rPr>
          <w:rFonts w:ascii="Times New Roman" w:hAnsi="Times New Roman" w:cs="Times New Roman" w:eastAsia="Times New Roman"/>
          <w:sz w:val="24"/>
          <w:szCs w:val="24"/>
        </w:rPr>
        <w:t xml:space="preserve">Nguyen Thanh Binh</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Nguyen Van Trung</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Ha Hong Hanh</w:t>
      </w:r>
      <w:r>
        <w:rPr>
          <w:rFonts w:ascii="Times New Roman" w:hAnsi="Times New Roman" w:cs="Times New Roman" w:eastAsia="Times New Roman"/>
          <w:vertAlign w:val="superscript"/>
          <w:sz w:val="24"/>
          <w:szCs w:val="24"/>
        </w:rPr>
        <w:t xml:space="preserve">b</w:t>
      </w:r>
      <w:r>
        <w:rPr>
          <w:rFonts w:ascii="Times New Roman" w:hAnsi="Times New Roman" w:cs="Times New Roman" w:eastAsia="Times New Roman"/>
          <w:sz w:val="24"/>
          <w:szCs w:val="24"/>
        </w:rPr>
        <w:t xml:space="preserve">, Nguyen Bach Diep</w:t>
      </w:r>
      <w:r>
        <w:rPr>
          <w:rFonts w:ascii="Times New Roman" w:hAnsi="Times New Roman" w:cs="Times New Roman" w:eastAsia="Times New Roman"/>
          <w:vertAlign w:val="superscript"/>
          <w:sz w:val="24"/>
          <w:szCs w:val="24"/>
        </w:rPr>
        <w:t xml:space="preserve">a</w:t>
      </w:r>
    </w:p>
    <w:p>
      <w:pPr>
        <w:pStyle w:val="Compact"/>
      </w:pPr>
      <w:r>
        <w:rPr>
          <w:vertAlign w:val="superscript"/>
          <w:sz w:val="20"/>
          <w:szCs w:val="20"/>
        </w:rPr>
        <w:t xml:space="preserve">a</w:t>
      </w:r>
      <w:r>
        <w:rPr>
          <w:sz w:val="20"/>
          <w:szCs w:val="20"/>
        </w:rPr>
        <w:t xml:space="preserve"> </w:t>
      </w:r>
      <w:r>
        <w:rPr>
          <w:sz w:val="20"/>
          <w:szCs w:val="20"/>
        </w:rPr>
        <w:t xml:space="preserve">Academy of Policy and Development, Nam An Khanh Urban Area, Hoai Duc District, Hanoi, Vietnam</w:t>
      </w:r>
    </w:p>
    <w:p>
      <w:pPr>
        <w:pStyle w:val="Compact"/>
      </w:pPr>
      <w:r>
        <w:rPr>
          <w:vertAlign w:val="superscript"/>
          <w:sz w:val="20"/>
          <w:szCs w:val="20"/>
        </w:rPr>
        <w:t xml:space="preserve">b</w:t>
      </w:r>
      <w:r>
        <w:rPr>
          <w:sz w:val="20"/>
          <w:szCs w:val="20"/>
        </w:rPr>
        <w:t xml:space="preserve"> </w:t>
      </w:r>
      <w:r>
        <w:rPr>
          <w:sz w:val="20"/>
          <w:szCs w:val="20"/>
        </w:rPr>
        <w:t xml:space="preserve">School of Accounting and Auditing, National Economics University, Hanoi, Vietnam</w:t>
      </w:r>
    </w:p>
    <w:p>
      <w:pPr>
        <w:pStyle w:val="Compact"/>
      </w:pPr>
      <w:r>
        <w:rPr>
          <w:sz w:val="20"/>
          <w:szCs w:val="20"/>
        </w:rPr>
        <w:t xml:space="preserve">* Corresponding author: Nguyen Van Trung, Academy of Policy and Development, Hanoi, Vietnam. Email: 15233582@st.neu.edu.vn. Tel: +84 355 347 831.</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carry the classical part–whole correlation identity over to detrended cross-correlation analysis (DCCA). At every timescale, the coefficient between a parent and a child index is then a closed-form function of the child’s weight, the relative amplitude of the remaining constituents and the overlap-purged correlation between the child and those constituents. The identity gives a zero-correlation benchmark, an exact lower bound, the sensitivity of the nested coefficient to the purged correlation and an order-free attribution, and it needs only index-level inputs. On the Ho Chi Minh City Stock Exchange (VN30 within VN100 within VNINDEX, 30-minute to daily data, 2014–2025), the VN30–VN100 coefficient moves by only about 0.11 per unit change in the purged correlation, and purging the overlap lowers the correlation with large caps by about 0.10 at every frequency. The decomposition barely varies across scales and frequencies, so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summary of how much one segment of a market diversifies another (Markowitz 1952): they exist at every frequency and need no holdings data. In nested index systems they have a problem unrelated to estimation error. The parent index contains the child, so part of their correlation is fixed by construction. On the Ho Chi Minh City Stock Exchange (HOSE), the large-cap VN30 index is contained in VN100, which is contained in VNINDEX:</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Read as a measure of how mid caps move with large caps, this number mixes economic linkage with the fact that VN30 stocks are counted on both sides. Holdings-based risk models avoid the problem; users who observe only index levels cannot, and index-level co-movement is easy to misread even without overlap (Chen et al. 2016).</w:t>
      </w:r>
    </w:p>
    <w:p>
      <w:pPr>
        <w:pStyle w:val="BodyText"/>
        <w:spacing w:before="0" w:after="120" w:line="300" w:lineRule="auto"/>
        <w:jc w:val="both"/>
      </w:pPr>
      <w:r>
        <w:rPr>
          <w:rFonts w:ascii="Times New Roman" w:hAnsi="Times New Roman" w:cs="Times New Roman" w:eastAsia="Times New Roman"/>
          <w:sz w:val="24"/>
          <w:szCs w:val="24"/>
        </w:rPr>
        <w:t xml:space="preserve">The arithmetic is old: Pearson (1897) described the spurious correlation of quantities that share a component, and the item–total correlation of psychometrics (Cureton 1966) is the same identity. Missing is a version for the scale-dependent, detrended coefficients used in financial econophysics, with sampling and weight uncertainty attached, in a form index users can apply. Studies of multiscale co-movement, mostly based on detrended cross-correlation analysis (DCCA), analyze pairs that share no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We build that version. Lemma 1 shows that, at every timescale, the DCCA coefficient of a nested pair is a known function of the child’s weight, the relative amplitude κ(s) of the remaining constituents and the overlap-purged coefficient between the child and those constituents. It delivers a zero-correlation benchmark, an exact lower bound, the sensitivity of the nested coefficient to the purged one and an order-free attribution; the Pearson identity is the one-box special case. We apply it to VN30, VN100 and VNINDEX at 30-minute, 1-hour, 4-hour and daily frequencies (2014–2025), with a block bootstrap that also draws the index weight, and use the purged series to test hypotheses on horizon dependence, crisis contagion and the out-of-sample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The paper makes three contributions. First, it carries the part–whole identity to scale-wise detrended coefficients and derives the benchmark, the bound, the sensitivity, a Shapley attribution and the condition under which the benchmark exceeds half of the nested coefficient; a six-step recipe (Box 1) and a contour chart (Fig. 4) make them computable for any nested pair from published data. Second, it measures the overlap component on the HOSE: the VN30–VN100 coefficient responds to the purged coefficient with a slope of 0.106–0.112, and the like-for-like gap between nested and purged coefficients is 0.099–0.104. Because κ hardly varies with the timescale (0.47–0.52), the multiscale layer confirms the Pearson answer here. Third, on the purged series, horizon dependence is confined to intraday broad-market pairs and comes from the auction bars, crisis evidence depends on whether contagion is measured by an adjusted correlation or a factor loading, and regime-conditioned correlations do not beat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 2 reviews the literature and states the estimands and hypotheses, Section 3 describes the setting and data, Section 4 the methods and Section 5 the results; Section 6 discusses them and Section 7 concludes. Further checks are in the Supplementary Material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the question: part–whole correlation, detrended cross-correlation, index membership, size-based lead–lag effects and contagion. We review what each establishes and leaves open, then state the gap, estimands and hypotheses.</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the correlation of an item with the total score that contains it, and Cureton (1966) gave a standard correction. Both results are static Pearson identities; neither measures the component at different timescales or attaches sampling uncertainty to it.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What is missing is a return-based counterpart for users who observe only index levels.</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uses the coefficient to track contagion (Okorie and Lin 2021; Tilfani et al. 2021) or information flow (Zhou et al. 2025), and builds scale-aware portfolios (Wang et al. 2021; Kakinaka et al. 2025). All of it treats the coefficient as a measure of economic dependence between disjoint assets; none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The evidence is contested: much of the post-inclusion rise also appears in matched stocks that were not added (Chen et al. 2016), and the S&amp;P 500 index effect has almost disappeared (Greenwood and Sammon 2025). Index-level co-movement is thus easy to misread even where indices do not overlap; our concern is the arithmetic overlap, which raises correlations even if no investor trades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slow diffusion of industry information. Non-synchronous trading depresses short-horizon correlations (Epps 1979), with a size that depends on sampling (Chang et al. 2021), and gradual diffusion (Hong and Stein 1999) lets co-movement build with the horizon. On the HOSE, liquidity of small firms is fragile (Chen et al. 2021) and price adjustment is delayed under retail-heavy trading (Tran and Tran 2025), while herding in stress (Nguyen et al. 2023), sector connectedness of 60–90% (Bui et al. 2022) and nonlinear regional dependence (Le et al. 2025) raise all correlations at once.</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so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 No study applies volatility-robust tests to tiers of one market whose indices overlap.</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representative studies on the dimensions that matter here.</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spacing w:before="0" w:after="0" w:line="240" w:lineRule="auto"/>
              <w:jc w:val="left"/>
            </w:pPr>
            <w:r>
              <w:rPr>
                <w:sz w:val="20"/>
                <w:szCs w:val="20"/>
              </w:rPr>
              <w:t xml:space="preserve">Study</w:t>
            </w:r>
          </w:p>
        </w:tc>
        <w:tc>
          <w:tcPr/>
          <w:p>
            <w:pPr>
              <w:spacing w:before="0" w:after="0" w:line="240" w:lineRule="auto"/>
              <w:jc w:val="left"/>
            </w:pPr>
            <w:r>
              <w:rPr>
                <w:sz w:val="20"/>
                <w:szCs w:val="20"/>
              </w:rPr>
              <w:t xml:space="preserve">Market and data</w:t>
            </w:r>
          </w:p>
        </w:tc>
        <w:tc>
          <w:tcPr/>
          <w:p>
            <w:pPr>
              <w:spacing w:before="0" w:after="0" w:line="240" w:lineRule="auto"/>
              <w:jc w:val="left"/>
            </w:pPr>
            <w:r>
              <w:rPr>
                <w:sz w:val="20"/>
                <w:szCs w:val="20"/>
              </w:rPr>
              <w:t xml:space="preserve">Method</w:t>
            </w:r>
          </w:p>
        </w:tc>
        <w:tc>
          <w:tcPr/>
          <w:p>
            <w:pPr>
              <w:spacing w:before="0" w:after="0" w:line="240" w:lineRule="auto"/>
              <w:jc w:val="left"/>
            </w:pPr>
            <w:r>
              <w:rPr>
                <w:sz w:val="20"/>
                <w:szCs w:val="20"/>
              </w:rPr>
              <w:t xml:space="preserve">Overlap treated?</w:t>
            </w:r>
          </w:p>
        </w:tc>
        <w:tc>
          <w:tcPr/>
          <w:p>
            <w:pPr>
              <w:spacing w:before="0" w:after="0" w:line="240" w:lineRule="auto"/>
              <w:jc w:val="left"/>
            </w:pPr>
            <w:r>
              <w:rPr>
                <w:sz w:val="20"/>
                <w:szCs w:val="20"/>
              </w:rPr>
              <w:t xml:space="preserve">Scale-wise?</w:t>
            </w:r>
          </w:p>
        </w:tc>
        <w:tc>
          <w:tcPr/>
          <w:p>
            <w:pPr>
              <w:spacing w:before="0" w:after="0" w:line="240" w:lineRule="auto"/>
              <w:jc w:val="left"/>
            </w:pPr>
            <w:r>
              <w:rPr>
                <w:sz w:val="20"/>
                <w:szCs w:val="20"/>
              </w:rPr>
              <w:t xml:space="preserve">Volatility-robust test?</w:t>
            </w:r>
          </w:p>
        </w:tc>
        <w:tc>
          <w:tcPr/>
          <w:p>
            <w:pPr>
              <w:spacing w:before="0" w:after="0" w:line="240" w:lineRule="auto"/>
              <w:jc w:val="left"/>
            </w:pPr>
            <w:r>
              <w:rPr>
                <w:sz w:val="20"/>
                <w:szCs w:val="20"/>
              </w:rPr>
              <w:t xml:space="preserve">Main finding</w:t>
            </w:r>
          </w:p>
        </w:tc>
      </w:tr>
      <w:tr>
        <w:tc>
          <w:tcPr/>
          <w:p>
            <w:pPr>
              <w:spacing w:before="0" w:after="0" w:line="240" w:lineRule="auto"/>
              <w:jc w:val="left"/>
            </w:pPr>
            <w:r>
              <w:rPr>
                <w:sz w:val="20"/>
                <w:szCs w:val="20"/>
              </w:rPr>
              <w:t xml:space="preserve">Pearson (1897); Cureton (1966)</w:t>
            </w:r>
          </w:p>
        </w:tc>
        <w:tc>
          <w:tcPr/>
          <w:p>
            <w:pPr>
              <w:spacing w:before="0" w:after="0" w:line="240" w:lineRule="auto"/>
              <w:jc w:val="left"/>
            </w:pPr>
            <w:r>
              <w:rPr>
                <w:sz w:val="20"/>
                <w:szCs w:val="20"/>
              </w:rPr>
              <w:t xml:space="preserve">Ratios with a common component; test items</w:t>
            </w:r>
          </w:p>
        </w:tc>
        <w:tc>
          <w:tcPr/>
          <w:p>
            <w:pPr>
              <w:spacing w:before="0" w:after="0" w:line="240" w:lineRule="auto"/>
              <w:jc w:val="left"/>
            </w:pPr>
            <w:r>
              <w:rPr>
                <w:sz w:val="20"/>
                <w:szCs w:val="20"/>
              </w:rPr>
              <w:t xml:space="preserve">Pearson correlation</w:t>
            </w:r>
          </w:p>
        </w:tc>
        <w:tc>
          <w:tcPr/>
          <w:p>
            <w:pPr>
              <w:spacing w:before="0" w:after="0" w:line="240" w:lineRule="auto"/>
              <w:jc w:val="left"/>
            </w:pPr>
            <w:r>
              <w:rPr>
                <w:sz w:val="20"/>
                <w:szCs w:val="20"/>
              </w:rPr>
              <w:t xml:space="preserve">Yes (static)</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Correlation of a whole with its part is inflated</w:t>
            </w:r>
          </w:p>
        </w:tc>
      </w:tr>
      <w:tr>
        <w:tc>
          <w:tcPr/>
          <w:p>
            <w:pPr>
              <w:spacing w:before="0" w:after="0" w:line="240" w:lineRule="auto"/>
              <w:jc w:val="left"/>
            </w:pPr>
            <w:r>
              <w:rPr>
                <w:sz w:val="20"/>
                <w:szCs w:val="20"/>
              </w:rPr>
              <w:t xml:space="preserve">Cremers and Petajisto (2009)</w:t>
            </w:r>
          </w:p>
        </w:tc>
        <w:tc>
          <w:tcPr/>
          <w:p>
            <w:pPr>
              <w:spacing w:before="0" w:after="0" w:line="240" w:lineRule="auto"/>
              <w:jc w:val="left"/>
            </w:pPr>
            <w:r>
              <w:rPr>
                <w:sz w:val="20"/>
                <w:szCs w:val="20"/>
              </w:rPr>
              <w:t xml:space="preserve">US mutual funds</w:t>
            </w:r>
          </w:p>
        </w:tc>
        <w:tc>
          <w:tcPr/>
          <w:p>
            <w:pPr>
              <w:spacing w:before="0" w:after="0" w:line="240" w:lineRule="auto"/>
              <w:jc w:val="left"/>
            </w:pPr>
            <w:r>
              <w:rPr>
                <w:sz w:val="20"/>
                <w:szCs w:val="20"/>
              </w:rPr>
              <w:t xml:space="preserve">Holdings overlap (Active Share)</w:t>
            </w:r>
          </w:p>
        </w:tc>
        <w:tc>
          <w:tcPr/>
          <w:p>
            <w:pPr>
              <w:spacing w:before="0" w:after="0" w:line="240" w:lineRule="auto"/>
              <w:jc w:val="left"/>
            </w:pPr>
            <w:r>
              <w:rPr>
                <w:sz w:val="20"/>
                <w:szCs w:val="20"/>
              </w:rPr>
              <w:t xml:space="preserve">Yes (holdings)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Overlap with benchmark holdings measures activity</w:t>
            </w:r>
          </w:p>
        </w:tc>
      </w:tr>
      <w:tr>
        <w:tc>
          <w:tcPr/>
          <w:p>
            <w:pPr>
              <w:spacing w:before="0" w:after="0" w:line="240" w:lineRule="auto"/>
              <w:jc w:val="left"/>
            </w:pPr>
            <w:r>
              <w:rPr>
                <w:sz w:val="20"/>
                <w:szCs w:val="20"/>
              </w:rPr>
              <w:t xml:space="preserve">Barberis et al. (2005); Greenwood (2008); Chen et al. (2016)</w:t>
            </w:r>
          </w:p>
        </w:tc>
        <w:tc>
          <w:tcPr/>
          <w:p>
            <w:pPr>
              <w:spacing w:before="0" w:after="0" w:line="240" w:lineRule="auto"/>
              <w:jc w:val="left"/>
            </w:pPr>
            <w:r>
              <w:rPr>
                <w:sz w:val="20"/>
                <w:szCs w:val="20"/>
              </w:rPr>
              <w:t xml:space="preserve">S&amp;P 500; Nikkei 225</w:t>
            </w:r>
          </w:p>
        </w:tc>
        <w:tc>
          <w:tcPr/>
          <w:p>
            <w:pPr>
              <w:spacing w:before="0" w:after="0" w:line="240" w:lineRule="auto"/>
              <w:jc w:val="left"/>
            </w:pPr>
            <w:r>
              <w:rPr>
                <w:sz w:val="20"/>
                <w:szCs w:val="20"/>
              </w:rPr>
              <w:t xml:space="preserve">Event study; index weights</w:t>
            </w:r>
          </w:p>
        </w:tc>
        <w:tc>
          <w:tcPr/>
          <w:p>
            <w:pPr>
              <w:spacing w:before="0" w:after="0" w:line="240" w:lineRule="auto"/>
              <w:jc w:val="left"/>
            </w:pPr>
            <w:r>
              <w:rPr>
                <w:sz w:val="20"/>
                <w:szCs w:val="20"/>
              </w:rPr>
              <w:t xml:space="preserve">Membership, not overlap</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Membership effect on co-movement is contested</w:t>
            </w:r>
          </w:p>
        </w:tc>
      </w:tr>
      <w:tr>
        <w:tc>
          <w:tcPr/>
          <w:p>
            <w:pPr>
              <w:spacing w:before="0" w:after="0" w:line="240" w:lineRule="auto"/>
              <w:jc w:val="left"/>
            </w:pPr>
            <w:r>
              <w:rPr>
                <w:sz w:val="20"/>
                <w:szCs w:val="20"/>
              </w:rPr>
              <w:t xml:space="preserve">Podobnik and Stanley (2008); Zebende (2011)</w:t>
            </w:r>
          </w:p>
        </w:tc>
        <w:tc>
          <w:tcPr/>
          <w:p>
            <w:pPr>
              <w:spacing w:before="0" w:after="0" w:line="240" w:lineRule="auto"/>
              <w:jc w:val="left"/>
            </w:pPr>
            <w:r>
              <w:rPr>
                <w:sz w:val="20"/>
                <w:szCs w:val="20"/>
              </w:rPr>
              <w:t xml:space="preserve">Methodological</w:t>
            </w:r>
          </w:p>
        </w:tc>
        <w:tc>
          <w:tcPr/>
          <w:p>
            <w:pPr>
              <w:spacing w:before="0" w:after="0" w:line="240" w:lineRule="auto"/>
              <w:jc w:val="left"/>
            </w:pPr>
            <w:r>
              <w:rPr>
                <w:sz w:val="20"/>
                <w:szCs w:val="20"/>
              </w:rPr>
              <w:t xml:space="preserve">DCCA; ρDCCA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Scale-wise detrended covariance and coefficient</w:t>
            </w:r>
          </w:p>
        </w:tc>
      </w:tr>
      <w:tr>
        <w:tc>
          <w:tcPr/>
          <w:p>
            <w:pPr>
              <w:spacing w:before="0" w:after="0" w:line="240" w:lineRule="auto"/>
              <w:jc w:val="left"/>
            </w:pPr>
            <w:r>
              <w:rPr>
                <w:sz w:val="20"/>
                <w:szCs w:val="20"/>
              </w:rPr>
              <w:t xml:space="preserve">Okorie and Lin (2021); Tilfani et al. (2021)</w:t>
            </w:r>
          </w:p>
        </w:tc>
        <w:tc>
          <w:tcPr/>
          <w:p>
            <w:pPr>
              <w:spacing w:before="0" w:after="0" w:line="240" w:lineRule="auto"/>
              <w:jc w:val="left"/>
            </w:pPr>
            <w:r>
              <w:rPr>
                <w:sz w:val="20"/>
                <w:szCs w:val="20"/>
              </w:rPr>
              <w:t xml:space="preserve">Stock markets, COVID-19</w:t>
            </w:r>
          </w:p>
        </w:tc>
        <w:tc>
          <w:tcPr/>
          <w:p>
            <w:pPr>
              <w:spacing w:before="0" w:after="0" w:line="240" w:lineRule="auto"/>
              <w:jc w:val="left"/>
            </w:pPr>
            <w:r>
              <w:rPr>
                <w:sz w:val="20"/>
                <w:szCs w:val="20"/>
              </w:rPr>
              <w:t xml:space="preserve">DCCA, DMCA; sliding windows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Fractal contagion that fades with the horizon</w:t>
            </w:r>
          </w:p>
        </w:tc>
      </w:tr>
      <w:tr>
        <w:tc>
          <w:tcPr/>
          <w:p>
            <w:pPr>
              <w:spacing w:before="0" w:after="0" w:line="240" w:lineRule="auto"/>
              <w:jc w:val="left"/>
            </w:pPr>
            <w:r>
              <w:rPr>
                <w:sz w:val="20"/>
                <w:szCs w:val="20"/>
              </w:rPr>
              <w:t xml:space="preserve">Ge and Lin (2021); Chen et al. (2024)</w:t>
            </w:r>
          </w:p>
        </w:tc>
        <w:tc>
          <w:tcPr/>
          <w:p>
            <w:pPr>
              <w:spacing w:before="0" w:after="0" w:line="240" w:lineRule="auto"/>
              <w:jc w:val="left"/>
            </w:pPr>
            <w:r>
              <w:rPr>
                <w:sz w:val="20"/>
                <w:szCs w:val="20"/>
              </w:rPr>
              <w:t xml:space="preserve">China and United States</w:t>
            </w:r>
          </w:p>
        </w:tc>
        <w:tc>
          <w:tcPr/>
          <w:p>
            <w:pPr>
              <w:spacing w:before="0" w:after="0" w:line="240" w:lineRule="auto"/>
              <w:jc w:val="left"/>
            </w:pPr>
            <w:r>
              <w:rPr>
                <w:sz w:val="20"/>
                <w:szCs w:val="20"/>
              </w:rPr>
              <w:t xml:space="preserve">MF-DCCA; partial MF-DCCA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 and size-dependent cross-correlation</w:t>
            </w:r>
          </w:p>
        </w:tc>
      </w:tr>
      <w:tr>
        <w:tc>
          <w:tcPr/>
          <w:p>
            <w:pPr>
              <w:spacing w:before="0" w:after="0" w:line="240" w:lineRule="auto"/>
              <w:jc w:val="left"/>
            </w:pPr>
            <w:r>
              <w:rPr>
                <w:sz w:val="20"/>
                <w:szCs w:val="20"/>
              </w:rPr>
              <w:t xml:space="preserve">Wang et al. (2021); Kakinaka et al. (2025)</w:t>
            </w:r>
          </w:p>
        </w:tc>
        <w:tc>
          <w:tcPr/>
          <w:p>
            <w:pPr>
              <w:spacing w:before="0" w:after="0" w:line="240" w:lineRule="auto"/>
              <w:jc w:val="left"/>
            </w:pPr>
            <w:r>
              <w:rPr>
                <w:sz w:val="20"/>
                <w:szCs w:val="20"/>
              </w:rPr>
              <w:t xml:space="preserve">Stock portfolios</w:t>
            </w:r>
          </w:p>
        </w:tc>
        <w:tc>
          <w:tcPr/>
          <w:p>
            <w:pPr>
              <w:spacing w:before="0" w:after="0" w:line="240" w:lineRule="auto"/>
              <w:jc w:val="left"/>
            </w:pPr>
            <w:r>
              <w:rPr>
                <w:sz w:val="20"/>
                <w:szCs w:val="20"/>
              </w:rPr>
              <w:t xml:space="preserve">Mean-MF-X-DMA; mean-DCCA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Scale-aware rules improve portfolio performance</w:t>
            </w:r>
          </w:p>
        </w:tc>
      </w:tr>
      <w:tr>
        <w:tc>
          <w:tcPr/>
          <w:p>
            <w:pPr>
              <w:spacing w:before="0" w:after="0" w:line="240" w:lineRule="auto"/>
              <w:jc w:val="left"/>
            </w:pPr>
            <w:r>
              <w:rPr>
                <w:sz w:val="20"/>
                <w:szCs w:val="20"/>
              </w:rPr>
              <w:t xml:space="preserve">Santana et al. (2023)</w:t>
            </w:r>
          </w:p>
        </w:tc>
        <w:tc>
          <w:tcPr/>
          <w:p>
            <w:pPr>
              <w:spacing w:before="0" w:after="0" w:line="240" w:lineRule="auto"/>
              <w:jc w:val="left"/>
            </w:pPr>
            <w:r>
              <w:rPr>
                <w:sz w:val="20"/>
                <w:szCs w:val="20"/>
              </w:rPr>
              <w:t xml:space="preserve">Crude oil and precious metals</w:t>
            </w:r>
          </w:p>
        </w:tc>
        <w:tc>
          <w:tcPr/>
          <w:p>
            <w:pPr>
              <w:spacing w:before="0" w:after="0" w:line="240" w:lineRule="auto"/>
              <w:jc w:val="left"/>
            </w:pPr>
            <w:r>
              <w:rPr>
                <w:sz w:val="20"/>
                <w:szCs w:val="20"/>
              </w:rPr>
              <w:t xml:space="preserve">ΔρDCCA test</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Contagion depends on the pair</w:t>
            </w:r>
          </w:p>
        </w:tc>
      </w:tr>
      <w:tr>
        <w:tc>
          <w:tcPr/>
          <w:p>
            <w:pPr>
              <w:spacing w:before="0" w:after="0" w:line="240" w:lineRule="auto"/>
              <w:jc w:val="left"/>
            </w:pPr>
            <w:r>
              <w:rPr>
                <w:sz w:val="20"/>
                <w:szCs w:val="20"/>
              </w:rPr>
              <w:t xml:space="preserve">Forbes and Rigobon (2002); Corsetti et al. (2005)</w:t>
            </w:r>
          </w:p>
        </w:tc>
        <w:tc>
          <w:tcPr/>
          <w:p>
            <w:pPr>
              <w:spacing w:before="0" w:after="0" w:line="240" w:lineRule="auto"/>
              <w:jc w:val="left"/>
            </w:pPr>
            <w:r>
              <w:rPr>
                <w:sz w:val="20"/>
                <w:szCs w:val="20"/>
              </w:rPr>
              <w:t xml:space="preserve">International stock markets</w:t>
            </w:r>
          </w:p>
        </w:tc>
        <w:tc>
          <w:tcPr/>
          <w:p>
            <w:pPr>
              <w:spacing w:before="0" w:after="0" w:line="240" w:lineRule="auto"/>
              <w:jc w:val="left"/>
            </w:pPr>
            <w:r>
              <w:rPr>
                <w:sz w:val="20"/>
                <w:szCs w:val="20"/>
              </w:rPr>
              <w:t xml:space="preserve">Adjusted correlation; factor model</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Interdependence versus contagion; bias from restricted idiosyncratic variance</w:t>
            </w:r>
          </w:p>
        </w:tc>
      </w:tr>
      <w:tr>
        <w:tc>
          <w:tcPr/>
          <w:p>
            <w:pPr>
              <w:spacing w:before="0" w:after="0" w:line="240" w:lineRule="auto"/>
              <w:jc w:val="left"/>
            </w:pPr>
            <w:r>
              <w:rPr>
                <w:sz w:val="20"/>
                <w:szCs w:val="20"/>
              </w:rPr>
              <w:t xml:space="preserve">Lo and MacKinlay (1990); Hou (2007)</w:t>
            </w:r>
          </w:p>
        </w:tc>
        <w:tc>
          <w:tcPr/>
          <w:p>
            <w:pPr>
              <w:spacing w:before="0" w:after="0" w:line="240" w:lineRule="auto"/>
              <w:jc w:val="left"/>
            </w:pPr>
            <w:r>
              <w:rPr>
                <w:sz w:val="20"/>
                <w:szCs w:val="20"/>
              </w:rPr>
              <w:t xml:space="preserve">US size portfolios</w:t>
            </w:r>
          </w:p>
        </w:tc>
        <w:tc>
          <w:tcPr/>
          <w:p>
            <w:pPr>
              <w:spacing w:before="0" w:after="0" w:line="240" w:lineRule="auto"/>
              <w:jc w:val="left"/>
            </w:pPr>
            <w:r>
              <w:rPr>
                <w:sz w:val="20"/>
                <w:szCs w:val="20"/>
              </w:rPr>
              <w:t xml:space="preserve">Cross-autocorrelation</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Large caps lead small caps</w:t>
            </w:r>
          </w:p>
        </w:tc>
      </w:tr>
      <w:tr>
        <w:tc>
          <w:tcPr/>
          <w:p>
            <w:pPr>
              <w:spacing w:before="0" w:after="0" w:line="240" w:lineRule="auto"/>
              <w:jc w:val="left"/>
            </w:pPr>
            <w:r>
              <w:rPr>
                <w:sz w:val="20"/>
                <w:szCs w:val="20"/>
              </w:rPr>
              <w:t xml:space="preserve">Bui et al. (2022); Tran and Tran (2025)</w:t>
            </w:r>
          </w:p>
        </w:tc>
        <w:tc>
          <w:tcPr/>
          <w:p>
            <w:pPr>
              <w:spacing w:before="0" w:after="0" w:line="240" w:lineRule="auto"/>
              <w:jc w:val="left"/>
            </w:pPr>
            <w:r>
              <w:rPr>
                <w:sz w:val="20"/>
                <w:szCs w:val="20"/>
              </w:rPr>
              <w:t xml:space="preserve">Vietnamese sectors; intraday HOSE</w:t>
            </w:r>
          </w:p>
        </w:tc>
        <w:tc>
          <w:tcPr/>
          <w:p>
            <w:pPr>
              <w:spacing w:before="0" w:after="0" w:line="240" w:lineRule="auto"/>
              <w:jc w:val="left"/>
            </w:pPr>
            <w:r>
              <w:rPr>
                <w:sz w:val="20"/>
                <w:szCs w:val="20"/>
              </w:rPr>
              <w:t xml:space="preserve">Spillover connectedness; high-frequency</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High connectedness; delayed adjustment</w:t>
            </w:r>
          </w:p>
        </w:tc>
      </w:tr>
      <w:tr>
        <w:tc>
          <w:tcPr/>
          <w:p>
            <w:pPr>
              <w:spacing w:before="0" w:after="0" w:line="240" w:lineRule="auto"/>
              <w:jc w:val="left"/>
            </w:pPr>
            <w:r>
              <w:rPr>
                <w:sz w:val="20"/>
                <w:szCs w:val="20"/>
              </w:rPr>
              <w:t xml:space="preserve">This study</w:t>
            </w:r>
          </w:p>
        </w:tc>
        <w:tc>
          <w:tcPr/>
          <w:p>
            <w:pPr>
              <w:spacing w:before="0" w:after="0" w:line="240" w:lineRule="auto"/>
              <w:jc w:val="left"/>
            </w:pPr>
            <w:r>
              <w:rPr>
                <w:sz w:val="20"/>
                <w:szCs w:val="20"/>
              </w:rPr>
              <w:t xml:space="preserve">VN30, VN100, VNINDEX; M30 to daily, 2014–2025</w:t>
            </w:r>
          </w:p>
        </w:tc>
        <w:tc>
          <w:tcPr/>
          <w:p>
            <w:pPr>
              <w:spacing w:before="0" w:after="0" w:line="240" w:lineRule="auto"/>
              <w:jc w:val="left"/>
            </w:pPr>
            <w:r>
              <w:rPr>
                <w:sz w:val="20"/>
                <w:szCs w:val="20"/>
              </w:rPr>
              <w:t xml:space="preserve">Scale-wise part–whole identity; DCCA</w:t>
            </w:r>
          </w:p>
        </w:tc>
        <w:tc>
          <w:tcPr/>
          <w:p>
            <w:pPr>
              <w:spacing w:before="0" w:after="0" w:line="240" w:lineRule="auto"/>
              <w:jc w:val="left"/>
            </w:pPr>
            <w:r>
              <w:rPr>
                <w:sz w:val="20"/>
                <w:szCs w:val="20"/>
              </w:rPr>
              <w:t xml:space="preserve">Yes (scale-wise, with weight uncertainty)</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Purged correlation is invisible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heteroskedasticity or common shocks.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carried to scale-wise detrended coefficients, given inference under weight uncertainty, or turned into a diagnostic computable from published series. Multiscale studies of crises rarely use volatility-robust tests, and volatility-conditioned studies use one horizon and disjoint markets. To our knowledge, no study covers the Vietnamese index system at intraday and daily frequencies. We searched Google Scholar and publisher databases for 2021–2026, plus the classical sources these works cite, combining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detrended cross-correlation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overlap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nested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constituent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together 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part–whole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item–total 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contagion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Forbes–Rigobon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heteroskedasticity</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Vietnam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co-movement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stock 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several quantities once the weight and the relative amplitude are known. We report these as estimands with intervals and test only hypotheses whose outcome the identity does not determine.</w:t>
      </w:r>
    </w:p>
    <w:p>
      <w:pPr>
        <w:pStyle w:val="BodyText"/>
        <w:spacing w:before="0" w:after="120" w:line="300" w:lineRule="auto"/>
        <w:jc w:val="both"/>
      </w:pPr>
      <w:r>
        <w:rPr>
          <w:rFonts w:ascii="Times New Roman" w:hAnsi="Times New Roman" w:cs="Times New Roman" w:eastAsia="Times New Roman"/>
          <w:iCs/>
          <w:i/>
          <w:sz w:val="24"/>
          <w:szCs w:val="24"/>
        </w:rPr>
        <w:t xml:space="preserve">Estimands.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E1 is the zero-correlation benchmark ρ̲ of the VN30–VN100 coefficient and its share of the observed coefficient under three attribution conventions; E2 is the sensitivity of the nested coefficient to the purged one; E3 is the in-sample misstatement of portfolio variance when a static correlation replaces a regime correlation, judged against the sampling error of the regime variance. A share above one half is not a finding: it holds whenever κ &lt; √3 and the purged coefficient is non-negative.</w:t>
      </w:r>
    </w:p>
    <w:p>
      <w:pPr>
        <w:pStyle w:val="BodyText"/>
        <w:spacing w:before="0" w:after="120" w:line="300" w:lineRule="auto"/>
        <w:jc w:val="both"/>
      </w:pPr>
      <w:r>
        <w:rPr>
          <w:rFonts w:ascii="Times New Roman" w:hAnsi="Times New Roman" w:cs="Times New Roman" w:eastAsia="Times New Roman"/>
          <w:iCs/>
          <w:i/>
          <w:sz w:val="24"/>
          <w:szCs w:val="24"/>
        </w:rPr>
        <w:t xml:space="preserve">H1 (material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identity does not fix the size of the gap, because a purged coefficient near one would leave almost none. We predict that the like-for-like gap,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exceeds 0.05, the worst-case estimation error tolerated in Section 4.4. Rule: the lower bound of the 95% interval exceeds 0.05 at every frequency.</w:t>
      </w:r>
    </w:p>
    <w:p>
      <w:pPr>
        <w:pStyle w:val="BodyText"/>
        <w:spacing w:before="0" w:after="120" w:line="300" w:lineRule="auto"/>
        <w:jc w:val="both"/>
      </w:pPr>
      <w:r>
        <w:rPr>
          <w:rFonts w:ascii="Times New Roman" w:hAnsi="Times New Roman" w:cs="Times New Roman" w:eastAsia="Times New Roman"/>
          <w:iCs/>
          <w:i/>
          <w:sz w:val="24"/>
          <w:szCs w:val="24"/>
        </w:rPr>
        <w:t xml:space="preserve">H2 (horizon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so DCCA coefficients of broad-market pairs, whose parent contains small and illiquid stocks, should rise with the timescale; for VN30–VN100 the identity predicts a slope damped by the sensitivity of Eq. (10). Rule: in the family of eight broad-market slope tests (two pairs, four frequencies), at least one pair at each of M30 and H1 has a positive slope with a Holm-adjusted studentized p-value below 0.05. We also report whether this survives removal of the opening bar and test the VN30–VN100 prediction for equivalence.</w:t>
      </w:r>
    </w:p>
    <w:p>
      <w:pPr>
        <w:pStyle w:val="BodyText"/>
        <w:spacing w:before="0" w:after="120" w:line="300" w:lineRule="auto"/>
        <w:jc w:val="both"/>
      </w:pPr>
      <w:r>
        <w:rPr>
          <w:rFonts w:ascii="Times New Roman" w:hAnsi="Times New Roman" w:cs="Times New Roman" w:eastAsia="Times New Roman"/>
          <w:iCs/>
          <w:i/>
          <w:sz w:val="24"/>
          <w:szCs w:val="24"/>
        </w:rPr>
        <w:t xml:space="preserve">H3 (contagion).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rise in the raw crisis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can come from volatility alone (Forbes and Rigobon 2002), and the volatility correction is biased toward no contagion when idiosyncratic variance rises (Corsetti et al. 2005). Rule: under regimes sorted on VN30 volatility, both the Forbes–Rigobon adjusted correlation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H4 (value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If tier correlations vary with the volatility regime, conditioning should improve variance forecasts for a mixed large-cap and mid-cap position. Rule: an EWMA or real-time regime correlation has a lower QLIKE loss than the static correlation over 2023–2025, with a Diebold–Mariano p-value below 0.05.</w:t>
      </w:r>
    </w:p>
    <w:p>
      <w:pPr>
        <w:pStyle w:val="BodyText"/>
        <w:spacing w:before="0" w:after="120" w:line="300" w:lineRule="auto"/>
        <w:jc w:val="both"/>
      </w:pPr>
      <w:r>
        <w:rPr>
          <w:rFonts w:ascii="Times New Roman" w:hAnsi="Times New Roman" w:cs="Times New Roman" w:eastAsia="Times New Roman"/>
          <w:sz w:val="24"/>
          <w:szCs w:val="24"/>
        </w:rPr>
        <w:t xml:space="preserve">The first-round version tested five hypotheses without adjustment. The rules above, the eight-test family for H2 and the factor-loading test for H3 were fixed at revision, after the first-round results were known; we label them so and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Five features of the HOSE matter for dependence between tiers. First, prices move within a ±7% daily band; in sharp corrections heavily sold stocks sit at the lower limit, which truncates tails and synchronizes limit hits. Second, settlement moved from T+3 to T+2 on 1 January 2016 (Vietnam Securities Depository 2015), which limits intraday arbitrage between constituents and index baskets. Third, each day has an opening call auction (09:00–09:15), continuous matching to 11:30, a break to 13:00, continuous matching and a closing call auction (14:30–14:45). The vendor’s intraday bars follow this calendar (Section 3.2), so the first bar of each day contains the overnight return and the opening auction.</w:t>
      </w:r>
    </w:p>
    <w:p>
      <w:pPr>
        <w:pStyle w:val="BodyText"/>
        <w:spacing w:before="0" w:after="120" w:line="300" w:lineRule="auto"/>
        <w:jc w:val="both"/>
      </w:pPr>
      <w:r>
        <w:rPr>
          <w:rFonts w:ascii="Times New Roman" w:hAnsi="Times New Roman" w:cs="Times New Roman" w:eastAsia="Times New Roman"/>
          <w:sz w:val="24"/>
          <w:szCs w:val="24"/>
        </w:rPr>
        <w:t xml:space="preserve">Fourth, short selling is restricted: Circular 120/2020/TT-BTC (Ministry of Finance of Vietnam 2020) provides a legal framework for covered short sales, but to our knowledge it had not been put into operation, and naked short selling is not permitted; the implementing Decree 155/2020/ND-CP (Government of Vietnam 2020) was amended by Decree 245/2025/ND-CP (Government of Vietnam 2025). VN30 futures trade on the Hanoi Stock Exchange, but there is no mid-cap future; a VNMIDCAP exchange-traded fund (FUEDCMID) has been listed since 29 September 2022 (Ho Chi Minh City Stock Exchange 2022), so mid caps can be held long but not shorted or hedged with a dedicated derivative. Fifth, foreign ownership limits (30% for commercial banks, for example) concentrate foreign flows in large caps with room under their limits. FTSE Russell announced in October 2025 that Vietnam would be reclassified to Secondary Emerging status, effective 21 September 2026 (FTSE Russell 2025), after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index levels of VN30, VN100 and VNINDEX exported from TradingView (exchange code HOSE). VN30 holds the 30 largest and most liquid stocks by free-float capitalization, VN100 adds the next 70 (the VNMIDCAP index), and VNINDEX covers all HOSE common stocks at full market capitalization. Daily and 30-minute series run to 12 December 2025, 1-hour and 4-hour series to 9 December 2024. M30 bars open at 09:00, 09:30, 10:00, 10:30, 11:00, 11:30, 13:00, 13:30, 14:00, 14:30; H1 bars at 09:00, 10:00, 11:00, 13:00, 14:00; the two H4 bars cover the morning and afternoon sessions. The vendor has no VNMIDCAP history for the full sample at all frequencies, so the mid-cap segment is recovered from VN30 and VN100 (Section 4.2). We did not compare the vendor series with the closing levels published by the HOSE date by date; the replication package records a checksum of the input file.</w:t>
      </w:r>
    </w:p>
    <w:p>
      <w:pPr>
        <w:pStyle w:val="BodyText"/>
        <w:spacing w:before="0" w:after="120" w:line="300" w:lineRule="auto"/>
        <w:jc w:val="both"/>
      </w:pPr>
      <w:r>
        <w:rPr>
          <w:rFonts w:ascii="Times New Roman" w:hAnsi="Times New Roman" w:cs="Times New Roman" w:eastAsia="Times New Roman"/>
          <w:sz w:val="24"/>
          <w:szCs w:val="24"/>
        </w:rPr>
        <w:t xml:space="preserve">The series are merged by exact inner joins on timestamps, with no filling or interpolation, and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in which all frequencies overlap (1D: N = 1,983; M30: 19,463; H1: 9,879; H4: 3,953), serves cross-frequency comparisons. All other analyses use the full sample: February 2014 to December 2025 at 1D (N = 2,963), January 2017 to December 2025 at M30 (21,942) and January 2014 to December 2024 at H1 and H4 (13,523 and 5,410). The indices are computed in real time, not back-calculated from current membership, so reconstitutions and delistings are embedded and the sample is free of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have a VNINDEX drawdown above 25%, at least 45% of days in the top volatility quartile and a documented trigger: the 2018 margin contraction (drawdown 26.2%, 47% of days in the top quartile), the 2020 COVID-19 shock (33.5%, 52%) and the 2022 corporate bond freeze (40.2%, 60%), 539 days in all, against a calm benchmark of 2016–2017 and 2023–2024 (1,000 days). The 2021 and March–June 2025 spikes (drawdowns 14.3% and 18.1%) fail the first two conditions (Table S12). Quartile regimes compare the bottom and top quartiles of rolling VNINDEX volatility (10.6% and 20.0% annualized) or of VN30 volatility and include all spikes.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the three chronological crisis episodes; dashed and dotted horizontal lines: 25th and 75th percentiles of rolling volatility. The 2021 and 2025 spikes are not shaded because their drawdowns are below 25% (Section 3.2). Source: Authors’ calculations based on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covariance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Each profile is split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box ν a polynomial of order m (m = 1 unless stated) is fitted by ordinary least squares (OLS), and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so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VN30 and VN100 returns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shadow benchmark: replicating it needs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because we cannot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series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so the lemma adapts a known identity. It holds scale by scale for detrended coefficients, for the detrending moving-average coefficient (Kristoufek 2014) and for any measure built from a bilinear covariance of linearly filtered series. Five corollaries follow, at a fixed scale that we suppress.</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so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so overlap can only raise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HOSE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needs no attribution convention, and report the Shapley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All quantities are computed scale by scale and averaged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spacing w:before="0" w:after="0" w:line="240" w:lineRule="auto"/>
              <w:jc w:val="left"/>
            </w:pPr>
            <w:r>
              <w:rPr>
                <w:sz w:val="20"/>
                <w:szCs w:val="20"/>
              </w:rPr>
              <w:t xml:space="preserve">Step</w:t>
            </w:r>
          </w:p>
        </w:tc>
        <w:tc>
          <w:tcPr/>
          <w:p>
            <w:pPr>
              <w:spacing w:before="0" w:after="0" w:line="240" w:lineRule="auto"/>
              <w:jc w:val="left"/>
            </w:pPr>
            <w:r>
              <w:rPr>
                <w:sz w:val="20"/>
                <w:szCs w:val="20"/>
              </w:rPr>
              <w:t xml:space="preserve">Computation</w:t>
            </w:r>
          </w:p>
        </w:tc>
        <w:tc>
          <w:tcPr/>
          <w:p>
            <w:pPr>
              <w:spacing w:before="0" w:after="0" w:line="240" w:lineRule="auto"/>
              <w:jc w:val="left"/>
            </w:pPr>
            <w:r>
              <w:rPr>
                <w:sz w:val="20"/>
                <w:szCs w:val="20"/>
              </w:rPr>
              <w:t xml:space="preserve">VN30 in VN100, daily</w:t>
            </w:r>
          </w:p>
        </w:tc>
      </w:tr>
      <w:tr>
        <w:tc>
          <w:tcPr/>
          <w:p>
            <w:pPr>
              <w:spacing w:before="0" w:after="0" w:line="240" w:lineRule="auto"/>
              <w:jc w:val="left"/>
            </w:pPr>
            <w:r>
              <w:rPr>
                <w:sz w:val="20"/>
                <w:szCs w:val="20"/>
              </w:rPr>
              <w:t xml:space="preserve">1. Inputs</w:t>
            </w:r>
          </w:p>
        </w:tc>
        <w:tc>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p>
            <w:pPr>
              <w:spacing w:before="0" w:after="0" w:line="240" w:lineRule="auto"/>
              <w:jc w:val="left"/>
            </w:pPr>
            <w:r>
              <w:rPr>
                <w:sz w:val="20"/>
                <w:szCs w:val="20"/>
              </w:rPr>
              <w:t xml:space="preserve">2. Remainder volatility</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p>
            <w:pPr>
              <w:spacing w:before="0" w:after="0" w:line="240" w:lineRule="auto"/>
              <w:jc w:val="left"/>
            </w:pPr>
            <w:r>
              <w:rPr>
                <w:sz w:val="20"/>
                <w:szCs w:val="20"/>
              </w:rPr>
              <w:t xml:space="preserve">3. Relative amplitude</w:t>
            </w:r>
          </w:p>
        </w:tc>
        <w:tc>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p>
            <w:pPr>
              <w:spacing w:before="0" w:after="0" w:line="240" w:lineRule="auto"/>
              <w:jc w:val="left"/>
            </w:pPr>
            <w:r>
              <w:rPr>
                <w:sz w:val="20"/>
                <w:szCs w:val="20"/>
              </w:rPr>
              <w:t xml:space="preserve">κ = 0.475</w:t>
            </w:r>
          </w:p>
        </w:tc>
      </w:tr>
      <w:tr>
        <w:tc>
          <w:tcPr/>
          <w:p>
            <w:pPr>
              <w:spacing w:before="0" w:after="0" w:line="240" w:lineRule="auto"/>
              <w:jc w:val="left"/>
            </w:pPr>
            <w:r>
              <w:rPr>
                <w:sz w:val="20"/>
                <w:szCs w:val="20"/>
              </w:rPr>
              <w:t xml:space="preserve">4. Benchmark and bound</w:t>
            </w:r>
          </w:p>
        </w:tc>
        <w:tc>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p>
            <w:pPr>
              <w:spacing w:before="0" w:after="0" w:line="240" w:lineRule="auto"/>
              <w:jc w:val="left"/>
            </w:pPr>
            <w:r>
              <w:rPr>
                <w:sz w:val="20"/>
                <w:szCs w:val="20"/>
              </w:rPr>
              <w:t xml:space="preserve">ρ̲ = 0.903; bound 0.880</w:t>
            </w:r>
          </w:p>
        </w:tc>
      </w:tr>
      <w:tr>
        <w:tc>
          <w:tcPr/>
          <w:p>
            <w:pPr>
              <w:spacing w:before="0" w:after="0" w:line="240" w:lineRule="auto"/>
              <w:jc w:val="left"/>
            </w:pPr>
            <w:r>
              <w:rPr>
                <w:sz w:val="20"/>
                <w:szCs w:val="20"/>
              </w:rPr>
              <w:t xml:space="preserve">5. Purged coefficient</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p>
            <w:pPr>
              <w:spacing w:before="0" w:after="0" w:line="240" w:lineRule="auto"/>
              <w:jc w:val="left"/>
            </w:pPr>
            <w:r>
              <w:rPr>
                <w:sz w:val="20"/>
                <w:szCs w:val="20"/>
              </w:rPr>
              <w:t xml:space="preserve">6.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the correlation of the directly constructed P</w:t>
      </w:r>
      <w:r>
        <w:rPr>
          <w:vertAlign w:val="subscript"/>
          <w:sz w:val="20"/>
          <w:szCs w:val="20"/>
        </w:rPr>
        <w:t xml:space="preserve">cap</w:t>
      </w:r>
      <w:r>
        <w:rPr>
          <w:sz w:val="20"/>
          <w:szCs w:val="20"/>
        </w:rPr>
        <w:t xml:space="preserve"> </w:t>
      </w:r>
      <w:r>
        <w:rPr>
          <w:sz w:val="20"/>
          <w:szCs w:val="20"/>
        </w:rPr>
        <w:t xml:space="preserve">series exactly.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Capitalizations drift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gap,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an interval around the factsheet weight with room for drift either way,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a tolerance fixed in advance; a GARCH(1,1)-t(5) calibration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Coefficients at different scales come from the same series, so all inference resamples the data with the stationary block bootstrap (Politis and Romano 1994), with mean blocks of about 20 trading days, recomputing every curve and statistic per replicate. We use 499 replications for DCCA statistics, 999 for factor-model, lead–lag and materiality statistics and 1,999 for Pearson regime statistics. Intervals are percentile 95% intervals, capped at ±1 for correlations. Percentile p-values, p = 2 min{k₋ + 1, k₊ + 1}/(B + 1), where k₋ and k₊ count replicates at or below and at or above zero, cannot fall below 0.004 with B = 499 (reported as p &lt; 0.005), and with 19 tests the smallest attainable Holm-adjusted value is 0.076. For slope tests we therefore also report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H2. Equivalence of the VN30–VN100 slope to zero is tested by two one-sided tests (TOST; Schuirmann 1987) with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Horizon dependence is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loading β and the residual variance, the contagion concept of Corsetti et al. (2005) and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Statistics are Pearson moments of daily returns, bootstrapped within regimes. Nested pairs are not tested,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variance by</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Intervals resample the full sample jointly,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|RE| is compared with the bootstrap relative standard error of the regime variance. Because these regimes are ex post, we also estimate correlations on 2014–2022 and evaluate forecasts on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20"/>
        <w:numPr>
          <w:ilvl w:val="0"/>
          <w:numId w:val="0"/>
        </w:numPr>
      </w:pPr>
      <w:r>
        <w:rPr>
          <w:rFonts w:ascii="Times New Roman" w:hAnsi="Times New Roman" w:cs="Times New Roman" w:eastAsia="Times New Roman"/>
          <w:b/>
          <w:sz w:val="24"/>
          <w:szCs w:val="24"/>
        </w:rPr>
        <w:t xml:space="preserve">4.8 Computational details</w:t>
      </w:r>
    </w:p>
    <w:p>
      <w:pPr>
        <w:pStyle w:val="p1a"/>
        <w:spacing w:before="0" w:after="120" w:line="300" w:lineRule="auto"/>
        <w:jc w:val="both"/>
      </w:pPr>
      <w:r>
        <w:rPr>
          <w:rFonts w:ascii="Times New Roman" w:hAnsi="Times New Roman" w:cs="Times New Roman" w:eastAsia="Times New Roman"/>
          <w:sz w:val="24"/>
          <w:szCs w:val="24"/>
        </w:rPr>
        <w:t xml:space="preserve">All computations use R 4.3.3 (stats, sandwich 3.1.0, ggplot2 3.4.4) on an Intel Xeon processor (2.10 GHz, four cores). OLS uses the QR decomposition, so no iterative optimization or convergence criterion is involved. Seeds are fixed in each script (20260924 to 20261014), and run_all.R reproduces every table and figure with byte-identical CSV outputs. Code, outputs and a map from each number to its output file form Online Resource 1.</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reports descriptive statistics and Table 3 the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Series</w:t>
            </w:r>
          </w:p>
        </w:tc>
        <w:tc>
          <w:tcPr/>
          <w:p>
            <w:pPr>
              <w:spacing w:before="0" w:after="0" w:line="240" w:lineRule="auto"/>
              <w:jc w:val="left"/>
            </w:pPr>
            <w:r>
              <w:rPr>
                <w:sz w:val="20"/>
                <w:szCs w:val="20"/>
              </w:rPr>
              <w:t xml:space="preserve">Freq.</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Mean</w:t>
            </w:r>
          </w:p>
        </w:tc>
        <w:tc>
          <w:tcPr/>
          <w:p>
            <w:pPr>
              <w:spacing w:before="0" w:after="0" w:line="240" w:lineRule="auto"/>
              <w:jc w:val="left"/>
            </w:pPr>
            <w:r>
              <w:rPr>
                <w:sz w:val="20"/>
                <w:szCs w:val="20"/>
              </w:rPr>
              <w:t xml:space="preserve">Std. dev.</w:t>
            </w:r>
          </w:p>
        </w:tc>
        <w:tc>
          <w:tcPr/>
          <w:p>
            <w:pPr>
              <w:spacing w:before="0" w:after="0" w:line="240" w:lineRule="auto"/>
              <w:jc w:val="left"/>
            </w:pPr>
            <w:r>
              <w:rPr>
                <w:sz w:val="20"/>
                <w:szCs w:val="20"/>
              </w:rPr>
              <w:t xml:space="preserve">Skew.</w:t>
            </w:r>
          </w:p>
        </w:tc>
        <w:tc>
          <w:tcPr/>
          <w:p>
            <w:pPr>
              <w:spacing w:before="0" w:after="0" w:line="240" w:lineRule="auto"/>
              <w:jc w:val="left"/>
            </w:pPr>
            <w:r>
              <w:rPr>
                <w:sz w:val="20"/>
                <w:szCs w:val="20"/>
              </w:rPr>
              <w:t xml:space="preserve">Kurt.</w:t>
            </w:r>
          </w:p>
        </w:tc>
        <w:tc>
          <w:tcPr/>
          <w:p>
            <w:pPr>
              <w:spacing w:before="0" w:after="0" w:line="240" w:lineRule="auto"/>
              <w:jc w:val="left"/>
            </w:pPr>
            <w:r>
              <w:rPr>
                <w:sz w:val="20"/>
                <w:szCs w:val="20"/>
              </w:rPr>
              <w:t xml:space="preserve">Jarque–Bera</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0.0121</w:t>
            </w:r>
          </w:p>
        </w:tc>
        <w:tc>
          <w:tcPr/>
          <w:p>
            <w:pPr>
              <w:spacing w:before="0" w:after="0" w:line="240" w:lineRule="auto"/>
              <w:jc w:val="left"/>
            </w:pPr>
            <w:r>
              <w:rPr>
                <w:sz w:val="20"/>
                <w:szCs w:val="20"/>
              </w:rPr>
              <w:t xml:space="preserve">−0.83</w:t>
            </w:r>
          </w:p>
        </w:tc>
        <w:tc>
          <w:tcPr/>
          <w:p>
            <w:pPr>
              <w:spacing w:before="0" w:after="0" w:line="240" w:lineRule="auto"/>
              <w:jc w:val="left"/>
            </w:pPr>
            <w:r>
              <w:rPr>
                <w:sz w:val="20"/>
                <w:szCs w:val="20"/>
              </w:rPr>
              <w:t xml:space="preserve">7.81</w:t>
            </w:r>
          </w:p>
        </w:tc>
        <w:tc>
          <w:tcPr/>
          <w:p>
            <w:pPr>
              <w:spacing w:before="0" w:after="0" w:line="240" w:lineRule="auto"/>
              <w:jc w:val="left"/>
            </w:pPr>
            <w:r>
              <w:rPr>
                <w:sz w:val="20"/>
                <w:szCs w:val="20"/>
              </w:rPr>
              <w:t xml:space="preserve">3,202***</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0.0039</w:t>
            </w:r>
          </w:p>
        </w:tc>
        <w:tc>
          <w:tcPr/>
          <w:p>
            <w:pPr>
              <w:spacing w:before="0" w:after="0" w:line="240" w:lineRule="auto"/>
              <w:jc w:val="left"/>
            </w:pPr>
            <w:r>
              <w:rPr>
                <w:sz w:val="20"/>
                <w:szCs w:val="20"/>
              </w:rPr>
              <w:t xml:space="preserve">−1.62</w:t>
            </w:r>
          </w:p>
        </w:tc>
        <w:tc>
          <w:tcPr/>
          <w:p>
            <w:pPr>
              <w:spacing w:before="0" w:after="0" w:line="240" w:lineRule="auto"/>
              <w:jc w:val="left"/>
            </w:pPr>
            <w:r>
              <w:rPr>
                <w:sz w:val="20"/>
                <w:szCs w:val="20"/>
              </w:rPr>
              <w:t xml:space="preserve">36.16</w:t>
            </w:r>
          </w:p>
        </w:tc>
        <w:tc>
          <w:tcPr/>
          <w:p>
            <w:pPr>
              <w:spacing w:before="0" w:after="0" w:line="240" w:lineRule="auto"/>
              <w:jc w:val="left"/>
            </w:pPr>
            <w:r>
              <w:rPr>
                <w:sz w:val="20"/>
                <w:szCs w:val="20"/>
              </w:rPr>
              <w:t xml:space="preserve">1,014,769***</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0.0051</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18.20</w:t>
            </w:r>
          </w:p>
        </w:tc>
        <w:tc>
          <w:tcPr/>
          <w:p>
            <w:pPr>
              <w:spacing w:before="0" w:after="0" w:line="240" w:lineRule="auto"/>
              <w:jc w:val="left"/>
            </w:pPr>
            <w:r>
              <w:rPr>
                <w:sz w:val="20"/>
                <w:szCs w:val="20"/>
              </w:rPr>
              <w:t xml:space="preserve">134,167***</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0.0084</w:t>
            </w:r>
          </w:p>
        </w:tc>
        <w:tc>
          <w:tcPr/>
          <w:p>
            <w:pPr>
              <w:spacing w:before="0" w:after="0" w:line="240" w:lineRule="auto"/>
              <w:jc w:val="left"/>
            </w:pPr>
            <w:r>
              <w:rPr>
                <w:sz w:val="20"/>
                <w:szCs w:val="20"/>
              </w:rPr>
              <w:t xml:space="preserve">−1.17</w:t>
            </w:r>
          </w:p>
        </w:tc>
        <w:tc>
          <w:tcPr/>
          <w:p>
            <w:pPr>
              <w:spacing w:before="0" w:after="0" w:line="240" w:lineRule="auto"/>
              <w:jc w:val="left"/>
            </w:pPr>
            <w:r>
              <w:rPr>
                <w:sz w:val="20"/>
                <w:szCs w:val="20"/>
              </w:rPr>
              <w:t xml:space="preserve">11.23</w:t>
            </w:r>
          </w:p>
        </w:tc>
        <w:tc>
          <w:tcPr/>
          <w:p>
            <w:pPr>
              <w:spacing w:before="0" w:after="0" w:line="240" w:lineRule="auto"/>
              <w:jc w:val="left"/>
            </w:pPr>
            <w:r>
              <w:rPr>
                <w:sz w:val="20"/>
                <w:szCs w:val="20"/>
              </w:rPr>
              <w:t xml:space="preserve">16,490***</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0.0119</w:t>
            </w:r>
          </w:p>
        </w:tc>
        <w:tc>
          <w:tcPr/>
          <w:p>
            <w:pPr>
              <w:spacing w:before="0" w:after="0" w:line="240" w:lineRule="auto"/>
              <w:jc w:val="left"/>
            </w:pPr>
            <w:r>
              <w:rPr>
                <w:sz w:val="20"/>
                <w:szCs w:val="20"/>
              </w:rPr>
              <w:t xml:space="preserve">−0.96</w:t>
            </w:r>
          </w:p>
        </w:tc>
        <w:tc>
          <w:tcPr/>
          <w:p>
            <w:pPr>
              <w:spacing w:before="0" w:after="0" w:line="240" w:lineRule="auto"/>
              <w:jc w:val="left"/>
            </w:pPr>
            <w:r>
              <w:rPr>
                <w:sz w:val="20"/>
                <w:szCs w:val="20"/>
              </w:rPr>
              <w:t xml:space="preserve">8.21</w:t>
            </w:r>
          </w:p>
        </w:tc>
        <w:tc>
          <w:tcPr/>
          <w:p>
            <w:pPr>
              <w:spacing w:before="0" w:after="0" w:line="240" w:lineRule="auto"/>
              <w:jc w:val="left"/>
            </w:pPr>
            <w:r>
              <w:rPr>
                <w:sz w:val="20"/>
                <w:szCs w:val="20"/>
              </w:rPr>
              <w:t xml:space="preserve">3,804***</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0.0038</w:t>
            </w:r>
          </w:p>
        </w:tc>
        <w:tc>
          <w:tcPr/>
          <w:p>
            <w:pPr>
              <w:spacing w:before="0" w:after="0" w:line="240" w:lineRule="auto"/>
              <w:jc w:val="left"/>
            </w:pPr>
            <w:r>
              <w:rPr>
                <w:sz w:val="20"/>
                <w:szCs w:val="20"/>
              </w:rPr>
              <w:t xml:space="preserve">−1.83</w:t>
            </w:r>
          </w:p>
        </w:tc>
        <w:tc>
          <w:tcPr/>
          <w:p>
            <w:pPr>
              <w:spacing w:before="0" w:after="0" w:line="240" w:lineRule="auto"/>
              <w:jc w:val="left"/>
            </w:pPr>
            <w:r>
              <w:rPr>
                <w:sz w:val="20"/>
                <w:szCs w:val="20"/>
              </w:rPr>
              <w:t xml:space="preserve">37.63</w:t>
            </w:r>
          </w:p>
        </w:tc>
        <w:tc>
          <w:tcPr/>
          <w:p>
            <w:pPr>
              <w:spacing w:before="0" w:after="0" w:line="240" w:lineRule="auto"/>
              <w:jc w:val="left"/>
            </w:pPr>
            <w:r>
              <w:rPr>
                <w:sz w:val="20"/>
                <w:szCs w:val="20"/>
              </w:rPr>
              <w:t xml:space="preserve">1,108,959***</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0.0050</w:t>
            </w:r>
          </w:p>
        </w:tc>
        <w:tc>
          <w:tcPr/>
          <w:p>
            <w:pPr>
              <w:spacing w:before="0" w:after="0" w:line="240" w:lineRule="auto"/>
              <w:jc w:val="left"/>
            </w:pPr>
            <w:r>
              <w:rPr>
                <w:sz w:val="20"/>
                <w:szCs w:val="20"/>
              </w:rPr>
              <w:t xml:space="preserve">−1.50</w:t>
            </w:r>
          </w:p>
        </w:tc>
        <w:tc>
          <w:tcPr/>
          <w:p>
            <w:pPr>
              <w:spacing w:before="0" w:after="0" w:line="240" w:lineRule="auto"/>
              <w:jc w:val="left"/>
            </w:pPr>
            <w:r>
              <w:rPr>
                <w:sz w:val="20"/>
                <w:szCs w:val="20"/>
              </w:rPr>
              <w:t xml:space="preserve">19.36</w:t>
            </w:r>
          </w:p>
        </w:tc>
        <w:tc>
          <w:tcPr/>
          <w:p>
            <w:pPr>
              <w:spacing w:before="0" w:after="0" w:line="240" w:lineRule="auto"/>
              <w:jc w:val="left"/>
            </w:pPr>
            <w:r>
              <w:rPr>
                <w:sz w:val="20"/>
                <w:szCs w:val="20"/>
              </w:rPr>
              <w:t xml:space="preserve">155,896***</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0.0082</w:t>
            </w:r>
          </w:p>
        </w:tc>
        <w:tc>
          <w:tcPr/>
          <w:p>
            <w:pPr>
              <w:spacing w:before="0" w:after="0" w:line="240" w:lineRule="auto"/>
              <w:jc w:val="left"/>
            </w:pPr>
            <w:r>
              <w:rPr>
                <w:sz w:val="20"/>
                <w:szCs w:val="20"/>
              </w:rPr>
              <w:t xml:space="preserve">−1.30</w:t>
            </w:r>
          </w:p>
        </w:tc>
        <w:tc>
          <w:tcPr/>
          <w:p>
            <w:pPr>
              <w:spacing w:before="0" w:after="0" w:line="240" w:lineRule="auto"/>
              <w:jc w:val="left"/>
            </w:pPr>
            <w:r>
              <w:rPr>
                <w:sz w:val="20"/>
                <w:szCs w:val="20"/>
              </w:rPr>
              <w:t xml:space="preserve">11.76</w:t>
            </w:r>
          </w:p>
        </w:tc>
        <w:tc>
          <w:tcPr/>
          <w:p>
            <w:pPr>
              <w:spacing w:before="0" w:after="0" w:line="240" w:lineRule="auto"/>
              <w:jc w:val="left"/>
            </w:pPr>
            <w:r>
              <w:rPr>
                <w:sz w:val="20"/>
                <w:szCs w:val="20"/>
              </w:rPr>
              <w:t xml:space="preserve">18,833***</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0.0115</w:t>
            </w:r>
          </w:p>
        </w:tc>
        <w:tc>
          <w:tcPr/>
          <w:p>
            <w:pPr>
              <w:spacing w:before="0" w:after="0" w:line="240" w:lineRule="auto"/>
              <w:jc w:val="left"/>
            </w:pPr>
            <w:r>
              <w:rPr>
                <w:sz w:val="20"/>
                <w:szCs w:val="20"/>
              </w:rPr>
              <w:t xml:space="preserve">−0.98</w:t>
            </w:r>
          </w:p>
        </w:tc>
        <w:tc>
          <w:tcPr/>
          <w:p>
            <w:pPr>
              <w:spacing w:before="0" w:after="0" w:line="240" w:lineRule="auto"/>
              <w:jc w:val="left"/>
            </w:pPr>
            <w:r>
              <w:rPr>
                <w:sz w:val="20"/>
                <w:szCs w:val="20"/>
              </w:rPr>
              <w:t xml:space="preserve">8.27</w:t>
            </w:r>
          </w:p>
        </w:tc>
        <w:tc>
          <w:tcPr/>
          <w:p>
            <w:pPr>
              <w:spacing w:before="0" w:after="0" w:line="240" w:lineRule="auto"/>
              <w:jc w:val="left"/>
            </w:pPr>
            <w:r>
              <w:rPr>
                <w:sz w:val="20"/>
                <w:szCs w:val="20"/>
              </w:rPr>
              <w:t xml:space="preserve">3,898***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0.0037</w:t>
            </w:r>
          </w:p>
        </w:tc>
        <w:tc>
          <w:tcPr/>
          <w:p>
            <w:pPr>
              <w:spacing w:before="0" w:after="0" w:line="240" w:lineRule="auto"/>
              <w:jc w:val="left"/>
            </w:pPr>
            <w:r>
              <w:rPr>
                <w:sz w:val="20"/>
                <w:szCs w:val="20"/>
              </w:rPr>
              <w:t xml:space="preserve">−2.04</w:t>
            </w:r>
          </w:p>
        </w:tc>
        <w:tc>
          <w:tcPr/>
          <w:p>
            <w:pPr>
              <w:spacing w:before="0" w:after="0" w:line="240" w:lineRule="auto"/>
              <w:jc w:val="left"/>
            </w:pPr>
            <w:r>
              <w:rPr>
                <w:sz w:val="20"/>
                <w:szCs w:val="20"/>
              </w:rPr>
              <w:t xml:space="preserve">40.64</w:t>
            </w:r>
          </w:p>
        </w:tc>
        <w:tc>
          <w:tcPr/>
          <w:p>
            <w:pPr>
              <w:spacing w:before="0" w:after="0" w:line="240" w:lineRule="auto"/>
              <w:jc w:val="left"/>
            </w:pPr>
            <w:r>
              <w:rPr>
                <w:sz w:val="20"/>
                <w:szCs w:val="20"/>
              </w:rPr>
              <w:t xml:space="preserve">1,310,762***</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0.0049</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19.54</w:t>
            </w:r>
          </w:p>
        </w:tc>
        <w:tc>
          <w:tcPr/>
          <w:p>
            <w:pPr>
              <w:spacing w:before="0" w:after="0" w:line="240" w:lineRule="auto"/>
              <w:jc w:val="left"/>
            </w:pPr>
            <w:r>
              <w:rPr>
                <w:sz w:val="20"/>
                <w:szCs w:val="20"/>
              </w:rPr>
              <w:t xml:space="preserve">159,748***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0.0080</w:t>
            </w:r>
          </w:p>
        </w:tc>
        <w:tc>
          <w:tcPr/>
          <w:p>
            <w:pPr>
              <w:spacing w:before="0" w:after="0" w:line="240" w:lineRule="auto"/>
              <w:jc w:val="left"/>
            </w:pPr>
            <w:r>
              <w:rPr>
                <w:sz w:val="20"/>
                <w:szCs w:val="20"/>
              </w:rPr>
              <w:t xml:space="preserve">−1.31</w:t>
            </w:r>
          </w:p>
        </w:tc>
        <w:tc>
          <w:tcPr/>
          <w:p>
            <w:pPr>
              <w:spacing w:before="0" w:after="0" w:line="240" w:lineRule="auto"/>
              <w:jc w:val="left"/>
            </w:pPr>
            <w:r>
              <w:rPr>
                <w:sz w:val="20"/>
                <w:szCs w:val="20"/>
              </w:rPr>
              <w:t xml:space="preserve">11.99</w:t>
            </w:r>
          </w:p>
        </w:tc>
        <w:tc>
          <w:tcPr/>
          <w:p>
            <w:pPr>
              <w:spacing w:before="0" w:after="0" w:line="240" w:lineRule="auto"/>
              <w:jc w:val="left"/>
            </w:pPr>
            <w:r>
              <w:rPr>
                <w:sz w:val="20"/>
                <w:szCs w:val="20"/>
              </w:rPr>
              <w:t xml:space="preserve">19,767***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0.0124</w:t>
            </w:r>
          </w:p>
        </w:tc>
        <w:tc>
          <w:tcPr/>
          <w:p>
            <w:pPr>
              <w:spacing w:before="0" w:after="0" w:line="240" w:lineRule="auto"/>
              <w:jc w:val="left"/>
            </w:pPr>
            <w:r>
              <w:rPr>
                <w:sz w:val="20"/>
                <w:szCs w:val="20"/>
              </w:rPr>
              <w:t xml:space="preserve">−1.07</w:t>
            </w:r>
          </w:p>
        </w:tc>
        <w:tc>
          <w:tcPr/>
          <w:p>
            <w:pPr>
              <w:spacing w:before="0" w:after="0" w:line="240" w:lineRule="auto"/>
              <w:jc w:val="left"/>
            </w:pPr>
            <w:r>
              <w:rPr>
                <w:sz w:val="20"/>
                <w:szCs w:val="20"/>
              </w:rPr>
              <w:t xml:space="preserve">8.15</w:t>
            </w:r>
          </w:p>
        </w:tc>
        <w:tc>
          <w:tcPr/>
          <w:p>
            <w:pPr>
              <w:spacing w:before="0" w:after="0" w:line="240" w:lineRule="auto"/>
              <w:jc w:val="left"/>
            </w:pPr>
            <w:r>
              <w:rPr>
                <w:sz w:val="20"/>
                <w:szCs w:val="20"/>
              </w:rPr>
              <w:t xml:space="preserve">3,837***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0.0041</w:t>
            </w:r>
          </w:p>
        </w:tc>
        <w:tc>
          <w:tcPr/>
          <w:p>
            <w:pPr>
              <w:spacing w:before="0" w:after="0" w:line="240" w:lineRule="auto"/>
              <w:jc w:val="left"/>
            </w:pPr>
            <w:r>
              <w:rPr>
                <w:sz w:val="20"/>
                <w:szCs w:val="20"/>
              </w:rPr>
              <w:t xml:space="preserve">−1.87</w:t>
            </w:r>
          </w:p>
        </w:tc>
        <w:tc>
          <w:tcPr/>
          <w:p>
            <w:pPr>
              <w:spacing w:before="0" w:after="0" w:line="240" w:lineRule="auto"/>
              <w:jc w:val="left"/>
            </w:pPr>
            <w:r>
              <w:rPr>
                <w:sz w:val="20"/>
                <w:szCs w:val="20"/>
              </w:rPr>
              <w:t xml:space="preserve">33.94</w:t>
            </w:r>
          </w:p>
        </w:tc>
        <w:tc>
          <w:tcPr/>
          <w:p>
            <w:pPr>
              <w:spacing w:before="0" w:after="0" w:line="240" w:lineRule="auto"/>
              <w:jc w:val="left"/>
            </w:pPr>
            <w:r>
              <w:rPr>
                <w:sz w:val="20"/>
                <w:szCs w:val="20"/>
              </w:rPr>
              <w:t xml:space="preserve">887,934***</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0.0052</w:t>
            </w:r>
          </w:p>
        </w:tc>
        <w:tc>
          <w:tcPr/>
          <w:p>
            <w:pPr>
              <w:spacing w:before="0" w:after="0" w:line="240" w:lineRule="auto"/>
              <w:jc w:val="left"/>
            </w:pPr>
            <w:r>
              <w:rPr>
                <w:sz w:val="20"/>
                <w:szCs w:val="20"/>
              </w:rPr>
              <w:t xml:space="preserve">−1.51</w:t>
            </w:r>
          </w:p>
        </w:tc>
        <w:tc>
          <w:tcPr/>
          <w:p>
            <w:pPr>
              <w:spacing w:before="0" w:after="0" w:line="240" w:lineRule="auto"/>
              <w:jc w:val="left"/>
            </w:pPr>
            <w:r>
              <w:rPr>
                <w:sz w:val="20"/>
                <w:szCs w:val="20"/>
              </w:rPr>
              <w:t xml:space="preserve">18.81</w:t>
            </w:r>
          </w:p>
        </w:tc>
        <w:tc>
          <w:tcPr/>
          <w:p>
            <w:pPr>
              <w:spacing w:before="0" w:after="0" w:line="240" w:lineRule="auto"/>
              <w:jc w:val="left"/>
            </w:pPr>
            <w:r>
              <w:rPr>
                <w:sz w:val="20"/>
                <w:szCs w:val="20"/>
              </w:rPr>
              <w:t xml:space="preserve">145,968***</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0.0086</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11.69</w:t>
            </w:r>
          </w:p>
        </w:tc>
        <w:tc>
          <w:tcPr/>
          <w:p>
            <w:pPr>
              <w:spacing w:before="0" w:after="0" w:line="240" w:lineRule="auto"/>
              <w:jc w:val="left"/>
            </w:pPr>
            <w:r>
              <w:rPr>
                <w:sz w:val="20"/>
                <w:szCs w:val="20"/>
              </w:rPr>
              <w:t xml:space="preserve">18,632***</w:t>
            </w:r>
          </w:p>
        </w:tc>
      </w:tr>
    </w:tbl>
    <w:p>
      <w:pPr>
        <w:pStyle w:val="Compact"/>
      </w:pPr>
      <w:r>
        <w:rPr>
          <w:sz w:val="20"/>
          <w:szCs w:val="20"/>
        </w:rPr>
        <w:t xml:space="preserve">Notes: Kurt. is non-excess kurtosis; P</w:t>
      </w:r>
      <w:r>
        <w:rPr>
          <w:vertAlign w:val="subscript"/>
          <w:sz w:val="20"/>
          <w:szCs w:val="20"/>
        </w:rPr>
        <w:t xml:space="preserve">cap</w:t>
      </w:r>
      <w:r>
        <w:rPr>
          <w:sz w:val="20"/>
          <w:szCs w:val="20"/>
        </w:rPr>
        <w:t xml:space="preserve"> </w:t>
      </w:r>
      <w:r>
        <w:rPr>
          <w:sz w:val="20"/>
          <w:szCs w:val="20"/>
        </w:rPr>
        <w:t xml:space="preserve">is the overlap-purged series of Eq. (6); *** p &lt; 0.01. Source: Authors’ calculations based on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has the highest daily standard deviation (0.0124) and VNINDEX the lowest (0.0115). All series are negatively skewed and leptokurtic (kurtosis above 33 at M30), and the Jarque–Bera test rejects normality everywhere;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1980"/>
        <w:gridCol w:w="1980"/>
        <w:gridCol w:w="1980"/>
        <w:gridCol w:w="198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Gaussian s</w:t>
            </w:r>
            <w:r>
              <w:rPr>
                <w:vertAlign w:val="subscript"/>
                <w:sz w:val="20"/>
                <w:szCs w:val="20"/>
              </w:rPr>
              <w:t xml:space="preserve">rel</w:t>
            </w:r>
          </w:p>
        </w:tc>
        <w:tc>
          <w:tcPr/>
          <w:p>
            <w:pPr>
              <w:spacing w:before="0" w:after="0" w:line="240" w:lineRule="auto"/>
              <w:jc w:val="left"/>
            </w:pPr>
            <w:r>
              <w:rPr>
                <w:sz w:val="20"/>
                <w:szCs w:val="20"/>
              </w:rPr>
              <w:t xml:space="preserve">Heavy-tailed s</w:t>
            </w:r>
            <w:r>
              <w:rPr>
                <w:vertAlign w:val="subscript"/>
                <w:sz w:val="20"/>
                <w:szCs w:val="20"/>
              </w:rPr>
              <w:t xml:space="preserve">rel</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50</w:t>
            </w:r>
          </w:p>
        </w:tc>
        <w:tc>
          <w:tcPr/>
          <w:p>
            <w:pPr>
              <w:spacing w:before="0" w:after="0" w:line="240" w:lineRule="auto"/>
              <w:jc w:val="left"/>
            </w:pPr>
            <w:r>
              <w:rPr>
                <w:sz w:val="20"/>
                <w:szCs w:val="20"/>
              </w:rPr>
              <w:t xml:space="preserve">20</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444</w:t>
            </w:r>
          </w:p>
        </w:tc>
        <w:tc>
          <w:tcPr/>
          <w:p>
            <w:pPr>
              <w:spacing w:before="0" w:after="0" w:line="240" w:lineRule="auto"/>
              <w:jc w:val="left"/>
            </w:pPr>
            <w:r>
              <w:rPr>
                <w:sz w:val="20"/>
                <w:szCs w:val="20"/>
              </w:rPr>
              <w:t xml:space="preserve">151</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233</w:t>
            </w:r>
          </w:p>
        </w:tc>
        <w:tc>
          <w:tcPr/>
          <w:p>
            <w:pPr>
              <w:spacing w:before="0" w:after="0" w:line="240" w:lineRule="auto"/>
              <w:jc w:val="left"/>
            </w:pPr>
            <w:r>
              <w:rPr>
                <w:sz w:val="20"/>
                <w:szCs w:val="20"/>
              </w:rPr>
              <w:t xml:space="preserve">86</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28</w:t>
            </w:r>
          </w:p>
        </w:tc>
      </w:tr>
    </w:tbl>
    <w:p>
      <w:pPr>
        <w:pStyle w:val="Compact"/>
      </w:pPr>
      <w:r>
        <w:rPr>
          <w:sz w:val="20"/>
          <w:szCs w:val="20"/>
        </w:rPr>
        <w:t xml:space="preserve">Notes: Largest scale (bars) at which the worst-case mean absolute error stays below 0.05; Gaussian: 1,002 white-noise simulations; heavy-tailed: 300 GARCH(1,1)-t(5) simulations.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(H1)</w:t>
      </w:r>
    </w:p>
    <w:p>
      <w:pPr>
        <w:pStyle w:val="p1a"/>
        <w:spacing w:before="0" w:after="120" w:line="300" w:lineRule="auto"/>
        <w:jc w:val="both"/>
      </w:pPr>
      <w:r>
        <w:rPr>
          <w:rFonts w:ascii="Times New Roman" w:hAnsi="Times New Roman" w:cs="Times New Roman" w:eastAsia="Times New Roman"/>
          <w:sz w:val="24"/>
          <w:szCs w:val="24"/>
        </w:rPr>
        <w:t xml:space="preserve">Table 4 compares nested and purged coefficients; Fig. 2 shows the curves with bootstrap bands.</w:t>
      </w:r>
    </w:p>
    <w:p>
      <w:pPr>
        <w:pStyle w:val="tablecaption0"/>
      </w:pPr>
      <w:r>
        <w:rPr>
          <w:bCs/>
          <w:b/>
        </w:rPr>
        <w:t xml:space="preserve">Table 4</w:t>
      </w:r>
      <w:r>
        <w:t xml:space="preserve"> </w:t>
      </w:r>
      <w:r>
        <w:t xml:space="preserve">Average DCCA coefficients of nested and overlap-purged pairs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Nested mean</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Three-pair gap [95% CI]</w:t>
            </w:r>
          </w:p>
        </w:tc>
        <w:tc>
          <w:tcPr/>
          <w:p>
            <w:pPr>
              <w:spacing w:before="0" w:after="0" w:line="240" w:lineRule="auto"/>
              <w:jc w:val="left"/>
            </w:pPr>
            <w:r>
              <w:rPr>
                <w:sz w:val="20"/>
                <w:szCs w:val="20"/>
              </w:rPr>
              <w:t xml:space="preserve">Like-for-like gap [95% CI]</w:t>
            </w:r>
          </w:p>
        </w:tc>
        <w:tc>
          <w:tcPr/>
          <w:p>
            <w:pPr>
              <w:spacing w:before="0" w:after="0" w:line="240" w:lineRule="auto"/>
              <w:jc w:val="left"/>
            </w:pPr>
            <w:r>
              <w:rPr>
                <w:sz w:val="20"/>
                <w:szCs w:val="20"/>
              </w:rPr>
              <w:t xml:space="preserve">Cohen’s q [95% CI]</w:t>
            </w:r>
          </w:p>
        </w:tc>
        <w:tc>
          <w:tcPr/>
          <w:p>
            <w:pPr>
              <w:spacing w:before="0" w:after="0" w:line="240" w:lineRule="auto"/>
              <w:jc w:val="left"/>
            </w:pPr>
            <w:r>
              <w:rPr>
                <w:sz w:val="20"/>
                <w:szCs w:val="20"/>
              </w:rPr>
              <w:t xml:space="preserve">N</w:t>
            </w:r>
          </w:p>
        </w:tc>
      </w:tr>
      <w:tr>
        <w:tc>
          <w:tcPr/>
          <w:p>
            <w:pPr>
              <w:spacing w:before="0" w:after="0" w:line="240" w:lineRule="auto"/>
              <w:jc w:val="left"/>
            </w:pPr>
            <w:r>
              <w:rPr>
                <w:iCs/>
                <w:i/>
                <w:sz w:val="20"/>
                <w:szCs w:val="20"/>
              </w:rPr>
              <w:t xml:space="preserve">Panel A: synchronized window, 2017–2024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0.090</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1,983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19,463</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0.891</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9,879</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0.892</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3,953</w:t>
            </w:r>
          </w:p>
        </w:tc>
      </w:tr>
      <w:tr>
        <w:tc>
          <w:tcPr/>
          <w:p>
            <w:pPr>
              <w:spacing w:before="0" w:after="0" w:line="240" w:lineRule="auto"/>
              <w:jc w:val="left"/>
            </w:pPr>
            <w:r>
              <w:rPr>
                <w:iCs/>
                <w:i/>
                <w:sz w:val="20"/>
                <w:szCs w:val="20"/>
              </w:rPr>
              <w:t xml:space="preserve">Panel B: full sample, 2014–2025</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0.977</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0.093 [0.074, 0.115]</w:t>
            </w:r>
          </w:p>
        </w:tc>
        <w:tc>
          <w:tcPr/>
          <w:p>
            <w:pPr>
              <w:spacing w:before="0" w:after="0" w:line="240" w:lineRule="auto"/>
              <w:jc w:val="left"/>
            </w:pPr>
            <w:r>
              <w:rPr>
                <w:sz w:val="20"/>
                <w:szCs w:val="20"/>
              </w:rPr>
              <w:t xml:space="preserve">0.104 [0.085, 0.128]</w:t>
            </w:r>
          </w:p>
        </w:tc>
        <w:tc>
          <w:tcPr/>
          <w:p>
            <w:pPr>
              <w:spacing w:before="0" w:after="0" w:line="240" w:lineRule="auto"/>
              <w:jc w:val="left"/>
            </w:pPr>
            <w:r>
              <w:rPr>
                <w:sz w:val="20"/>
                <w:szCs w:val="20"/>
              </w:rPr>
              <w:t xml:space="preserve">0.83 [0.75, 0.89]</w:t>
            </w:r>
          </w:p>
        </w:tc>
        <w:tc>
          <w:tcPr/>
          <w:p>
            <w:pPr>
              <w:spacing w:before="0" w:after="0" w:line="240" w:lineRule="auto"/>
              <w:jc w:val="left"/>
            </w:pPr>
            <w:r>
              <w:rPr>
                <w:sz w:val="20"/>
                <w:szCs w:val="20"/>
              </w:rPr>
              <w:t xml:space="preserve">2,963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0.883</w:t>
            </w:r>
          </w:p>
        </w:tc>
        <w:tc>
          <w:tcPr/>
          <w:p>
            <w:pPr>
              <w:spacing w:before="0" w:after="0" w:line="240" w:lineRule="auto"/>
              <w:jc w:val="left"/>
            </w:pPr>
            <w:r>
              <w:rPr>
                <w:sz w:val="20"/>
                <w:szCs w:val="20"/>
              </w:rPr>
              <w:t xml:space="preserve">0.096 [0.080, 0.119]</w:t>
            </w:r>
          </w:p>
        </w:tc>
        <w:tc>
          <w:tcPr/>
          <w:p>
            <w:pPr>
              <w:spacing w:before="0" w:after="0" w:line="240" w:lineRule="auto"/>
              <w:jc w:val="left"/>
            </w:pPr>
            <w:r>
              <w:rPr>
                <w:sz w:val="20"/>
                <w:szCs w:val="20"/>
              </w:rPr>
              <w:t xml:space="preserve">0.104 [0.087, 0.125]</w:t>
            </w:r>
          </w:p>
        </w:tc>
        <w:tc>
          <w:tcPr/>
          <w:p>
            <w:pPr>
              <w:spacing w:before="0" w:after="0" w:line="240" w:lineRule="auto"/>
              <w:jc w:val="left"/>
            </w:pPr>
            <w:r>
              <w:rPr>
                <w:sz w:val="20"/>
                <w:szCs w:val="20"/>
              </w:rPr>
              <w:t xml:space="preserve">0.89 [0.83, 0.94]</w:t>
            </w:r>
          </w:p>
        </w:tc>
        <w:tc>
          <w:tcPr/>
          <w:p>
            <w:pPr>
              <w:spacing w:before="0" w:after="0" w:line="240" w:lineRule="auto"/>
              <w:jc w:val="left"/>
            </w:pPr>
            <w:r>
              <w:rPr>
                <w:sz w:val="20"/>
                <w:szCs w:val="20"/>
              </w:rPr>
              <w:t xml:space="preserve">21,942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0.889</w:t>
            </w:r>
          </w:p>
        </w:tc>
        <w:tc>
          <w:tcPr/>
          <w:p>
            <w:pPr>
              <w:spacing w:before="0" w:after="0" w:line="240" w:lineRule="auto"/>
              <w:jc w:val="left"/>
            </w:pPr>
            <w:r>
              <w:rPr>
                <w:sz w:val="20"/>
                <w:szCs w:val="20"/>
              </w:rPr>
              <w:t xml:space="preserve">0.086 [0.071, 0.103]</w:t>
            </w:r>
          </w:p>
        </w:tc>
        <w:tc>
          <w:tcPr/>
          <w:p>
            <w:pPr>
              <w:spacing w:before="0" w:after="0" w:line="240" w:lineRule="auto"/>
              <w:jc w:val="left"/>
            </w:pPr>
            <w:r>
              <w:rPr>
                <w:sz w:val="20"/>
                <w:szCs w:val="20"/>
              </w:rPr>
              <w:t xml:space="preserve">0.099 [0.084, 0.118]</w:t>
            </w:r>
          </w:p>
        </w:tc>
        <w:tc>
          <w:tcPr/>
          <w:p>
            <w:pPr>
              <w:spacing w:before="0" w:after="0" w:line="240" w:lineRule="auto"/>
              <w:jc w:val="left"/>
            </w:pPr>
            <w:r>
              <w:rPr>
                <w:sz w:val="20"/>
                <w:szCs w:val="20"/>
              </w:rPr>
              <w:t xml:space="preserve">0.78 [0.70, 0.83]</w:t>
            </w:r>
          </w:p>
        </w:tc>
        <w:tc>
          <w:tcPr/>
          <w:p>
            <w:pPr>
              <w:spacing w:before="0" w:after="0" w:line="240" w:lineRule="auto"/>
              <w:jc w:val="left"/>
            </w:pPr>
            <w:r>
              <w:rPr>
                <w:sz w:val="20"/>
                <w:szCs w:val="20"/>
              </w:rPr>
              <w:t xml:space="preserve">13,523</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0.976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0.087 [0.072, 0.103]</w:t>
            </w:r>
          </w:p>
        </w:tc>
        <w:tc>
          <w:tcPr/>
          <w:p>
            <w:pPr>
              <w:spacing w:before="0" w:after="0" w:line="240" w:lineRule="auto"/>
              <w:jc w:val="left"/>
            </w:pPr>
            <w:r>
              <w:rPr>
                <w:sz w:val="20"/>
                <w:szCs w:val="20"/>
              </w:rPr>
              <w:t xml:space="preserve">0.099 [0.084, 0.116]</w:t>
            </w:r>
          </w:p>
        </w:tc>
        <w:tc>
          <w:tcPr/>
          <w:p>
            <w:pPr>
              <w:spacing w:before="0" w:after="0" w:line="240" w:lineRule="auto"/>
              <w:jc w:val="left"/>
            </w:pPr>
            <w:r>
              <w:rPr>
                <w:sz w:val="20"/>
                <w:szCs w:val="20"/>
              </w:rPr>
              <w:t xml:space="preserve">0.79 [0.72, 0.84]</w:t>
            </w:r>
          </w:p>
        </w:tc>
        <w:tc>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0.883–0.892. Corollary 3 fixes the sign of the like-for-like gap, but not its size: the gap is 0.099–0.104 with interval lower bounds of at least 0.084, above the 0.05 margin at every frequency, so H1 is supported. The three-pair gap, which also uses the broad-market pairs that cannot be purged by weight, is 0.086–0.096, with Cohen’s q (Cohen 1988) of 0.78–0.89, reported descriptively because both coefficients come from the same sample. Overlap thus inflates co-movement that is already strong.</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like-for-like daily gap is 0.063–0.164 and the three-pair gap 0.052–0.153 (Tables S2 and S3). With w drawn in each replicate, the like-for-like intervals have lower bounds of 0.057–0.061 and every replicate exceeds 0.05, so H1 holds under weight uncertainty, although the size of the gap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grey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κ</w:t>
            </w:r>
          </w:p>
        </w:tc>
        <w:tc>
          <w:tcPr/>
          <w:p>
            <w:pPr>
              <w:spacing w:before="0" w:after="0" w:line="240" w:lineRule="auto"/>
              <w:jc w:val="left"/>
            </w:pPr>
            <w:r>
              <w:rPr>
                <w:sz w:val="20"/>
                <w:szCs w:val="20"/>
              </w:rPr>
              <w:t xml:space="preserve">Purged ρ</w:t>
            </w:r>
            <w:r>
              <w:rPr>
                <w:vertAlign w:val="subscript"/>
                <w:sz w:val="20"/>
                <w:szCs w:val="20"/>
              </w:rPr>
              <w:t xml:space="preserve">AM</w:t>
            </w:r>
          </w:p>
        </w:tc>
        <w:tc>
          <w:tcPr/>
          <w:p>
            <w:pPr>
              <w:spacing w:before="0" w:after="0" w:line="240" w:lineRule="auto"/>
              <w:jc w:val="left"/>
            </w:pPr>
            <w:r>
              <w:rPr>
                <w:sz w:val="20"/>
                <w:szCs w:val="20"/>
              </w:rPr>
              <w:t xml:space="preserve">Nested ρ</w:t>
            </w:r>
            <w:r>
              <w:rPr>
                <w:vertAlign w:val="subscript"/>
                <w:sz w:val="20"/>
                <w:szCs w:val="20"/>
              </w:rPr>
              <w:t xml:space="preserve">AB</w:t>
            </w:r>
          </w:p>
        </w:tc>
        <w:tc>
          <w:tcPr/>
          <w:p>
            <w:pPr>
              <w:spacing w:before="0" w:after="0" w:line="240" w:lineRule="auto"/>
              <w:jc w:val="left"/>
            </w:pPr>
            <w:r>
              <w:rPr>
                <w:sz w:val="20"/>
                <w:szCs w:val="20"/>
              </w:rPr>
              <w:t xml:space="preserve">Benchmark ρ̲</w:t>
            </w:r>
          </w:p>
        </w:tc>
        <w:tc>
          <w:tcPr/>
          <w:p>
            <w:pPr>
              <w:spacing w:before="0" w:after="0" w:line="240" w:lineRule="auto"/>
              <w:jc w:val="left"/>
            </w:pPr>
            <w:r>
              <w:rPr>
                <w:sz w:val="20"/>
                <w:szCs w:val="20"/>
              </w:rPr>
              <w:t xml:space="preserve">Bound √(1 − κ²)</w:t>
            </w:r>
          </w:p>
        </w:tc>
        <w:tc>
          <w:tcPr/>
          <w:p>
            <w:pPr>
              <w:spacing w:before="0" w:after="0" w:line="240" w:lineRule="auto"/>
              <w:jc w:val="left"/>
            </w:pPr>
            <w:r>
              <w:rPr>
                <w:sz w:val="20"/>
                <w:szCs w:val="20"/>
              </w:rPr>
              <w:t xml:space="preserve">Sensitivity</w:t>
            </w:r>
          </w:p>
        </w:tc>
        <w:tc>
          <w:tcPr/>
          <w:p>
            <w:pPr>
              <w:spacing w:before="0" w:after="0" w:line="240" w:lineRule="auto"/>
              <w:jc w:val="left"/>
            </w:pPr>
            <w:r>
              <w:rPr>
                <w:sz w:val="20"/>
                <w:szCs w:val="20"/>
              </w:rPr>
              <w:t xml:space="preserve">Benchmark-first share</w:t>
            </w:r>
          </w:p>
        </w:tc>
        <w:tc>
          <w:tcPr/>
          <w:p>
            <w:pPr>
              <w:spacing w:before="0" w:after="0" w:line="240" w:lineRule="auto"/>
              <w:jc w:val="left"/>
            </w:pPr>
            <w:r>
              <w:rPr>
                <w:sz w:val="20"/>
                <w:szCs w:val="20"/>
              </w:rPr>
              <w:t xml:space="preserve">Shapley overlap share</w:t>
            </w:r>
          </w:p>
        </w:tc>
      </w:tr>
      <w:tr>
        <w:tc>
          <w:tcPr/>
          <w:p>
            <w:pPr>
              <w:spacing w:before="0" w:after="0" w:line="240" w:lineRule="auto"/>
              <w:jc w:val="left"/>
            </w:pPr>
            <w:r>
              <w:rPr>
                <w:iCs/>
                <w:i/>
                <w:sz w:val="20"/>
                <w:szCs w:val="20"/>
              </w:rPr>
              <w:t xml:space="preserve">Panel A: sampling uncertainty, w fixed at the factsheet value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0.484</w:t>
            </w:r>
          </w:p>
        </w:tc>
        <w:tc>
          <w:tcPr/>
          <w:p>
            <w:pPr>
              <w:spacing w:before="0" w:after="0" w:line="240" w:lineRule="auto"/>
              <w:jc w:val="left"/>
            </w:pPr>
            <w:r>
              <w:rPr>
                <w:sz w:val="20"/>
                <w:szCs w:val="20"/>
              </w:rPr>
              <w:t xml:space="preserve">0.884 [0.857, 0.906]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[0.891, 0.910]</w:t>
            </w:r>
          </w:p>
        </w:tc>
        <w:tc>
          <w:tcPr/>
          <w:p>
            <w:pPr>
              <w:spacing w:before="0" w:after="0" w:line="240" w:lineRule="auto"/>
              <w:jc w:val="left"/>
            </w:pPr>
            <w:r>
              <w:rPr>
                <w:sz w:val="20"/>
                <w:szCs w:val="20"/>
              </w:rPr>
              <w:t xml:space="preserve">0.875</w:t>
            </w:r>
          </w:p>
        </w:tc>
        <w:tc>
          <w:tcPr/>
          <w:p>
            <w:pPr>
              <w:spacing w:before="0" w:after="0" w:line="240" w:lineRule="auto"/>
              <w:jc w:val="left"/>
            </w:pPr>
            <w:r>
              <w:rPr>
                <w:sz w:val="20"/>
                <w:szCs w:val="20"/>
              </w:rPr>
              <w:t xml:space="preserve">0.106 [0.098, 0.114]</w:t>
            </w:r>
          </w:p>
        </w:tc>
        <w:tc>
          <w:tcPr/>
          <w:p>
            <w:pPr>
              <w:spacing w:before="0" w:after="0" w:line="240" w:lineRule="auto"/>
              <w:jc w:val="left"/>
            </w:pPr>
            <w:r>
              <w:rPr>
                <w:sz w:val="20"/>
                <w:szCs w:val="20"/>
              </w:rPr>
              <w:t xml:space="preserve">0.911</w:t>
            </w:r>
          </w:p>
        </w:tc>
        <w:tc>
          <w:tcPr/>
          <w:p>
            <w:pPr>
              <w:spacing w:before="0" w:after="0" w:line="240" w:lineRule="auto"/>
              <w:jc w:val="left"/>
            </w:pPr>
            <w:r>
              <w:rPr>
                <w:sz w:val="20"/>
                <w:szCs w:val="20"/>
              </w:rPr>
              <w:t xml:space="preserve">0.508 [0.498, 0.521]</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0.503</w:t>
            </w:r>
          </w:p>
        </w:tc>
        <w:tc>
          <w:tcPr/>
          <w:p>
            <w:pPr>
              <w:spacing w:before="0" w:after="0" w:line="240" w:lineRule="auto"/>
              <w:jc w:val="left"/>
            </w:pPr>
            <w:r>
              <w:rPr>
                <w:sz w:val="20"/>
                <w:szCs w:val="20"/>
              </w:rPr>
              <w:t xml:space="preserve">0.883 [0.859, 0.904]</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0.893 [0.882, 0.903]</w:t>
            </w:r>
          </w:p>
        </w:tc>
        <w:tc>
          <w:tcPr/>
          <w:p>
            <w:pPr>
              <w:spacing w:before="0" w:after="0" w:line="240" w:lineRule="auto"/>
              <w:jc w:val="left"/>
            </w:pPr>
            <w:r>
              <w:rPr>
                <w:sz w:val="20"/>
                <w:szCs w:val="20"/>
              </w:rPr>
              <w:t xml:space="preserve">0.864</w:t>
            </w:r>
          </w:p>
        </w:tc>
        <w:tc>
          <w:tcPr/>
          <w:p>
            <w:pPr>
              <w:spacing w:before="0" w:after="0" w:line="240" w:lineRule="auto"/>
              <w:jc w:val="left"/>
            </w:pPr>
            <w:r>
              <w:rPr>
                <w:sz w:val="20"/>
                <w:szCs w:val="20"/>
              </w:rPr>
              <w:t xml:space="preserve">0.112 [0.104, 0.122]</w:t>
            </w:r>
          </w:p>
        </w:tc>
        <w:tc>
          <w:tcPr/>
          <w:p>
            <w:pPr>
              <w:spacing w:before="0" w:after="0" w:line="240" w:lineRule="auto"/>
              <w:jc w:val="left"/>
            </w:pPr>
            <w:r>
              <w:rPr>
                <w:sz w:val="20"/>
                <w:szCs w:val="20"/>
              </w:rPr>
              <w:t xml:space="preserve">0.905</w:t>
            </w:r>
          </w:p>
        </w:tc>
        <w:tc>
          <w:tcPr/>
          <w:p>
            <w:pPr>
              <w:spacing w:before="0" w:after="0" w:line="240" w:lineRule="auto"/>
              <w:jc w:val="left"/>
            </w:pPr>
            <w:r>
              <w:rPr>
                <w:sz w:val="20"/>
                <w:szCs w:val="20"/>
              </w:rPr>
              <w:t xml:space="preserve">0.505 [0.497, 0.515]</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0.486</w:t>
            </w:r>
          </w:p>
        </w:tc>
        <w:tc>
          <w:tcPr/>
          <w:p>
            <w:pPr>
              <w:spacing w:before="0" w:after="0" w:line="240" w:lineRule="auto"/>
              <w:jc w:val="left"/>
            </w:pPr>
            <w:r>
              <w:rPr>
                <w:sz w:val="20"/>
                <w:szCs w:val="20"/>
              </w:rPr>
              <w:t xml:space="preserve">0.889 [0.868, 0.905]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0.899 [0.889, 0.909]</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0.107 [0.099, 0.116]</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0.485</w:t>
            </w:r>
          </w:p>
        </w:tc>
        <w:tc>
          <w:tcPr/>
          <w:p>
            <w:pPr>
              <w:spacing w:before="0" w:after="0" w:line="240" w:lineRule="auto"/>
              <w:jc w:val="left"/>
            </w:pPr>
            <w:r>
              <w:rPr>
                <w:sz w:val="20"/>
                <w:szCs w:val="20"/>
              </w:rPr>
              <w:t xml:space="preserve">0.890 [0.865, 0.908]</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[0.890, 0.910]</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0.106 [0.098, 0.115]</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iCs/>
                <w:i/>
                <w:sz w:val="20"/>
                <w:szCs w:val="20"/>
              </w:rPr>
              <w:t xml:space="preserve">Panel B: sampling and weight uncertainty, w ~ U(0.60, 0.75) in each replicate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pPr>
          </w:p>
        </w:tc>
        <w:tc>
          <w:tcPr/>
          <w:p>
            <w:pPr>
              <w:spacing w:before="0" w:after="0" w:line="240" w:lineRule="auto"/>
              <w:jc w:val="left"/>
            </w:pPr>
            <w:r>
              <w:rPr>
                <w:sz w:val="20"/>
                <w:szCs w:val="20"/>
              </w:rPr>
              <w:t xml:space="preserve">0.884 [0.821, 0.931]</w:t>
            </w:r>
          </w:p>
        </w:tc>
        <w:tc>
          <w:tcPr/>
          <w:p>
            <w:pPr>
              <w:spacing w:before="0" w:after="0" w:line="240" w:lineRule="auto"/>
            </w:pPr>
          </w:p>
        </w:tc>
        <w:tc>
          <w:tcPr/>
          <w:p>
            <w:pPr>
              <w:spacing w:before="0" w:after="0" w:line="240" w:lineRule="auto"/>
              <w:jc w:val="left"/>
            </w:pPr>
            <w:r>
              <w:rPr>
                <w:sz w:val="20"/>
                <w:szCs w:val="20"/>
              </w:rPr>
              <w:t xml:space="preserve">0.900 [0.830, 0.938]</w:t>
            </w:r>
          </w:p>
        </w:tc>
        <w:tc>
          <w:tcPr/>
          <w:p>
            <w:pPr>
              <w:spacing w:before="0" w:after="0" w:line="240" w:lineRule="auto"/>
            </w:pPr>
          </w:p>
        </w:tc>
        <w:tc>
          <w:tcPr/>
          <w:p>
            <w:pPr>
              <w:spacing w:before="0" w:after="0" w:line="240" w:lineRule="auto"/>
              <w:jc w:val="left"/>
            </w:pPr>
            <w:r>
              <w:rPr>
                <w:sz w:val="20"/>
                <w:szCs w:val="20"/>
              </w:rPr>
              <w:t xml:space="preserve">0.106 [0.071, 0.163]</w:t>
            </w:r>
          </w:p>
        </w:tc>
        <w:tc>
          <w:tcPr/>
          <w:p>
            <w:pPr>
              <w:spacing w:before="0" w:after="0" w:line="240" w:lineRule="auto"/>
              <w:jc w:val="left"/>
            </w:pPr>
            <w:r>
              <w:rPr>
                <w:sz w:val="20"/>
                <w:szCs w:val="20"/>
              </w:rPr>
              <w:t xml:space="preserve">0.911 [0.841, 0.949]</w:t>
            </w:r>
          </w:p>
        </w:tc>
        <w:tc>
          <w:tcPr/>
          <w:p>
            <w:pPr>
              <w:spacing w:before="0" w:after="0" w:line="240" w:lineRule="auto"/>
              <w:jc w:val="left"/>
            </w:pPr>
            <w:r>
              <w:rPr>
                <w:sz w:val="20"/>
                <w:szCs w:val="20"/>
              </w:rPr>
              <w:t xml:space="preserve">0.508 [0.452, 0.556]</w:t>
            </w:r>
          </w:p>
        </w:tc>
      </w:tr>
      <w:tr>
        <w:tc>
          <w:tcPr/>
          <w:p>
            <w:pPr>
              <w:spacing w:before="0" w:after="0" w:line="240" w:lineRule="auto"/>
              <w:jc w:val="left"/>
            </w:pPr>
            <w:r>
              <w:rPr>
                <w:sz w:val="20"/>
                <w:szCs w:val="20"/>
              </w:rPr>
              <w:t xml:space="preserve">30-minute (M30)</w:t>
            </w:r>
          </w:p>
        </w:tc>
        <w:tc>
          <w:tcPr/>
          <w:p>
            <w:pPr>
              <w:spacing w:before="0" w:after="0" w:line="240" w:lineRule="auto"/>
            </w:pPr>
          </w:p>
        </w:tc>
        <w:tc>
          <w:tcPr/>
          <w:p>
            <w:pPr>
              <w:spacing w:before="0" w:after="0" w:line="240" w:lineRule="auto"/>
              <w:jc w:val="left"/>
            </w:pPr>
            <w:r>
              <w:rPr>
                <w:sz w:val="20"/>
                <w:szCs w:val="20"/>
              </w:rPr>
              <w:t xml:space="preserve">0.883 [0.817, 0.926]</w:t>
            </w:r>
          </w:p>
        </w:tc>
        <w:tc>
          <w:tcPr/>
          <w:p>
            <w:pPr>
              <w:spacing w:before="0" w:after="0" w:line="240" w:lineRule="auto"/>
            </w:pPr>
          </w:p>
        </w:tc>
        <w:tc>
          <w:tcPr/>
          <w:p>
            <w:pPr>
              <w:spacing w:before="0" w:after="0" w:line="240" w:lineRule="auto"/>
              <w:jc w:val="left"/>
            </w:pPr>
            <w:r>
              <w:rPr>
                <w:sz w:val="20"/>
                <w:szCs w:val="20"/>
              </w:rPr>
              <w:t xml:space="preserve">0.893 [0.823, 0.932]</w:t>
            </w:r>
          </w:p>
        </w:tc>
        <w:tc>
          <w:tcPr/>
          <w:p>
            <w:pPr>
              <w:spacing w:before="0" w:after="0" w:line="240" w:lineRule="auto"/>
            </w:pPr>
          </w:p>
        </w:tc>
        <w:tc>
          <w:tcPr/>
          <w:p>
            <w:pPr>
              <w:spacing w:before="0" w:after="0" w:line="240" w:lineRule="auto"/>
              <w:jc w:val="left"/>
            </w:pPr>
            <w:r>
              <w:rPr>
                <w:sz w:val="20"/>
                <w:szCs w:val="20"/>
              </w:rPr>
              <w:t xml:space="preserve">0.112 [0.077, 0.168]</w:t>
            </w:r>
          </w:p>
        </w:tc>
        <w:tc>
          <w:tcPr/>
          <w:p>
            <w:pPr>
              <w:spacing w:before="0" w:after="0" w:line="240" w:lineRule="auto"/>
              <w:jc w:val="left"/>
            </w:pPr>
            <w:r>
              <w:rPr>
                <w:sz w:val="20"/>
                <w:szCs w:val="20"/>
              </w:rPr>
              <w:t xml:space="preserve">0.905 [0.834, 0.944]</w:t>
            </w:r>
          </w:p>
        </w:tc>
        <w:tc>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M = P</w:t>
      </w:r>
      <w:r>
        <w:rPr>
          <w:vertAlign w:val="subscript"/>
          <w:sz w:val="20"/>
          <w:szCs w:val="20"/>
        </w:rPr>
        <w:t xml:space="preserve">cap</w:t>
      </w:r>
      <w:r>
        <w:rPr>
          <w:sz w:val="20"/>
          <w:szCs w:val="20"/>
        </w:rPr>
        <w:t xml:space="preserve">. Brackets: block-bootstrap 95% intervals; Panel B is computed for the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index-level number by 0.01 requires the purged coefficient to move by about 0.09, and with weight uncertainty the interval is 0.07–0.17. With κ of 0.48–0.50, the remaining 32% of VN100 contributes about half as much detrended variation as VN30, the benchmark is 0.893–0.900 and the lower bound of Eq. (9) is 0.864–0.875: no purged coefficient in [−1, 1] could push the VN30–VN100 coefficient below about 0.86.</w:t>
      </w:r>
    </w:p>
    <w:p>
      <w:pPr>
        <w:pStyle w:val="BodyText"/>
        <w:spacing w:before="0" w:after="120" w:line="300" w:lineRule="auto"/>
        <w:jc w:val="both"/>
      </w:pPr>
      <w:r>
        <w:rPr>
          <w:rFonts w:ascii="Times New Roman" w:hAnsi="Times New Roman" w:cs="Times New Roman" w:eastAsia="Times New Roman"/>
          <w:sz w:val="24"/>
          <w:szCs w:val="24"/>
        </w:rPr>
        <w:t xml:space="preserve">How much of the observed 0.987–0.988 is due to overlap depends on the question. The benchmark-first share is 0.905–0.911 and the dependence-first share 0.895–0.900, because either factor alone produces a coefficient near 0.9; the Shapley split attributes 0.505–0.508 to overlap (intervals within 0.497–0.521). Weight uncertainty widens the Shapley intervals to 0.45–0.56 and the benchmark-first intervals to 0.83–0.95, against a sampling-only width of about 0.02, so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a negligible slope of about −0.002. On full-sample Pearson moments the benchmark is 0.898–0.903 and the benchmark-first share 0.911–0.914, within 0.01 of the DCCA values. Here the multiscale layer is a check of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contours show the Pearson benchmark by child weight and relative volatility of the remainder, and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 Even a child weight of 0.5 with equal volatilities gives a benchmark of about 0.7.</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(H2)</w:t>
      </w:r>
    </w:p>
    <w:p>
      <w:pPr>
        <w:pStyle w:val="p1a"/>
        <w:spacing w:before="0" w:after="120" w:line="300" w:lineRule="auto"/>
        <w:jc w:val="both"/>
      </w:pPr>
      <w:r>
        <w:rPr>
          <w:rFonts w:ascii="Times New Roman" w:hAnsi="Times New Roman" w:cs="Times New Roman" w:eastAsia="Times New Roman"/>
          <w:sz w:val="24"/>
          <w:szCs w:val="24"/>
        </w:rPr>
        <w:t xml:space="preserve">Table 6 reports reliable-range slopes for the four main pairs with bootstrap, studentized and adjusted p-values.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Pair</w:t>
            </w:r>
          </w:p>
        </w:tc>
        <w:tc>
          <w:tcPr/>
          <w:p>
            <w:pPr>
              <w:spacing w:before="0" w:after="0" w:line="240" w:lineRule="auto"/>
              <w:jc w:val="left"/>
            </w:pPr>
            <w:r>
              <w:rPr>
                <w:sz w:val="20"/>
                <w:szCs w:val="20"/>
              </w:rPr>
              <w:t xml:space="preserve">Slope [95% CI]</w:t>
            </w:r>
          </w:p>
        </w:tc>
        <w:tc>
          <w:tcPr/>
          <w:p>
            <w:pPr>
              <w:spacing w:before="0" w:after="0" w:line="240" w:lineRule="auto"/>
              <w:jc w:val="left"/>
            </w:pPr>
            <w:r>
              <w:rPr>
                <w:sz w:val="20"/>
                <w:szCs w:val="20"/>
              </w:rPr>
              <w:t xml:space="preserve">p (bootstrap)</w:t>
            </w:r>
          </w:p>
        </w:tc>
        <w:tc>
          <w:tcPr/>
          <w:p>
            <w:pPr>
              <w:spacing w:before="0" w:after="0" w:line="240" w:lineRule="auto"/>
              <w:jc w:val="left"/>
            </w:pPr>
            <w:r>
              <w:rPr>
                <w:sz w:val="20"/>
                <w:szCs w:val="20"/>
              </w:rPr>
              <w:t xml:space="preserve">p (studentized)</w:t>
            </w:r>
          </w:p>
        </w:tc>
        <w:tc>
          <w:tcPr/>
          <w:p>
            <w:pPr>
              <w:spacing w:before="0" w:after="0" w:line="240" w:lineRule="auto"/>
              <w:jc w:val="left"/>
            </w:pPr>
            <w:r>
              <w:rPr>
                <w:sz w:val="20"/>
                <w:szCs w:val="20"/>
              </w:rPr>
              <w:t xml:space="preserve">Holm, 19 tests</w:t>
            </w:r>
          </w:p>
        </w:tc>
        <w:tc>
          <w:tcPr/>
          <w:p>
            <w:pPr>
              <w:spacing w:before="0" w:after="0" w:line="240" w:lineRule="auto"/>
              <w:jc w:val="left"/>
            </w:pPr>
            <w:r>
              <w:rPr>
                <w:sz w:val="20"/>
                <w:szCs w:val="20"/>
              </w:rPr>
              <w:t xml:space="preserve">Holm, H2 family</w:t>
            </w:r>
          </w:p>
        </w:tc>
        <w:tc>
          <w:tcPr/>
          <w:p>
            <w:pPr>
              <w:spacing w:before="0" w:after="0" w:line="240" w:lineRule="auto"/>
              <w:jc w:val="left"/>
            </w:pPr>
            <w:r>
              <w:rPr>
                <w:sz w:val="20"/>
                <w:szCs w:val="20"/>
              </w:rPr>
              <w:t xml:space="preserve">TOST p</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0.0010 [−0.0031, 0.0043]</w:t>
            </w:r>
          </w:p>
        </w:tc>
        <w:tc>
          <w:tcPr/>
          <w:p>
            <w:pPr>
              <w:spacing w:before="0" w:after="0" w:line="240" w:lineRule="auto"/>
              <w:jc w:val="left"/>
            </w:pPr>
            <w:r>
              <w:rPr>
                <w:sz w:val="20"/>
                <w:szCs w:val="20"/>
              </w:rPr>
              <w:t xml:space="preserve">0.700</w:t>
            </w:r>
          </w:p>
        </w:tc>
        <w:tc>
          <w:tcPr/>
          <w:p>
            <w:pPr>
              <w:spacing w:before="0" w:after="0" w:line="240" w:lineRule="auto"/>
              <w:jc w:val="left"/>
            </w:pPr>
            <w:r>
              <w:rPr>
                <w:sz w:val="20"/>
                <w:szCs w:val="20"/>
              </w:rPr>
              <w:t xml:space="preserve">0.602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0.0008 [−0.0021, 0.0027]</w:t>
            </w:r>
          </w:p>
        </w:tc>
        <w:tc>
          <w:tcPr/>
          <w:p>
            <w:pPr>
              <w:spacing w:before="0" w:after="0" w:line="240" w:lineRule="auto"/>
              <w:jc w:val="left"/>
            </w:pPr>
            <w:r>
              <w:rPr>
                <w:sz w:val="20"/>
                <w:szCs w:val="20"/>
              </w:rPr>
              <w:t xml:space="preserve">0.736</w:t>
            </w:r>
          </w:p>
        </w:tc>
        <w:tc>
          <w:tcPr/>
          <w:p>
            <w:pPr>
              <w:spacing w:before="0" w:after="0" w:line="240" w:lineRule="auto"/>
              <w:jc w:val="left"/>
            </w:pPr>
            <w:r>
              <w:rPr>
                <w:sz w:val="20"/>
                <w:szCs w:val="20"/>
              </w:rPr>
              <w:t xml:space="preserve">0.530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−0.0008 [−0.0023, 0.0008]</w:t>
            </w:r>
          </w:p>
        </w:tc>
        <w:tc>
          <w:tcPr/>
          <w:p>
            <w:pPr>
              <w:spacing w:before="0" w:after="0" w:line="240" w:lineRule="auto"/>
              <w:jc w:val="left"/>
            </w:pPr>
            <w:r>
              <w:rPr>
                <w:sz w:val="20"/>
                <w:szCs w:val="20"/>
              </w:rPr>
              <w:t xml:space="preserve">0.348</w:t>
            </w:r>
          </w:p>
        </w:tc>
        <w:tc>
          <w:tcPr/>
          <w:p>
            <w:pPr>
              <w:spacing w:before="0" w:after="0" w:line="240" w:lineRule="auto"/>
              <w:jc w:val="left"/>
            </w:pPr>
            <w:r>
              <w:rPr>
                <w:sz w:val="20"/>
                <w:szCs w:val="20"/>
              </w:rPr>
              <w:t xml:space="preserve">0.319</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0.385</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−0.0040 [−0.0157, 0.0085]</w:t>
            </w:r>
          </w:p>
        </w:tc>
        <w:tc>
          <w:tcPr/>
          <w:p>
            <w:pPr>
              <w:spacing w:before="0" w:after="0" w:line="240" w:lineRule="auto"/>
              <w:jc w:val="left"/>
            </w:pPr>
            <w:r>
              <w:rPr>
                <w:sz w:val="20"/>
                <w:szCs w:val="20"/>
              </w:rPr>
              <w:t xml:space="preserve">0.576</w:t>
            </w:r>
          </w:p>
        </w:tc>
        <w:tc>
          <w:tcPr/>
          <w:p>
            <w:pPr>
              <w:spacing w:before="0" w:after="0" w:line="240" w:lineRule="auto"/>
              <w:jc w:val="left"/>
            </w:pPr>
            <w:r>
              <w:rPr>
                <w:sz w:val="20"/>
                <w:szCs w:val="20"/>
              </w:rPr>
              <w:t xml:space="preserve">0.512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0.0022 [0.0007, 0.0038]</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0.009</w:t>
            </w:r>
          </w:p>
        </w:tc>
        <w:tc>
          <w:tcPr/>
          <w:p>
            <w:pPr>
              <w:spacing w:before="0" w:after="0" w:line="240" w:lineRule="auto"/>
              <w:jc w:val="left"/>
            </w:pPr>
            <w:r>
              <w:rPr>
                <w:sz w:val="20"/>
                <w:szCs w:val="20"/>
              </w:rPr>
              <w:t xml:space="preserve">0.144</w:t>
            </w:r>
          </w:p>
        </w:tc>
        <w:tc>
          <w:tcPr/>
          <w:p>
            <w:pPr>
              <w:spacing w:before="0" w:after="0" w:line="240" w:lineRule="auto"/>
              <w:jc w:val="left"/>
            </w:pPr>
            <w:r>
              <w:rPr>
                <w:sz w:val="20"/>
                <w:szCs w:val="20"/>
              </w:rPr>
              <w:t xml:space="preserve">0.045</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0.0022 [0.0011, 0.0032]</w:t>
            </w:r>
          </w:p>
        </w:tc>
        <w:tc>
          <w:tcPr/>
          <w:p>
            <w:pPr>
              <w:spacing w:before="0" w:after="0" w:line="240" w:lineRule="auto"/>
              <w:jc w:val="left"/>
            </w:pPr>
            <w:r>
              <w:rPr>
                <w:sz w:val="20"/>
                <w:szCs w:val="20"/>
              </w:rPr>
              <w:t xml:space="preserve">&lt; 0.005</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0.002</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0.0007]</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0.863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0.007</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0.0017 [−0.0045, 0.0078]</w:t>
            </w:r>
          </w:p>
        </w:tc>
        <w:tc>
          <w:tcPr/>
          <w:p>
            <w:pPr>
              <w:spacing w:before="0" w:after="0" w:line="240" w:lineRule="auto"/>
              <w:jc w:val="left"/>
            </w:pPr>
            <w:r>
              <w:rPr>
                <w:sz w:val="20"/>
                <w:szCs w:val="20"/>
              </w:rPr>
              <w:t xml:space="preserve">0.520</w:t>
            </w:r>
          </w:p>
        </w:tc>
        <w:tc>
          <w:tcPr/>
          <w:p>
            <w:pPr>
              <w:spacing w:before="0" w:after="0" w:line="240" w:lineRule="auto"/>
              <w:jc w:val="left"/>
            </w:pPr>
            <w:r>
              <w:rPr>
                <w:sz w:val="20"/>
                <w:szCs w:val="20"/>
              </w:rPr>
              <w:t xml:space="preserve">0.603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0.0024 [0.0006, 0.0041]</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0.0019 [0.0007, 0.0032]</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0.0009]</w:t>
            </w:r>
          </w:p>
        </w:tc>
        <w:tc>
          <w:tcPr/>
          <w:p>
            <w:pPr>
              <w:spacing w:before="0" w:after="0" w:line="240" w:lineRule="auto"/>
              <w:jc w:val="left"/>
            </w:pPr>
            <w:r>
              <w:rPr>
                <w:sz w:val="20"/>
                <w:szCs w:val="20"/>
              </w:rPr>
              <w:t xml:space="preserve">0.652</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0.012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[−0.0035, 0.0089]</w:t>
            </w:r>
          </w:p>
        </w:tc>
        <w:tc>
          <w:tcPr/>
          <w:p>
            <w:pPr>
              <w:spacing w:before="0" w:after="0" w:line="240" w:lineRule="auto"/>
              <w:jc w:val="left"/>
            </w:pPr>
            <w:r>
              <w:rPr>
                <w:sz w:val="20"/>
                <w:szCs w:val="20"/>
              </w:rPr>
              <w:t xml:space="preserve">0.392</w:t>
            </w:r>
          </w:p>
        </w:tc>
        <w:tc>
          <w:tcPr/>
          <w:p>
            <w:pPr>
              <w:spacing w:before="0" w:after="0" w:line="240" w:lineRule="auto"/>
              <w:jc w:val="left"/>
            </w:pPr>
            <w:r>
              <w:rPr>
                <w:sz w:val="20"/>
                <w:szCs w:val="20"/>
              </w:rPr>
              <w:t xml:space="preserve">0.552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0.0003 [−0.0026, 0.0029]</w:t>
            </w:r>
          </w:p>
        </w:tc>
        <w:tc>
          <w:tcPr/>
          <w:p>
            <w:pPr>
              <w:spacing w:before="0" w:after="0" w:line="240" w:lineRule="auto"/>
              <w:jc w:val="left"/>
            </w:pPr>
            <w:r>
              <w:rPr>
                <w:sz w:val="20"/>
                <w:szCs w:val="20"/>
              </w:rPr>
              <w:t xml:space="preserve">0.852</w:t>
            </w:r>
          </w:p>
        </w:tc>
        <w:tc>
          <w:tcPr/>
          <w:p>
            <w:pPr>
              <w:spacing w:before="0" w:after="0" w:line="240" w:lineRule="auto"/>
              <w:jc w:val="left"/>
            </w:pPr>
            <w:r>
              <w:rPr>
                <w:sz w:val="20"/>
                <w:szCs w:val="20"/>
              </w:rPr>
              <w:t xml:space="preserve">0.807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0.0002 [−0.0018, 0.0021]</w:t>
            </w:r>
          </w:p>
        </w:tc>
        <w:tc>
          <w:tcPr/>
          <w:p>
            <w:pPr>
              <w:spacing w:before="0" w:after="0" w:line="240" w:lineRule="auto"/>
              <w:jc w:val="left"/>
            </w:pPr>
            <w:r>
              <w:rPr>
                <w:sz w:val="20"/>
                <w:szCs w:val="20"/>
              </w:rPr>
              <w:t xml:space="preserve">0.800</w:t>
            </w:r>
          </w:p>
        </w:tc>
        <w:tc>
          <w:tcPr/>
          <w:p>
            <w:pPr>
              <w:spacing w:before="0" w:after="0" w:line="240" w:lineRule="auto"/>
              <w:jc w:val="left"/>
            </w:pPr>
            <w:r>
              <w:rPr>
                <w:sz w:val="20"/>
                <w:szCs w:val="20"/>
              </w:rPr>
              <w:t xml:space="preserve">0.856</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−0.0004 [−0.0018, 0.0007]</w:t>
            </w:r>
          </w:p>
        </w:tc>
        <w:tc>
          <w:tcPr/>
          <w:p>
            <w:pPr>
              <w:spacing w:before="0" w:after="0" w:line="240" w:lineRule="auto"/>
              <w:jc w:val="left"/>
            </w:pPr>
            <w:r>
              <w:rPr>
                <w:sz w:val="20"/>
                <w:szCs w:val="20"/>
              </w:rPr>
              <w:t xml:space="preserve">0.628</w:t>
            </w:r>
          </w:p>
        </w:tc>
        <w:tc>
          <w:tcPr/>
          <w:p>
            <w:pPr>
              <w:spacing w:before="0" w:after="0" w:line="240" w:lineRule="auto"/>
              <w:jc w:val="left"/>
            </w:pPr>
            <w:r>
              <w:rPr>
                <w:sz w:val="20"/>
                <w:szCs w:val="20"/>
              </w:rPr>
              <w:t xml:space="preserve">0.541</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0.142</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[−0.0124, 0.0067]</w:t>
            </w:r>
          </w:p>
        </w:tc>
        <w:tc>
          <w:tcPr/>
          <w:p>
            <w:pPr>
              <w:spacing w:before="0" w:after="0" w:line="240" w:lineRule="auto"/>
              <w:jc w:val="left"/>
            </w:pPr>
            <w:r>
              <w:rPr>
                <w:sz w:val="20"/>
                <w:szCs w:val="20"/>
              </w:rPr>
              <w:t xml:space="preserve">0.760</w:t>
            </w:r>
          </w:p>
        </w:tc>
        <w:tc>
          <w:tcPr/>
          <w:p>
            <w:pPr>
              <w:spacing w:before="0" w:after="0" w:line="240" w:lineRule="auto"/>
              <w:jc w:val="left"/>
            </w:pPr>
            <w:r>
              <w:rPr>
                <w:sz w:val="20"/>
                <w:szCs w:val="20"/>
              </w:rPr>
              <w:t xml:space="preserve">0.667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Holm, 19 tests: studentized p adjusted over the original 19 tests, which include three statistical proxies at M30 (Table S8); H2 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intraday frequencies. In the H2 family, four slopes survive Holm adjustment (VN100–VNINDEX at H1; VN30–VNINDEX at H1; VN100–VNINDEX at M30; VN30–VNINDEX at M30), with estimates of 0.0019–0.0024, a rise of about 0.01 across the reliable range; none is significant at 1D or H4, so H2 is supported on the full data. Over the original 19 tests, Holm keeps one studentized slope and Benjamini–Hochberg four, and with percentile p-values none survives (smallest BH-adjusted p = 0.057). The VN30–VN100 slope is equivalent to zero at M30 and H1 (TOST p = 0.007, 0.012) and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insignificant everywhere.</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is 0.106–0.112,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 a purged slope of 0.01 per unit of ln s, five times the broad-market slopes, would move the nested slope by about 0.001, the TOST margin.</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the intraday result. The first bar of each day holds the overnight return and the opening auction, where intraday volatility peaks (Andersen and Bollerslev 1997): it is 10% of M30 bars but carries 37% of squared VN30 returns, and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while the overlap gap does not change (0.107 [0.094, 0.127] at M30) and the slope intervals are stable across block lengths (Table S15). Horizon dependence is thus a property of the bars containing the overnight return and the call auctions, not of continuous trading; it is consistent with the Epps (1979) mechanism if the auctions are where prices of less liquid constituents catch up.</w:t>
      </w:r>
    </w:p>
    <w:p>
      <w:pPr>
        <w:pStyle w:val="heading20"/>
        <w:numPr>
          <w:ilvl w:val="0"/>
          <w:numId w:val="0"/>
        </w:numPr>
      </w:pPr>
      <w:r>
        <w:rPr>
          <w:rFonts w:ascii="Times New Roman" w:hAnsi="Times New Roman" w:cs="Times New Roman" w:eastAsia="Times New Roman"/>
          <w:b/>
          <w:sz w:val="24"/>
          <w:szCs w:val="24"/>
        </w:rPr>
        <w:t xml:space="preserve">5.5 Crisis dependence (H3)</w:t>
      </w:r>
    </w:p>
    <w:p>
      <w:pPr>
        <w:pStyle w:val="p1a"/>
        <w:spacing w:before="0" w:after="120" w:line="300" w:lineRule="auto"/>
        <w:jc w:val="both"/>
      </w:pPr>
      <w:r>
        <w:rPr>
          <w:rFonts w:ascii="Times New Roman" w:hAnsi="Times New Roman" w:cs="Times New Roman" w:eastAsia="Times New Roman"/>
          <w:sz w:val="24"/>
          <w:szCs w:val="24"/>
        </w:rPr>
        <w:t xml:space="preserve">Table 7 reports the Forbes–Rigobon and single-factor tests under three regime definitions.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Regime definition</w:t>
            </w:r>
          </w:p>
        </w:tc>
        <w:tc>
          <w:tcPr/>
          <w:p>
            <w:pPr>
              <w:spacing w:before="0" w:after="0" w:line="240" w:lineRule="auto"/>
              <w:jc w:val="left"/>
            </w:pPr>
            <w:r>
              <w:rPr>
                <w:sz w:val="20"/>
                <w:szCs w:val="20"/>
              </w:rPr>
              <w:t xml:space="preserve">ρ</w:t>
            </w:r>
            <w:r>
              <w:rPr>
                <w:vertAlign w:val="subscript"/>
                <w:sz w:val="20"/>
                <w:szCs w:val="20"/>
              </w:rPr>
              <w:t xml:space="preserve">low</w:t>
            </w:r>
          </w:p>
        </w:tc>
        <w:tc>
          <w:tcPr/>
          <w:p>
            <w:pPr>
              <w:spacing w:before="0" w:after="0" w:line="240" w:lineRule="auto"/>
              <w:jc w:val="left"/>
            </w:pPr>
            <w:r>
              <w:rPr>
                <w:sz w:val="20"/>
                <w:szCs w:val="20"/>
              </w:rPr>
              <w:t xml:space="preserve">ρ</w:t>
            </w:r>
            <w:r>
              <w:rPr>
                <w:vertAlign w:val="subscript"/>
                <w:sz w:val="20"/>
                <w:szCs w:val="20"/>
              </w:rPr>
              <w:t xml:space="preserve">high</w:t>
            </w:r>
          </w:p>
        </w:tc>
        <w:tc>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p>
            <w:pPr>
              <w:spacing w:before="0" w:after="0" w:line="240" w:lineRule="auto"/>
              <w:jc w:val="left"/>
            </w:pPr>
            <w:r>
              <w:rPr>
                <w:sz w:val="20"/>
                <w:szCs w:val="20"/>
              </w:rPr>
              <w:t xml:space="preserve">p (FR)</w:t>
            </w:r>
          </w:p>
        </w:tc>
        <w:tc>
          <w:tcPr/>
          <w:p>
            <w:pPr>
              <w:spacing w:before="0" w:after="0" w:line="240" w:lineRule="auto"/>
              <w:jc w:val="left"/>
            </w:pPr>
            <w:r>
              <w:rPr>
                <w:sz w:val="20"/>
                <w:szCs w:val="20"/>
              </w:rPr>
              <w:t xml:space="preserve">β_low</w:t>
            </w:r>
          </w:p>
        </w:tc>
        <w:tc>
          <w:tcPr/>
          <w:p>
            <w:pPr>
              <w:spacing w:before="0" w:after="0" w:line="240" w:lineRule="auto"/>
              <w:jc w:val="left"/>
            </w:pPr>
            <w:r>
              <w:rPr>
                <w:sz w:val="20"/>
                <w:szCs w:val="20"/>
              </w:rPr>
              <w:t xml:space="preserve">β_high</w:t>
            </w:r>
          </w:p>
        </w:tc>
        <w:tc>
          <w:tcPr/>
          <w:p>
            <w:pPr>
              <w:spacing w:before="0" w:after="0" w:line="240" w:lineRule="auto"/>
              <w:jc w:val="left"/>
            </w:pPr>
            <w:r>
              <w:rPr>
                <w:sz w:val="20"/>
                <w:szCs w:val="20"/>
              </w:rPr>
              <w:t xml:space="preserve">Δβ [95% CI]</w:t>
            </w:r>
          </w:p>
        </w:tc>
        <w:tc>
          <w:tcPr/>
          <w:p>
            <w:pPr>
              <w:spacing w:before="0" w:after="0" w:line="240" w:lineRule="auto"/>
              <w:jc w:val="left"/>
            </w:pPr>
            <w:r>
              <w:rPr>
                <w:sz w:val="20"/>
                <w:szCs w:val="20"/>
              </w:rPr>
              <w:t xml:space="preserve">Residual variance ratio [95% CI]</w:t>
            </w:r>
          </w:p>
        </w:tc>
      </w:tr>
      <w:tr>
        <w:tc>
          <w:tcPr/>
          <w:p>
            <w:pPr>
              <w:spacing w:before="0" w:after="0" w:line="240" w:lineRule="auto"/>
              <w:jc w:val="left"/>
            </w:pPr>
            <w:r>
              <w:rPr>
                <w:sz w:val="20"/>
                <w:szCs w:val="20"/>
              </w:rPr>
              <w:t xml:space="preserve">Chronological episodes</w:t>
            </w:r>
          </w:p>
        </w:tc>
        <w:tc>
          <w:tcPr/>
          <w:p>
            <w:pPr>
              <w:spacing w:before="0" w:after="0" w:line="240" w:lineRule="auto"/>
              <w:jc w:val="left"/>
            </w:pPr>
            <w:r>
              <w:rPr>
                <w:sz w:val="20"/>
                <w:szCs w:val="20"/>
              </w:rPr>
              <w:t xml:space="preserve">0.847</w:t>
            </w:r>
          </w:p>
        </w:tc>
        <w:tc>
          <w:tcPr/>
          <w:p>
            <w:pPr>
              <w:spacing w:before="0" w:after="0" w:line="240" w:lineRule="auto"/>
              <w:jc w:val="left"/>
            </w:pPr>
            <w:r>
              <w:rPr>
                <w:sz w:val="20"/>
                <w:szCs w:val="20"/>
              </w:rPr>
              <w:t xml:space="preserve">0.924</w:t>
            </w:r>
          </w:p>
        </w:tc>
        <w:tc>
          <w:tcPr/>
          <w:p>
            <w:pPr>
              <w:spacing w:before="0" w:after="0" w:line="240" w:lineRule="auto"/>
              <w:jc w:val="left"/>
            </w:pPr>
            <w:r>
              <w:rPr>
                <w:sz w:val="20"/>
                <w:szCs w:val="20"/>
              </w:rPr>
              <w:t xml:space="preserve">−0.044 [−0.082, 0.001]</w:t>
            </w:r>
          </w:p>
        </w:tc>
        <w:tc>
          <w:tcPr/>
          <w:p>
            <w:pPr>
              <w:spacing w:before="0" w:after="0" w:line="240" w:lineRule="auto"/>
              <w:jc w:val="left"/>
            </w:pPr>
            <w:r>
              <w:rPr>
                <w:sz w:val="20"/>
                <w:szCs w:val="20"/>
              </w:rPr>
              <w:t xml:space="preserve">0.985</w:t>
            </w:r>
          </w:p>
        </w:tc>
        <w:tc>
          <w:tcPr/>
          <w:p>
            <w:pPr>
              <w:spacing w:before="0" w:after="0" w:line="240" w:lineRule="auto"/>
              <w:jc w:val="left"/>
            </w:pPr>
            <w:r>
              <w:rPr>
                <w:sz w:val="20"/>
                <w:szCs w:val="20"/>
              </w:rPr>
              <w:t xml:space="preserve">0.919</w:t>
            </w:r>
          </w:p>
        </w:tc>
        <w:tc>
          <w:tcPr/>
          <w:p>
            <w:pPr>
              <w:spacing w:before="0" w:after="0" w:line="240" w:lineRule="auto"/>
              <w:jc w:val="left"/>
            </w:pPr>
            <w:r>
              <w:rPr>
                <w:sz w:val="20"/>
                <w:szCs w:val="20"/>
              </w:rPr>
              <w:t xml:space="preserve">0.927</w:t>
            </w:r>
          </w:p>
        </w:tc>
        <w:tc>
          <w:tcPr/>
          <w:p>
            <w:pPr>
              <w:spacing w:before="0" w:after="0" w:line="240" w:lineRule="auto"/>
              <w:jc w:val="left"/>
            </w:pPr>
            <w:r>
              <w:rPr>
                <w:sz w:val="20"/>
                <w:szCs w:val="20"/>
              </w:rPr>
              <w:t xml:space="preserve">0.008 [−0.128, 0.140]</w:t>
            </w:r>
          </w:p>
        </w:tc>
        <w:tc>
          <w:tcPr/>
          <w:p>
            <w:pPr>
              <w:spacing w:before="0" w:after="0" w:line="240" w:lineRule="auto"/>
              <w:jc w:val="left"/>
            </w:pPr>
            <w:r>
              <w:rPr>
                <w:sz w:val="20"/>
                <w:szCs w:val="20"/>
              </w:rPr>
              <w:t xml:space="preserve">1.42 [0.91, 2.15]</w:t>
            </w:r>
          </w:p>
        </w:tc>
      </w:tr>
      <w:tr>
        <w:tc>
          <w:tcPr/>
          <w:p>
            <w:pPr>
              <w:spacing w:before="0" w:after="0" w:line="240" w:lineRule="auto"/>
              <w:jc w:val="left"/>
            </w:pPr>
            <w:r>
              <w:rPr>
                <w:sz w:val="20"/>
                <w:szCs w:val="20"/>
              </w:rPr>
              <w:t xml:space="preserve">VNINDEX volatility quartiles</w:t>
            </w:r>
          </w:p>
        </w:tc>
        <w:tc>
          <w:tcPr/>
          <w:p>
            <w:pPr>
              <w:spacing w:before="0" w:after="0" w:line="240" w:lineRule="auto"/>
              <w:jc w:val="left"/>
            </w:pPr>
            <w:r>
              <w:rPr>
                <w:sz w:val="20"/>
                <w:szCs w:val="20"/>
              </w:rPr>
              <w:t xml:space="preserve">0.727</w:t>
            </w:r>
          </w:p>
        </w:tc>
        <w:tc>
          <w:tcPr/>
          <w:p>
            <w:pPr>
              <w:spacing w:before="0" w:after="0" w:line="240" w:lineRule="auto"/>
              <w:jc w:val="left"/>
            </w:pPr>
            <w:r>
              <w:rPr>
                <w:sz w:val="20"/>
                <w:szCs w:val="20"/>
              </w:rPr>
              <w:t xml:space="preserve">0.928</w:t>
            </w:r>
          </w:p>
        </w:tc>
        <w:tc>
          <w:tcPr/>
          <w:p>
            <w:pPr>
              <w:spacing w:before="0" w:after="0" w:line="240" w:lineRule="auto"/>
              <w:jc w:val="left"/>
            </w:pPr>
            <w:r>
              <w:rPr>
                <w:sz w:val="20"/>
                <w:szCs w:val="20"/>
              </w:rPr>
              <w:t xml:space="preserve">−0.066 [−0.132, 0.008]</w:t>
            </w:r>
          </w:p>
        </w:tc>
        <w:tc>
          <w:tcPr/>
          <w:p>
            <w:pPr>
              <w:spacing w:before="0" w:after="0" w:line="240" w:lineRule="auto"/>
              <w:jc w:val="left"/>
            </w:pPr>
            <w:r>
              <w:rPr>
                <w:sz w:val="20"/>
                <w:szCs w:val="20"/>
              </w:rPr>
              <w:t xml:space="preserve">0.974</w:t>
            </w:r>
          </w:p>
        </w:tc>
        <w:tc>
          <w:tcPr/>
          <w:p>
            <w:pPr>
              <w:spacing w:before="0" w:after="0" w:line="240" w:lineRule="auto"/>
              <w:jc w:val="left"/>
            </w:pPr>
            <w:r>
              <w:rPr>
                <w:sz w:val="20"/>
                <w:szCs w:val="20"/>
              </w:rPr>
              <w:t xml:space="preserve">0.716</w:t>
            </w:r>
          </w:p>
        </w:tc>
        <w:tc>
          <w:tcPr/>
          <w:p>
            <w:pPr>
              <w:spacing w:before="0" w:after="0" w:line="240" w:lineRule="auto"/>
              <w:jc w:val="left"/>
            </w:pPr>
            <w:r>
              <w:rPr>
                <w:sz w:val="20"/>
                <w:szCs w:val="20"/>
              </w:rPr>
              <w:t xml:space="preserve">0.956</w:t>
            </w:r>
          </w:p>
        </w:tc>
        <w:tc>
          <w:tcPr/>
          <w:p>
            <w:pPr>
              <w:spacing w:before="0" w:after="0" w:line="240" w:lineRule="auto"/>
              <w:jc w:val="left"/>
            </w:pPr>
            <w:r>
              <w:rPr>
                <w:sz w:val="20"/>
                <w:szCs w:val="20"/>
              </w:rPr>
              <w:t xml:space="preserve">0.240 [0.143, 0.332]</w:t>
            </w:r>
          </w:p>
        </w:tc>
        <w:tc>
          <w:tcPr/>
          <w:p>
            <w:pPr>
              <w:spacing w:before="0" w:after="0" w:line="240" w:lineRule="auto"/>
              <w:jc w:val="left"/>
            </w:pPr>
            <w:r>
              <w:rPr>
                <w:sz w:val="20"/>
                <w:szCs w:val="20"/>
              </w:rPr>
              <w:t xml:space="preserve">2.57 [1.75, 3.66]</w:t>
            </w:r>
          </w:p>
        </w:tc>
      </w:tr>
      <w:tr>
        <w:tc>
          <w:tcPr/>
          <w:p>
            <w:pPr>
              <w:spacing w:before="0" w:after="0" w:line="240" w:lineRule="auto"/>
              <w:jc w:val="left"/>
            </w:pPr>
            <w:r>
              <w:rPr>
                <w:sz w:val="20"/>
                <w:szCs w:val="20"/>
              </w:rPr>
              <w:t xml:space="preserve">VN30 volatility quartiles</w:t>
            </w:r>
          </w:p>
        </w:tc>
        <w:tc>
          <w:tcPr/>
          <w:p>
            <w:pPr>
              <w:spacing w:before="0" w:after="0" w:line="240" w:lineRule="auto"/>
              <w:jc w:val="left"/>
            </w:pPr>
            <w:r>
              <w:rPr>
                <w:sz w:val="20"/>
                <w:szCs w:val="20"/>
              </w:rPr>
              <w:t xml:space="preserve">0.744</w:t>
            </w:r>
          </w:p>
        </w:tc>
        <w:tc>
          <w:tcPr/>
          <w:p>
            <w:pPr>
              <w:spacing w:before="0" w:after="0" w:line="240" w:lineRule="auto"/>
              <w:jc w:val="left"/>
            </w:pPr>
            <w:r>
              <w:rPr>
                <w:sz w:val="20"/>
                <w:szCs w:val="20"/>
              </w:rPr>
              <w:t xml:space="preserve">0.932</w:t>
            </w:r>
          </w:p>
        </w:tc>
        <w:tc>
          <w:tcPr/>
          <w:p>
            <w:pPr>
              <w:spacing w:before="0" w:after="0" w:line="240" w:lineRule="auto"/>
              <w:jc w:val="left"/>
            </w:pPr>
            <w:r>
              <w:rPr>
                <w:sz w:val="20"/>
                <w:szCs w:val="20"/>
              </w:rPr>
              <w:t xml:space="preserve">−0.087 [−0.144, −0.018]</w:t>
            </w:r>
          </w:p>
        </w:tc>
        <w:tc>
          <w:tcPr/>
          <w:p>
            <w:pPr>
              <w:spacing w:before="0" w:after="0" w:line="240" w:lineRule="auto"/>
              <w:jc w:val="left"/>
            </w:pPr>
            <w:r>
              <w:rPr>
                <w:sz w:val="20"/>
                <w:szCs w:val="20"/>
              </w:rPr>
              <w:t xml:space="preserve">0.998</w:t>
            </w:r>
          </w:p>
        </w:tc>
        <w:tc>
          <w:tcPr/>
          <w:p>
            <w:pPr>
              <w:spacing w:before="0" w:after="0" w:line="240" w:lineRule="auto"/>
              <w:jc w:val="left"/>
            </w:pPr>
            <w:r>
              <w:rPr>
                <w:sz w:val="20"/>
                <w:szCs w:val="20"/>
              </w:rPr>
              <w:t xml:space="preserve">0.737</w:t>
            </w:r>
          </w:p>
        </w:tc>
        <w:tc>
          <w:tcPr/>
          <w:p>
            <w:pPr>
              <w:spacing w:before="0" w:after="0" w:line="240" w:lineRule="auto"/>
              <w:jc w:val="left"/>
            </w:pPr>
            <w:r>
              <w:rPr>
                <w:sz w:val="20"/>
                <w:szCs w:val="20"/>
              </w:rPr>
              <w:t xml:space="preserve">0.948</w:t>
            </w:r>
          </w:p>
        </w:tc>
        <w:tc>
          <w:tcPr/>
          <w:p>
            <w:pPr>
              <w:spacing w:before="0" w:after="0" w:line="240" w:lineRule="auto"/>
              <w:jc w:val="left"/>
            </w:pPr>
            <w:r>
              <w:rPr>
                <w:sz w:val="20"/>
                <w:szCs w:val="20"/>
              </w:rPr>
              <w:t xml:space="preserve">0.210 [0.119, 0.306]</w:t>
            </w:r>
          </w:p>
        </w:tc>
        <w:tc>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bootstrap p-value for H0: ρ* ≤ ρ</w:t>
      </w:r>
      <w:r>
        <w:rPr>
          <w:vertAlign w:val="subscript"/>
          <w:sz w:val="20"/>
          <w:szCs w:val="20"/>
        </w:rPr>
        <w:t xml:space="preserve">low</w:t>
      </w:r>
      <w:r>
        <w:rPr>
          <w:sz w:val="20"/>
          <w:szCs w:val="20"/>
        </w:rPr>
        <w:t xml:space="preserve">; β: OLS slope of P</w:t>
      </w:r>
      <w:r>
        <w:rPr>
          <w:vertAlign w:val="subscript"/>
          <w:sz w:val="20"/>
          <w:szCs w:val="20"/>
        </w:rPr>
        <w:t xml:space="preserve">cap</w:t>
      </w:r>
      <w:r>
        <w:rPr>
          <w:sz w:val="20"/>
          <w:szCs w:val="20"/>
        </w:rPr>
        <w:t xml:space="preserve"> </w:t>
      </w:r>
      <w:r>
        <w:rPr>
          <w:sz w:val="20"/>
          <w:szCs w:val="20"/>
        </w:rPr>
        <w:t xml:space="preserve">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rises in every definition, from 0.847 to 0.924 chronologically and from 0.744 to 0.932 under VN30 quartiles, but the adjusted crisis correlation never exceeds its calm level (one-sided p = 0.974–0.998; at least 0.935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why.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but not between chronological episodes (Δβ = 0.008, [−0.128, 0.140]), and adding 2021 as a crisis changes neither result (FR p = 0.987; Δβ = −0.005). Under its rule H3 is not supported: high-VN30-volatility days bring both a stronger response of mid caps to large caps and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tell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H4)</w:t>
      </w:r>
    </w:p>
    <w:p>
      <w:pPr>
        <w:pStyle w:val="p1a"/>
        <w:spacing w:before="0" w:after="120" w:line="300" w:lineRule="auto"/>
        <w:jc w:val="both"/>
      </w:pPr>
      <w:r>
        <w:rPr>
          <w:rFonts w:ascii="Times New Roman" w:hAnsi="Times New Roman" w:cs="Times New Roman" w:eastAsia="Times New Roman"/>
          <w:sz w:val="24"/>
          <w:szCs w:val="24"/>
        </w:rPr>
        <w:t xml:space="preserve">Table 8 reports the in-sample misstatement from a static correlation and the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spacing w:before="0" w:after="0" w:line="240" w:lineRule="auto"/>
              <w:jc w:val="left"/>
            </w:pPr>
            <w:r>
              <w:rPr>
                <w:sz w:val="20"/>
                <w:szCs w:val="20"/>
              </w:rPr>
              <w:t xml:space="preserve">Regime or pair</w:t>
            </w:r>
          </w:p>
        </w:tc>
        <w:tc>
          <w:tcPr/>
          <w:p>
            <w:pPr>
              <w:spacing w:before="0" w:after="0" w:line="240" w:lineRule="auto"/>
              <w:jc w:val="left"/>
            </w:pPr>
            <w:r>
              <w:rPr>
                <w:sz w:val="20"/>
                <w:szCs w:val="20"/>
              </w:rPr>
              <w:t xml:space="preserve">Pair or static QLIKE</w:t>
            </w:r>
          </w:p>
        </w:tc>
        <w:tc>
          <w:tcPr/>
          <w:p>
            <w:pPr>
              <w:spacing w:before="0" w:after="0" w:line="240" w:lineRule="auto"/>
              <w:jc w:val="left"/>
            </w:pPr>
            <w:r>
              <w:rPr>
                <w:sz w:val="20"/>
                <w:szCs w:val="20"/>
              </w:rPr>
              <w:t xml:space="preserve">RE, % [95% CI] or EWMA QLIKE</w:t>
            </w:r>
          </w:p>
        </w:tc>
        <w:tc>
          <w:tcPr/>
          <w:p>
            <w:pPr>
              <w:spacing w:before="0" w:after="0" w:line="240" w:lineRule="auto"/>
              <w:jc w:val="left"/>
            </w:pPr>
            <w:r>
              <w:rPr>
                <w:sz w:val="20"/>
                <w:szCs w:val="20"/>
              </w:rPr>
              <w:t xml:space="preserve">Relative SE, % or regime QLIKE</w:t>
            </w:r>
          </w:p>
        </w:tc>
        <w:tc>
          <w:tcPr/>
          <w:p>
            <w:pPr>
              <w:spacing w:before="0" w:after="0" w:line="240" w:lineRule="auto"/>
              <w:jc w:val="left"/>
            </w:pPr>
            <w:r>
              <w:rPr>
                <w:sz w:val="20"/>
                <w:szCs w:val="20"/>
              </w:rPr>
              <w:t xml:space="preserve">RE/SE or DM, static vs EWMA</w:t>
            </w:r>
          </w:p>
        </w:tc>
        <w:tc>
          <w:tcPr/>
          <w:p>
            <w:pPr>
              <w:spacing w:before="0" w:after="0" w:line="240" w:lineRule="auto"/>
              <w:jc w:val="left"/>
            </w:pPr>
            <w:r>
              <w:rPr>
                <w:sz w:val="20"/>
                <w:szCs w:val="20"/>
              </w:rPr>
              <w:t xml:space="preserve">DM, static vs regime</w:t>
            </w:r>
          </w:p>
        </w:tc>
      </w:tr>
      <w:tr>
        <w:tc>
          <w:tcPr/>
          <w:p>
            <w:pPr>
              <w:spacing w:before="0" w:after="0" w:line="240" w:lineRule="auto"/>
              <w:jc w:val="left"/>
            </w:pPr>
            <w:r>
              <w:rPr>
                <w:iCs/>
                <w:i/>
                <w:sz w:val="20"/>
                <w:szCs w:val="20"/>
              </w:rPr>
              <w:t xml:space="preserve">Panel A: in-sample misstatement (E3)</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2.23 [0.71, 3.98]</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0.28 [0.11, 0.45]</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−1.84 [−3.01, −0.82]</w:t>
            </w:r>
          </w:p>
        </w:tc>
        <w:tc>
          <w:tcPr/>
          <w:p>
            <w:pPr>
              <w:spacing w:before="0" w:after="0" w:line="240" w:lineRule="auto"/>
              <w:jc w:val="left"/>
            </w:pPr>
            <w:r>
              <w:rPr>
                <w:sz w:val="20"/>
                <w:szCs w:val="20"/>
              </w:rPr>
              <w:t xml:space="preserve">14.3</w:t>
            </w:r>
          </w:p>
        </w:tc>
        <w:tc>
          <w:tcPr/>
          <w:p>
            <w:pPr>
              <w:spacing w:before="0" w:after="0" w:line="240" w:lineRule="auto"/>
              <w:jc w:val="left"/>
            </w:pPr>
            <w:r>
              <w:rPr>
                <w:sz w:val="20"/>
                <w:szCs w:val="20"/>
              </w:rPr>
              <w:t xml:space="preserve">0.13</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−0.19 [−0.33, −0.08]</w:t>
            </w:r>
          </w:p>
        </w:tc>
        <w:tc>
          <w:tcPr/>
          <w:p>
            <w:pPr>
              <w:spacing w:before="0" w:after="0" w:line="240" w:lineRule="auto"/>
              <w:jc w:val="left"/>
            </w:pPr>
            <w:r>
              <w:rPr>
                <w:sz w:val="20"/>
                <w:szCs w:val="20"/>
              </w:rPr>
              <w:t xml:space="preserve">14.8</w:t>
            </w:r>
          </w:p>
        </w:tc>
        <w:tc>
          <w:tcPr/>
          <w:p>
            <w:pPr>
              <w:spacing w:before="0" w:after="0" w:line="240" w:lineRule="auto"/>
              <w:jc w:val="left"/>
            </w:pPr>
            <w:r>
              <w:rPr>
                <w:sz w:val="20"/>
                <w:szCs w:val="20"/>
              </w:rPr>
              <w:t xml:space="preserve">0.01</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9.38 [6.28, 13.27]</w:t>
            </w:r>
          </w:p>
        </w:tc>
        <w:tc>
          <w:tcPr/>
          <w:p>
            <w:pPr>
              <w:spacing w:before="0" w:after="0" w:line="240" w:lineRule="auto"/>
              <w:jc w:val="left"/>
            </w:pPr>
            <w:r>
              <w:rPr>
                <w:sz w:val="20"/>
                <w:szCs w:val="20"/>
              </w:rPr>
              <w:t xml:space="preserve">6.3</w:t>
            </w:r>
          </w:p>
        </w:tc>
        <w:tc>
          <w:tcPr/>
          <w:p>
            <w:pPr>
              <w:spacing w:before="0" w:after="0" w:line="240" w:lineRule="auto"/>
              <w:jc w:val="left"/>
            </w:pPr>
            <w:r>
              <w:rPr>
                <w:sz w:val="20"/>
                <w:szCs w:val="20"/>
              </w:rPr>
              <w:t xml:space="preserve">1.50</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0.77 [0.49, 1.14]</w:t>
            </w:r>
          </w:p>
        </w:tc>
        <w:tc>
          <w:tcPr/>
          <w:p>
            <w:pPr>
              <w:spacing w:before="0" w:after="0" w:line="240" w:lineRule="auto"/>
              <w:jc w:val="left"/>
            </w:pPr>
            <w:r>
              <w:rPr>
                <w:sz w:val="20"/>
                <w:szCs w:val="20"/>
              </w:rPr>
              <w:t xml:space="preserve">5.3</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−2.07 [−2.88, −1.40]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0.23</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−0.20 [−0.30, −0.13]</w:t>
            </w:r>
          </w:p>
        </w:tc>
        <w:tc>
          <w:tcPr/>
          <w:p>
            <w:pPr>
              <w:spacing w:before="0" w:after="0" w:line="240" w:lineRule="auto"/>
              <w:jc w:val="left"/>
            </w:pPr>
            <w:r>
              <w:rPr>
                <w:sz w:val="20"/>
                <w:szCs w:val="20"/>
              </w:rPr>
              <w:t xml:space="preserve">8.9</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iCs/>
                <w:i/>
                <w:sz w:val="20"/>
                <w:szCs w:val="20"/>
              </w:rPr>
              <w:t xml:space="preserve">Panel B: out-of-sample, 2023–2025 (H4)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−7.7771</w:t>
            </w:r>
          </w:p>
        </w:tc>
        <w:tc>
          <w:tcPr/>
          <w:p>
            <w:pPr>
              <w:spacing w:before="0" w:after="0" w:line="240" w:lineRule="auto"/>
              <w:jc w:val="left"/>
            </w:pPr>
            <w:r>
              <w:rPr>
                <w:sz w:val="20"/>
                <w:szCs w:val="20"/>
              </w:rPr>
              <w:t xml:space="preserve">−7.7434</w:t>
            </w:r>
          </w:p>
        </w:tc>
        <w:tc>
          <w:tcPr/>
          <w:p>
            <w:pPr>
              <w:spacing w:before="0" w:after="0" w:line="240" w:lineRule="auto"/>
              <w:jc w:val="left"/>
            </w:pPr>
            <w:r>
              <w:rPr>
                <w:sz w:val="20"/>
                <w:szCs w:val="20"/>
              </w:rPr>
              <w:t xml:space="preserve">−7.7644</w:t>
            </w:r>
          </w:p>
        </w:tc>
        <w:tc>
          <w:tcPr/>
          <w:p>
            <w:pPr>
              <w:spacing w:before="0" w:after="0" w:line="240" w:lineRule="auto"/>
              <w:jc w:val="left"/>
            </w:pPr>
            <w:r>
              <w:rPr>
                <w:sz w:val="20"/>
                <w:szCs w:val="20"/>
              </w:rPr>
              <w:t xml:space="preserve">−1.69 (0.091)</w:t>
            </w:r>
          </w:p>
        </w:tc>
        <w:tc>
          <w:tcPr/>
          <w:p>
            <w:pPr>
              <w:spacing w:before="0" w:after="0" w:line="240" w:lineRule="auto"/>
              <w:jc w:val="left"/>
            </w:pPr>
            <w:r>
              <w:rPr>
                <w:sz w:val="20"/>
                <w:szCs w:val="20"/>
              </w:rPr>
              <w:t xml:space="preserve">−1.34 (0.179)</w:t>
            </w:r>
          </w:p>
        </w:tc>
      </w:tr>
      <w:tr>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−7.8357</w:t>
            </w:r>
          </w:p>
        </w:tc>
        <w:tc>
          <w:tcPr/>
          <w:p>
            <w:pPr>
              <w:spacing w:before="0" w:after="0" w:line="240" w:lineRule="auto"/>
              <w:jc w:val="left"/>
            </w:pPr>
            <w:r>
              <w:rPr>
                <w:sz w:val="20"/>
                <w:szCs w:val="20"/>
              </w:rPr>
              <w:t xml:space="preserve">−7.8315</w:t>
            </w:r>
          </w:p>
        </w:tc>
        <w:tc>
          <w:tcPr/>
          <w:p>
            <w:pPr>
              <w:spacing w:before="0" w:after="0" w:line="240" w:lineRule="auto"/>
              <w:jc w:val="left"/>
            </w:pPr>
            <w:r>
              <w:rPr>
                <w:sz w:val="20"/>
                <w:szCs w:val="20"/>
              </w:rPr>
              <w:t xml:space="preserve">−7.8346</w:t>
            </w:r>
          </w:p>
        </w:tc>
        <w:tc>
          <w:tcPr/>
          <w:p>
            <w:pPr>
              <w:spacing w:before="0" w:after="0" w:line="240" w:lineRule="auto"/>
              <w:jc w:val="left"/>
            </w:pPr>
            <w:r>
              <w:rPr>
                <w:sz w:val="20"/>
                <w:szCs w:val="20"/>
              </w:rPr>
              <w:t xml:space="preserve">−1.74 (0.081)</w:t>
            </w:r>
          </w:p>
        </w:tc>
        <w:tc>
          <w:tcPr/>
          <w:p>
            <w:pPr>
              <w:spacing w:before="0" w:after="0" w:line="240" w:lineRule="auto"/>
              <w:jc w:val="left"/>
            </w:pPr>
            <w:r>
              <w:rPr>
                <w:sz w:val="20"/>
                <w:szCs w:val="20"/>
              </w:rPr>
              <w:t xml:space="preserve">−1.45 (0.146)</w:t>
            </w:r>
          </w:p>
        </w:tc>
      </w:tr>
      <w:tr>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−7.9298</w:t>
            </w:r>
          </w:p>
        </w:tc>
        <w:tc>
          <w:tcPr/>
          <w:p>
            <w:pPr>
              <w:spacing w:before="0" w:after="0" w:line="240" w:lineRule="auto"/>
              <w:jc w:val="left"/>
            </w:pPr>
            <w:r>
              <w:rPr>
                <w:sz w:val="20"/>
                <w:szCs w:val="20"/>
              </w:rPr>
              <w:t xml:space="preserve">−7.9258</w:t>
            </w:r>
          </w:p>
        </w:tc>
        <w:tc>
          <w:tcPr/>
          <w:p>
            <w:pPr>
              <w:spacing w:before="0" w:after="0" w:line="240" w:lineRule="auto"/>
              <w:jc w:val="left"/>
            </w:pPr>
            <w:r>
              <w:rPr>
                <w:sz w:val="20"/>
                <w:szCs w:val="20"/>
              </w:rPr>
              <w:t xml:space="preserve">−7.9252</w:t>
            </w:r>
          </w:p>
        </w:tc>
        <w:tc>
          <w:tcPr/>
          <w:p>
            <w:pPr>
              <w:spacing w:before="0" w:after="0" w:line="240" w:lineRule="auto"/>
              <w:jc w:val="left"/>
            </w:pPr>
            <w:r>
              <w:rPr>
                <w:sz w:val="20"/>
                <w:szCs w:val="20"/>
              </w:rPr>
              <w:t xml:space="preserve">−1.82 (0.069)</w:t>
            </w:r>
          </w:p>
        </w:tc>
        <w:tc>
          <w:tcPr/>
          <w:p>
            <w:pPr>
              <w:spacing w:before="0" w:after="0" w:line="240" w:lineRule="auto"/>
              <w:jc w:val="left"/>
            </w:pPr>
            <w:r>
              <w:rPr>
                <w:sz w:val="20"/>
                <w:szCs w:val="20"/>
              </w:rPr>
              <w:t xml:space="preserve">−1.44 (0.150)</w:t>
            </w:r>
          </w:p>
        </w:tc>
      </w:tr>
      <w:tr>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−7.8904</w:t>
            </w:r>
          </w:p>
        </w:tc>
        <w:tc>
          <w:tcPr/>
          <w:p>
            <w:pPr>
              <w:spacing w:before="0" w:after="0" w:line="240" w:lineRule="auto"/>
              <w:jc w:val="left"/>
            </w:pPr>
            <w:r>
              <w:rPr>
                <w:sz w:val="20"/>
                <w:szCs w:val="20"/>
              </w:rPr>
              <w:t xml:space="preserve">−7.8880</w:t>
            </w:r>
          </w:p>
        </w:tc>
        <w:tc>
          <w:tcPr/>
          <w:p>
            <w:pPr>
              <w:spacing w:before="0" w:after="0" w:line="240" w:lineRule="auto"/>
              <w:jc w:val="left"/>
            </w:pPr>
            <w:r>
              <w:rPr>
                <w:sz w:val="20"/>
                <w:szCs w:val="20"/>
              </w:rPr>
              <w:t xml:space="preserve">−7.8867</w:t>
            </w:r>
          </w:p>
        </w:tc>
        <w:tc>
          <w:tcPr/>
          <w:p>
            <w:pPr>
              <w:spacing w:before="0" w:after="0" w:line="240" w:lineRule="auto"/>
              <w:jc w:val="left"/>
            </w:pPr>
            <w:r>
              <w:rPr>
                <w:sz w:val="20"/>
                <w:szCs w:val="20"/>
              </w:rPr>
              <w:t xml:space="preserve">−1.64 (0.100)</w:t>
            </w:r>
          </w:p>
        </w:tc>
        <w:tc>
          <w:tcPr/>
          <w:p>
            <w:pPr>
              <w:spacing w:before="0" w:after="0" w:line="240" w:lineRule="auto"/>
              <w:jc w:val="left"/>
            </w:pPr>
            <w:r>
              <w:rPr>
                <w:sz w:val="20"/>
                <w:szCs w:val="20"/>
              </w:rPr>
              <w:t xml:space="preserve">−1.43 (0.153)</w:t>
            </w:r>
          </w:p>
        </w:tc>
      </w:tr>
    </w:tbl>
    <w:p>
      <w:pPr>
        <w:pStyle w:val="Compact"/>
      </w:pPr>
      <w:r>
        <w:rPr>
          <w:sz w:val="20"/>
          <w:szCs w:val="20"/>
        </w:rPr>
        <w:t xml:space="preserve">Notes: Panel A: RE of Eq. (16) for an equally weighted position; relative SE: bootstrap standard error of the regime portfolio variance. Panel B: mean QLIKE over 735 evaluation days; DM: Diebold–Mariano t-statistic (p) on the QLIKE difference, negative when the static correlation has the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turbulent regimes, the sign pattern any pooled correlation produces; for nested pairs the misstatement is at most 2.35% (Table S14). Against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H4 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changes the conclusions. DMCA (Kristoufek 2014), which satisfies the same identity and so checks the detrending only, gives a purged coefficient of 0.882–0.891 and a three-pair gap of 0.086–0.096 (Table S4). The daily gap interval stays within 0.070–0.119 for blocks of 5–60 days (Table S6), and the daily VN30–VNINDEX average is 0.9665, 0.9663 and 0.9667 for detrending orders 1–3. Proxies that replace the capitalization weight, such as a volatility-scaled weight of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spacing w:before="0" w:after="0" w:line="240" w:lineRule="auto"/>
              <w:jc w:val="left"/>
            </w:pPr>
            <w:r>
              <w:rPr>
                <w:sz w:val="20"/>
                <w:szCs w:val="20"/>
              </w:rPr>
              <w:t xml:space="preserve">Item</w:t>
            </w:r>
          </w:p>
        </w:tc>
        <w:tc>
          <w:tcPr/>
          <w:p>
            <w:pPr>
              <w:spacing w:before="0" w:after="0" w:line="240" w:lineRule="auto"/>
              <w:jc w:val="left"/>
            </w:pPr>
            <w:r>
              <w:rPr>
                <w:sz w:val="20"/>
                <w:szCs w:val="20"/>
              </w:rPr>
              <w:t xml:space="preserve">Statistic</w:t>
            </w:r>
          </w:p>
        </w:tc>
        <w:tc>
          <w:tcPr/>
          <w:p>
            <w:pPr>
              <w:spacing w:before="0" w:after="0" w:line="240" w:lineRule="auto"/>
              <w:jc w:val="left"/>
            </w:pPr>
            <w:r>
              <w:rPr>
                <w:sz w:val="20"/>
                <w:szCs w:val="20"/>
              </w:rPr>
              <w:t xml:space="preserve">Evidence</w:t>
            </w:r>
          </w:p>
        </w:tc>
        <w:tc>
          <w:tcPr/>
          <w:p>
            <w:pPr>
              <w:spacing w:before="0" w:after="0" w:line="240" w:lineRule="auto"/>
              <w:jc w:val="left"/>
            </w:pPr>
            <w:r>
              <w:rPr>
                <w:sz w:val="20"/>
                <w:szCs w:val="20"/>
              </w:rPr>
              <w:t xml:space="preserve">Outcome</w:t>
            </w:r>
          </w:p>
        </w:tc>
        <w:tc>
          <w:tcPr/>
          <w:p>
            <w:pPr>
              <w:spacing w:before="0" w:after="0" w:line="240" w:lineRule="auto"/>
              <w:jc w:val="left"/>
            </w:pPr>
            <w:r>
              <w:rPr>
                <w:sz w:val="20"/>
                <w:szCs w:val="20"/>
              </w:rPr>
              <w:t xml:space="preserve">Comment</w:t>
            </w:r>
          </w:p>
        </w:tc>
      </w:tr>
      <w:tr>
        <w:tc>
          <w:tcPr/>
          <w:p>
            <w:pPr>
              <w:spacing w:before="0" w:after="0" w:line="240" w:lineRule="auto"/>
              <w:jc w:val="left"/>
            </w:pPr>
            <w:r>
              <w:rPr>
                <w:sz w:val="20"/>
                <w:szCs w:val="20"/>
              </w:rPr>
              <w:t xml:space="preserve">E1 Benchmark and attribution</w:t>
            </w:r>
          </w:p>
        </w:tc>
        <w:tc>
          <w:tcPr/>
          <w:p>
            <w:pPr>
              <w:spacing w:before="0" w:after="0" w:line="240" w:lineRule="auto"/>
              <w:jc w:val="left"/>
            </w:pPr>
            <w:r>
              <w:rPr>
                <w:sz w:val="20"/>
                <w:szCs w:val="20"/>
              </w:rPr>
              <w:t xml:space="preserve">ρ̲; Shapley share</w:t>
            </w:r>
          </w:p>
        </w:tc>
        <w:tc>
          <w:tcPr/>
          <w:p>
            <w:pPr>
              <w:spacing w:before="0" w:after="0" w:line="240" w:lineRule="auto"/>
              <w:jc w:val="left"/>
            </w:pPr>
            <w:r>
              <w:rPr>
                <w:sz w:val="20"/>
                <w:szCs w:val="20"/>
              </w:rPr>
              <w:t xml:space="preserve">ρ̲ 0.893–0.900; Shapley 0.505–0.508</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Attribution depends mainly on the weight</w:t>
            </w:r>
          </w:p>
        </w:tc>
      </w:tr>
      <w:tr>
        <w:tc>
          <w:tcPr/>
          <w:p>
            <w:pPr>
              <w:spacing w:before="0" w:after="0" w:line="240" w:lineRule="auto"/>
              <w:jc w:val="left"/>
            </w:pPr>
            <w:r>
              <w:rPr>
                <w:sz w:val="20"/>
                <w:szCs w:val="20"/>
              </w:rPr>
              <w:t xml:space="preserve">E2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0.106–0.112; with weight uncertainty 0.07–0.17</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Damping factor of about ten</w:t>
            </w:r>
          </w:p>
        </w:tc>
      </w:tr>
      <w:tr>
        <w:tc>
          <w:tcPr/>
          <w:p>
            <w:pPr>
              <w:spacing w:before="0" w:after="0" w:line="240" w:lineRule="auto"/>
              <w:jc w:val="left"/>
            </w:pPr>
            <w:r>
              <w:rPr>
                <w:sz w:val="20"/>
                <w:szCs w:val="20"/>
              </w:rPr>
              <w:t xml:space="preserve">E3 In-sample misstatement</w:t>
            </w:r>
          </w:p>
        </w:tc>
        <w:tc>
          <w:tcPr/>
          <w:p>
            <w:pPr>
              <w:spacing w:before="0" w:after="0" w:line="240" w:lineRule="auto"/>
              <w:jc w:val="left"/>
            </w:pPr>
            <w:r>
              <w:rPr>
                <w:sz w:val="20"/>
                <w:szCs w:val="20"/>
              </w:rPr>
              <w:t xml:space="preserve">RE, Eq. (16)</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Sign pattern expected from pooling</w:t>
            </w:r>
          </w:p>
        </w:tc>
      </w:tr>
      <w:tr>
        <w:tc>
          <w:tcPr/>
          <w:p>
            <w:pPr>
              <w:spacing w:before="0" w:after="0" w:line="240" w:lineRule="auto"/>
              <w:jc w:val="left"/>
            </w:pPr>
            <w:r>
              <w:rPr>
                <w:sz w:val="20"/>
                <w:szCs w:val="20"/>
              </w:rPr>
              <w:t xml:space="preserve">H1 Material overlap gap</w:t>
            </w:r>
          </w:p>
        </w:tc>
        <w:tc>
          <w:tcPr/>
          <w:p>
            <w:pPr>
              <w:spacing w:before="0" w:after="0" w:line="240" w:lineRule="auto"/>
              <w:jc w:val="left"/>
            </w:pPr>
            <w:r>
              <w:rPr>
                <w:sz w:val="20"/>
                <w:szCs w:val="20"/>
              </w:rPr>
              <w:t xml:space="preserve">Like-for-like gap; lower CI &gt; 0.05</w:t>
            </w:r>
          </w:p>
        </w:tc>
        <w:tc>
          <w:tcPr/>
          <w:p>
            <w:pPr>
              <w:spacing w:before="0" w:after="0" w:line="240" w:lineRule="auto"/>
              <w:jc w:val="left"/>
            </w:pPr>
            <w:r>
              <w:rPr>
                <w:sz w:val="20"/>
                <w:szCs w:val="20"/>
              </w:rPr>
              <w:t xml:space="preserve">Gap 0.099–0.104; lower CI ≥ 0.084</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Holds under weight uncertainty</w:t>
            </w:r>
          </w:p>
        </w:tc>
      </w:tr>
      <w:tr>
        <w:tc>
          <w:tcPr/>
          <w:p>
            <w:pPr>
              <w:spacing w:before="0" w:after="0" w:line="240" w:lineRule="auto"/>
              <w:jc w:val="left"/>
            </w:pPr>
            <w:r>
              <w:rPr>
                <w:sz w:val="20"/>
                <w:szCs w:val="20"/>
              </w:rPr>
              <w:t xml:space="preserve">H2 Horizon dependence</w:t>
            </w:r>
          </w:p>
        </w:tc>
        <w:tc>
          <w:tcPr/>
          <w:p>
            <w:pPr>
              <w:spacing w:before="0" w:after="0" w:line="240" w:lineRule="auto"/>
              <w:jc w:val="left"/>
            </w:pPr>
            <w:r>
              <w:rPr>
                <w:sz w:val="20"/>
                <w:szCs w:val="20"/>
              </w:rPr>
              <w:t xml:space="preserve">Studentized slopes; Holm (H2 family); TOST</w:t>
            </w:r>
          </w:p>
        </w:tc>
        <w:tc>
          <w:tcPr/>
          <w:p>
            <w:pPr>
              <w:spacing w:before="0" w:after="0" w:line="240" w:lineRule="auto"/>
              <w:jc w:val="left"/>
            </w:pPr>
            <w:r>
              <w:rPr>
                <w:sz w:val="20"/>
                <w:szCs w:val="20"/>
              </w:rPr>
              <w:t xml:space="preserve">4 of 8 broad-market slopes significant, all intraday; VN30–VN100 equivalent to zero at M30, H1</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Not robust: vanishes without the auction bars</w:t>
            </w:r>
          </w:p>
        </w:tc>
      </w:tr>
      <w:tr>
        <w:tc>
          <w:tcPr/>
          <w:p>
            <w:pPr>
              <w:spacing w:before="0" w:after="0" w:line="240" w:lineRule="auto"/>
              <w:jc w:val="left"/>
            </w:pPr>
            <w:r>
              <w:rPr>
                <w:sz w:val="20"/>
                <w:szCs w:val="20"/>
              </w:rPr>
              <w:t xml:space="preserve">H3 Contagion</w:t>
            </w:r>
          </w:p>
        </w:tc>
        <w:tc>
          <w:tcPr/>
          <w:p>
            <w:pPr>
              <w:spacing w:before="0" w:after="0" w:line="240" w:lineRule="auto"/>
              <w:jc w:val="left"/>
            </w:pPr>
            <w:r>
              <w:rPr>
                <w:sz w:val="20"/>
                <w:szCs w:val="20"/>
              </w:rPr>
              <w:t xml:space="preserve">FR adjustment and Δβ, VN30 regimes</w:t>
            </w:r>
          </w:p>
        </w:tc>
        <w:tc>
          <w:tcPr/>
          <w:p>
            <w:pPr>
              <w:spacing w:before="0" w:after="0" w:line="240" w:lineRule="auto"/>
              <w:jc w:val="left"/>
            </w:pPr>
            <w:r>
              <w:rPr>
                <w:sz w:val="20"/>
                <w:szCs w:val="20"/>
              </w:rPr>
              <w:t xml:space="preserve">FR p = 0.998; Δβ = 0.210, p &lt; 0.001</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Loading rises on high-volatility days; residual variance rises too</w:t>
            </w:r>
          </w:p>
        </w:tc>
      </w:tr>
      <w:tr>
        <w:tc>
          <w:tcPr/>
          <w:p>
            <w:pPr>
              <w:spacing w:before="0" w:after="0" w:line="240" w:lineRule="auto"/>
              <w:jc w:val="left"/>
            </w:pPr>
            <w:r>
              <w:rPr>
                <w:sz w:val="20"/>
                <w:szCs w:val="20"/>
              </w:rPr>
              <w:t xml:space="preserve">H4 Value of regime conditioning</w:t>
            </w:r>
          </w:p>
        </w:tc>
        <w:tc>
          <w:tcPr/>
          <w:p>
            <w:pPr>
              <w:spacing w:before="0" w:after="0" w:line="240" w:lineRule="auto"/>
              <w:jc w:val="left"/>
            </w:pPr>
            <w:r>
              <w:rPr>
                <w:sz w:val="20"/>
                <w:szCs w:val="20"/>
              </w:rPr>
              <w:t xml:space="preserve">QLIKE; Diebold–Mariano</w:t>
            </w:r>
          </w:p>
        </w:tc>
        <w:tc>
          <w:tcPr/>
          <w:p>
            <w:pPr>
              <w:spacing w:before="0" w:after="0" w:line="240" w:lineRule="auto"/>
              <w:jc w:val="left"/>
            </w:pPr>
            <w:r>
              <w:rPr>
                <w:sz w:val="20"/>
                <w:szCs w:val="20"/>
              </w:rPr>
              <w:t xml:space="preserve">Static lowest for all pairs; p 0.07–0.18</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H1–H4 in Section 2.7; all tests at the 5% level.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The nested results have one source. A child’s variation enters every covariance and both standard deviations of a nested pair, and Lemma 1 pins the coefficient near a benchmark set by weight and relative amplitude. With VN30 at 68% of VN100, the benchmark is near 0.90 and the bound near 0.87, so the observed 0.99 says little about how mid caps move with large caps, and changes in the purged coefficient reach it damped by a factor of about ten.</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in line with Lo and MacKinlay (1990) and Hou (2007); intraday the lead is symmetric (Table S9). The auction-bar horizon dependence of broad-market pairs fits the Epps (1979) effect for small, fragile-liquidity stocks (Chen et al. 2021; Tran and Tran 2025), which index-level data cannot separate from gradual diffusion (Hong and Stein 1999). The higher loading on high-volatility days has several candidate sources that our data cannot rank: herding (Nguyen et al. 2023) and sector connectedness (Bui et al. 2022), limit hits under the ±7% band, margin calls and foreign flows concentrated in large caps with room under ownership limits. The rise in residual variance shows that crises also bring mid-cap-specific shocks, which the Forbes–Rigobon correction misreads as lower dependence.</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Nested index correlations used to judge diversification between tiers should first be decomposed. Box 1 does this from published series and the index weight; its key outputs are the purged coefficient and the sensitivity, whose inverse of about 10 shows how ill-conditioned the index-level number is: an error of 0.001 in the nested coefficient becomes about 0.01 in the purged one. Holdings-based risk models are not affected. For hedging, a minimum-variance VN30 hedge removes a share ρ² of mid-cap variance (Ederington 1979), 0.79 [0.75, 0.82] over the full sample but 0.53 [0.45, 0.61] in the low-volatility quartile and 0.86 in the high-volatility quartile (Table S11). A VNMIDCAP ETF holder hedging with VN30 futures keeps about a fifth of the variance on average and about half in calm markets, the basis risk a mid-cap derivative would remove; whether one would be viable we do not study. Regime-conditioned tier correlations are not supported: their in-sample gain is mostly within sampling error and vanishes out of sample. The error that matters is reading a nested correlation as diversification.</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remainder is no more volatile, so large mechanical components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and VN100 free-float capitalization, so VN100 is not a fixed-weight component of VNINDEX, and the mismatch term of Eq. (12) cannot be bounded without constituent data.</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so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Carrying the part–whole identity to scale-wise detrended coefficients yields a benchmark, a lower bound, a sensitivity and an order-free attribution, all computable from index-level inputs. On the HOSE the VN30–VN100 coefficient moves by only about 0.11 per unit change in the purged coefficient, and removing the overlap lowers the correlation with large caps by about 0.10. The purged series shows a large-to-small lead, horizon effects confined to the auction bars, a higher mid-cap loading together with more mid-cap-specific risk on volatile days, and no out-of-sample gain from regime-conditioned correlations. Users of index-level data should decompose nested correlations before reading them as evidence about diversification between tiers.</w:t>
      </w:r>
    </w:p>
    <w:p>
      <w:pPr>
        <w:pStyle w:val="p1a"/>
        <w:spacing w:before="0" w:after="120" w:line="300" w:lineRule="auto"/>
        <w:jc w:val="both"/>
      </w:pPr>
      <w:r>
        <w:rPr>
          <w:rFonts w:ascii="Times New Roman" w:hAnsi="Times New Roman" w:cs="Times New Roman" w:eastAsia="Times New Roman"/>
          <w:bCs/>
          <w:b/>
          <w:sz w:val="24"/>
          <w:szCs w:val="24"/>
        </w:rPr>
        <w:t xml:space="preserve">Ethical standards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pPr>
        <w:pStyle w:val="p1a"/>
        <w:spacing w:before="0" w:after="120" w:line="300" w:lineRule="auto"/>
        <w:jc w:val="both"/>
      </w:pPr>
      <w:r>
        <w:rPr>
          <w:rFonts w:ascii="Times New Roman" w:hAnsi="Times New Roman" w:cs="Times New Roman" w:eastAsia="Times New Roman"/>
          <w:bCs/>
          <w:b/>
          <w:sz w:val="24"/>
          <w:szCs w:val="24"/>
        </w:rPr>
        <w:t xml:space="preserve">Data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w:t>
      </w:r>
    </w:p>
    <w:p>
      <w:pPr>
        <w:pStyle w:val="p1a"/>
        <w:spacing w:before="0" w:after="120" w:line="300" w:lineRule="auto"/>
        <w:jc w:val="both"/>
      </w:pPr>
      <w:r>
        <w:rPr>
          <w:rFonts w:ascii="Times New Roman" w:hAnsi="Times New Roman" w:cs="Times New Roman" w:eastAsia="Times New Roman"/>
          <w:bCs/>
          <w:b/>
          <w:sz w:val="24"/>
          <w:szCs w:val="24"/>
        </w:rPr>
        <w:t xml:space="preserve">Code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 code that reproduces every table and figure, with a map from each reported number to its output file, is provided as Online Resource 1 and will be deposited in a public repository upon acceptance. Supplementary tables and figures are provided as Online Resource 2.</w:t>
      </w:r>
    </w:p>
    <w:p>
      <w:pPr>
        <w:pStyle w:val="p1a"/>
        <w:spacing w:before="0" w:after="120" w:line="300" w:lineRule="auto"/>
        <w:jc w:val="both"/>
      </w:pPr>
      <w:r>
        <w:rPr>
          <w:rFonts w:ascii="Times New Roman" w:hAnsi="Times New Roman" w:cs="Times New Roman" w:eastAsia="Times New Roman"/>
          <w:bCs/>
          <w:b/>
          <w:sz w:val="24"/>
          <w:szCs w:val="24"/>
        </w:rPr>
        <w:t xml:space="preserve">Funding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research did not receive any specific grant from funding agencies in the public, commercial, or not-for-profit sectors.</w:t>
      </w:r>
    </w:p>
    <w:p>
      <w:pPr>
        <w:pStyle w:val="p1a"/>
        <w:spacing w:before="0" w:after="120" w:line="300" w:lineRule="auto"/>
        <w:jc w:val="both"/>
      </w:pPr>
      <w:r>
        <w:rPr>
          <w:rFonts w:ascii="Times New Roman" w:hAnsi="Times New Roman" w:cs="Times New Roman" w:eastAsia="Times New Roman"/>
          <w:bCs/>
          <w:b/>
          <w:sz w:val="24"/>
          <w:szCs w:val="24"/>
        </w:rPr>
        <w:t xml:space="preserve">Conflict of interest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authors declare that they have no conflict of interest.</w:t>
      </w:r>
    </w:p>
    <w:p>
      <w:pPr>
        <w:pStyle w:val="p1a"/>
        <w:spacing w:before="0" w:after="120" w:line="300" w:lineRule="auto"/>
        <w:jc w:val="both"/>
      </w:pPr>
      <w:r>
        <w:rPr>
          <w:rFonts w:ascii="Times New Roman" w:hAnsi="Times New Roman" w:cs="Times New Roman" w:eastAsia="Times New Roman"/>
          <w:bCs/>
          <w:b/>
          <w:sz w:val="24"/>
          <w:szCs w:val="24"/>
        </w:rPr>
        <w:t xml:space="preserve">Author contributions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Nguyen Thanh Binh: Conceptualization, Supervision, Validation, Writing – review &amp; editing. Nguyen Van Trung: Conceptualization, Data curation, Formal analysis, Investigation, Methodology, Software, Visualization, Writing – original draft, Writing – review &amp; editing. Ha Hong Hanh: Validation, Writing – review &amp; editing. Nguyen Bach Diep: Methodology, Formal analysis, Writing – original draft.</w:t>
      </w:r>
    </w:p>
    <w:p>
      <w:pPr>
        <w:pStyle w:val="p1a"/>
        <w:spacing w:before="0" w:after="120" w:line="300" w:lineRule="auto"/>
        <w:jc w:val="both"/>
      </w:pPr>
      <w:r>
        <w:rPr>
          <w:rFonts w:ascii="Times New Roman" w:hAnsi="Times New Roman" w:cs="Times New Roman" w:eastAsia="Times New Roman"/>
          <w:bCs/>
          <w:b/>
          <w:sz w:val="24"/>
          <w:szCs w:val="24"/>
        </w:rPr>
        <w:t xml:space="preserve">Declaration of generative AI 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Press release on the listing of the DCVFMVNMIDCAP ETF.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on the securities settlement cycle.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2026-10-10T07:32:14Z</dcterms:created>
  <dcterms:modified xsi:type="dcterms:W3CDTF">2026-10-10T07:32:14Z</dcterms:modified>
</cp:coreProperties>
</file>

<file path=docProps/custom.xml><?xml version="1.0" encoding="utf-8"?>
<Properties xmlns="http://schemas.openxmlformats.org/officeDocument/2006/custom-properties" xmlns:vt="http://schemas.openxmlformats.org/officeDocument/2006/docPropsVTypes"/>
</file>