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 w:cs="Times New Roman" w:eastAsia="Times New Roman"/>
          <w:b/>
          <w:sz w:val="32"/>
          <w:szCs w:val="32"/>
        </w:rPr>
        <w:t xml:space="preserve">Supplementary Material (Online Resource 2): How Much of a Nested Index Correlation Is Construction? A Scale-Wise Part–Whole Decomposition with Evidence from Vietnam</w:t>
      </w:r>
    </w:p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Supplementary Material (Online Resource 2)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This document accompanies the article and reports robustness checks referred to in the main text. All numbers come from the R outputs listed in the replication package (Online Resource 1).</w:t>
      </w:r>
    </w:p>
    <w:p>
      <w:pPr>
        <w:pStyle w:val="tablecaption0"/>
      </w:pPr>
      <w:r>
        <w:rPr>
          <w:bCs/>
          <w:b/>
        </w:rPr>
        <w:t xml:space="preserve">Table S1</w:t>
      </w:r>
      <w:r>
        <w:t xml:space="preserve"> </w:t>
      </w:r>
      <w:r>
        <w:t xml:space="preserve">Full-range scaling slopes (30 log-spaced scales)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(bootstrap)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[−0.0064, 0.0043]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[−0.0052, 0.0026]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[−0.0030, 0.0012]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0.704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 [−0.0255, 0.0118]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0.0016 [−0.0025, 0.0034]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0.464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0.0009 [−0.0010, 0.0021]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0.312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[−0.0015, 0.0010]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0.0025 [−0.0102, 0.0093]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0.0015 [−0.0027, 0.0040]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0.424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[−0.0021, 0.0025]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[−0.0016, 0.0009]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 [−0.0137, 0.0089]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 [−0.0056, 0.0039]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[−0.0043, 0.0025]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[−0.0022, 0.0010]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[−0.0176, 0.0103]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Slopes of Eq. (13) over 30 scales from 5 bars to one quarter of the sample. Source: Authors’ calculations.</w:t>
      </w:r>
    </w:p>
    <w:p>
      <w:pPr>
        <w:pStyle w:val="tablecaption0"/>
      </w:pPr>
      <w:r>
        <w:rPr>
          <w:bCs/>
          <w:b/>
        </w:rPr>
        <w:t xml:space="preserve">Table S2</w:t>
      </w:r>
      <w:r>
        <w:t xml:space="preserve"> </w:t>
      </w:r>
      <w:r>
        <w:t xml:space="preserve">Decomposition of the VN30–VN100 coefficient on a grid of weights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Freq.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κ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ρ̲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Benchmark-first share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Sensitivity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Shapley overlap share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Pearson ρ̲ (1D)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0.164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0.452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0.414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0.363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0.170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0.448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0.573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0.431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0.381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0.938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DCCA quantities averaged over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at each weight. Source: Authors’ calculations.</w:t>
      </w:r>
    </w:p>
    <w:p>
      <w:pPr>
        <w:pStyle w:val="tablecaption0"/>
      </w:pPr>
      <w:r>
        <w:rPr>
          <w:bCs/>
          <w:b/>
        </w:rPr>
        <w:t xml:space="preserve">Table S3</w:t>
      </w:r>
      <w:r>
        <w:t xml:space="preserve"> </w:t>
      </w:r>
      <w:r>
        <w:t xml:space="preserve">Purged coefficient, gap and regime correlations on a grid of weights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Full-range slope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Calm 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Crisis ρ</w:t>
            </w:r>
            <w:r>
              <w:rPr>
                <w:vertAlign w:val="subscript"/>
                <w:sz w:val="20"/>
                <w:szCs w:val="20"/>
              </w:rPr>
              <w:t xml:space="preserve">high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0.153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0.881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ρ</w:t>
      </w:r>
      <w:r>
        <w:rPr>
          <w:vertAlign w:val="subscript"/>
          <w:sz w:val="20"/>
          <w:szCs w:val="20"/>
        </w:rPr>
        <w:t xml:space="preserve">low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 ρ</w:t>
      </w:r>
      <w:r>
        <w:rPr>
          <w:vertAlign w:val="subscript"/>
          <w:sz w:val="20"/>
          <w:szCs w:val="20"/>
        </w:rPr>
        <w:t xml:space="preserve">high</w:t>
      </w:r>
      <w:r>
        <w:rPr>
          <w:sz w:val="20"/>
          <w:szCs w:val="20"/>
        </w:rPr>
        <w:t xml:space="preserve">: Pearson correlations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 VN30 in the chronological regimes. Source: Authors’ calculations.</w:t>
      </w:r>
    </w:p>
    <w:p>
      <w:pPr>
        <w:pStyle w:val="tablecaption0"/>
      </w:pPr>
      <w:r>
        <w:rPr>
          <w:bCs/>
          <w:b/>
        </w:rPr>
        <w:t xml:space="preserve">Table S4</w:t>
      </w:r>
      <w:r>
        <w:t xml:space="preserve"> </w:t>
      </w:r>
      <w:r>
        <w:t xml:space="preserve">Average DMCA coefficients over the reliable range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Centered moving-average detrending with odd windows matched to the DCCA scales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. Source: Authors’ calculations.</w:t>
      </w:r>
    </w:p>
    <w:p>
      <w:pPr>
        <w:pStyle w:val="tablecaption0"/>
      </w:pPr>
      <w:r>
        <w:rPr>
          <w:bCs/>
          <w:b/>
        </w:rPr>
        <w:t xml:space="preserve">Table S5</w:t>
      </w:r>
      <w:r>
        <w:t xml:space="preserve"> </w:t>
      </w:r>
      <w:r>
        <w:t xml:space="preserve">Lower-tail dependence of daily returns and the Gaussian-copula benchmark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u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Empirical λ</w:t>
            </w:r>
            <w:r>
              <w:rPr>
                <w:vertAlign w:val="subscript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(u)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Pearson ρ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Gaussian-copula λ</w:t>
            </w:r>
            <w:r>
              <w:rPr>
                <w:vertAlign w:val="subscript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(u)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Excess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 [0.874, 0.958]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0.921 [0.901, 0.954]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0.850 [0.817, 0.931]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0.789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 [0.813, 0.891]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0.864 [0.830, 0.945]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0.864 [0.834, 0.908]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0.749 [0.702, 0.830]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0.617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0.766 [0.717, 0.803]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0.671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0.095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λ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(u) = P(X ≤ q</w:t>
      </w:r>
      <w:r>
        <w:rPr>
          <w:vertAlign w:val="subscript"/>
          <w:sz w:val="20"/>
          <w:szCs w:val="20"/>
        </w:rPr>
        <w:t xml:space="preserve">X</w:t>
      </w:r>
      <w:r>
        <w:rPr>
          <w:sz w:val="20"/>
          <w:szCs w:val="20"/>
        </w:rPr>
        <w:t xml:space="preserve">(u), Y ≤ q</w:t>
      </w:r>
      <w:r>
        <w:rPr>
          <w:vertAlign w:val="subscript"/>
          <w:sz w:val="20"/>
          <w:szCs w:val="20"/>
        </w:rPr>
        <w:t xml:space="preserve">Y</w:t>
      </w:r>
      <w:r>
        <w:rPr>
          <w:sz w:val="20"/>
          <w:szCs w:val="20"/>
        </w:rPr>
        <w:t xml:space="preserve">(u))/u; Gaussian-copula value at the pair’s own Pearson correlation. Source: Authors’ calculations.</w:t>
      </w:r>
    </w:p>
    <w:p>
      <w:pPr>
        <w:pStyle w:val="tablecaption0"/>
      </w:pPr>
      <w:r>
        <w:rPr>
          <w:bCs/>
          <w:b/>
        </w:rPr>
        <w:t xml:space="preserve">Table S6</w:t>
      </w:r>
      <w:r>
        <w:t xml:space="preserve"> </w:t>
      </w:r>
      <w:r>
        <w:t xml:space="preserve">Sensitivity of the gap interval to the bootstrap block length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block length (days)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95% CI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[0.079, 0.110]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[0.077, 0.111]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[0.074, 0.117]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[0.073, 0.119]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[0.070, 0.119]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[0.084, 0.112]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[0.076, 0.119]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Bootstrap draws are separate from Table 4, so intervals differ by Monte Carlo error. Source: Authors’ calculations.</w:t>
      </w:r>
    </w:p>
    <w:p>
      <w:pPr>
        <w:pStyle w:val="tablecaption0"/>
      </w:pPr>
      <w:r>
        <w:rPr>
          <w:bCs/>
          <w:b/>
        </w:rPr>
        <w:t xml:space="preserve">Table S7</w:t>
      </w:r>
      <w:r>
        <w:t xml:space="preserve"> </w:t>
      </w:r>
      <w:r>
        <w:t xml:space="preserve">Reliable-range slopes with and without the auction bars, and broad-minus-nested slope differences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Sample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(studentized)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0.0039]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[0.0009, 0.0033]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[−0.0006, 0.0006]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[−0.0038, 0.0065]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0.535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[−0.0006, 0.0033]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0.0010 [−0.0007, 0.0020]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0.156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[−0.0007, 0.0008]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0.719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0.0011 [−0.0053, 0.0072]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0.737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[−0.0025, 0.0016]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−0.0002 [−0.0017, 0.0010]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−0.0002 [−0.0011, 0.0006]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−0.0021 [−0.0103, 0.0047]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0.586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0.0024 [0.0006, 0.0040]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 [0.0007, 0.0030]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[−0.0008, 0.0008]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[−0.0045, 0.0078]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0.0003 [−0.0038, 0.0016]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0.799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−0.0005 [−0.0039, 0.0005]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0.660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−0.0004 [−0.0016, 0.0003]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0.470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−0.0053 [−0.0142, 0.0007]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0.192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−0.0020 [−0.0058, 0.0015]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0.268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−0.0022 [−0.0047, 0.0006]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−0.0006 [−0.0016, 0.0001]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0.223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−0.0067 [−0.0175, 0.0009]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0.0018 [−0.0014, 0.0042]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0.271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0.0016 [−0.0010, 0.0033]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[0.0009, 0.0037]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[0.0010, 0.0032]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 [−0.0000, 0.0028]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0.0009 [−0.0006, 0.0019]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0.178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0.0002 [−0.0021, 0.0014]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[−0.0012, 0.0010]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0.955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0.0024 [0.0006, 0.0035]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0.0018 [0.0006, 0.0028]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[−0.0027, 0.0018]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[−0.0030, 0.0009]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−0.0015 [−0.0044, 0.0018]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0.361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−0.0016 [−0.0034, 0.0011]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0.192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5,410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[−0.0020, 0.0024]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5,410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[−0.0011, 0.0018]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0.504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First bar: overnight return and opening auction; last bar: closing auction; 199 block-bootstrap replicates; differences are computed within the same replicates. Source: Authors’ calculations.</w:t>
      </w:r>
    </w:p>
    <w:p>
      <w:pPr>
        <w:pStyle w:val="tablecaption0"/>
      </w:pPr>
      <w:r>
        <w:rPr>
          <w:bCs/>
          <w:b/>
        </w:rPr>
        <w:t xml:space="preserve">Table S8</w:t>
      </w:r>
      <w:r>
        <w:t xml:space="preserve"> </w:t>
      </w:r>
      <w:r>
        <w:t xml:space="preserve">Statistical proxies for the mid-cap segment (M30)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Proxy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Reliable-range slope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(bootstrap)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heur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0.0289 [−0.0033, 0.0534]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ratio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0.0291 [−0.0030, 0.0531]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res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0.0283 [−0.0029, 0.0526]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0.080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P</w:t>
      </w:r>
      <w:r>
        <w:rPr>
          <w:vertAlign w:val="subscript"/>
          <w:sz w:val="20"/>
          <w:szCs w:val="20"/>
        </w:rPr>
        <w:t xml:space="preserve">heur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replaces w by the VN30–VN100 correlation (0.9865–0.9885); P</w:t>
      </w:r>
      <w:r>
        <w:rPr>
          <w:vertAlign w:val="subscript"/>
          <w:sz w:val="20"/>
          <w:szCs w:val="20"/>
        </w:rPr>
        <w:t xml:space="preserve">ratio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= B − A; P</w:t>
      </w:r>
      <w:r>
        <w:rPr>
          <w:vertAlign w:val="subscript"/>
          <w:sz w:val="20"/>
          <w:szCs w:val="20"/>
        </w:rPr>
        <w:t xml:space="preserve">res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is the residual of B on A. Source: Authors’ calculations.</w:t>
      </w:r>
    </w:p>
    <w:p>
      <w:pPr>
        <w:pStyle w:val="tablecaption0"/>
      </w:pPr>
      <w:r>
        <w:rPr>
          <w:bCs/>
          <w:b/>
        </w:rPr>
        <w:t xml:space="preserve">Table S9</w:t>
      </w:r>
      <w:r>
        <w:t xml:space="preserve"> </w:t>
      </w:r>
      <w:r>
        <w:t xml:space="preserve">Lead–lag cross-autocorrelations between VN30 and P</w:t>
      </w:r>
      <w:r>
        <w:rPr>
          <w:vertAlign w:val="subscript"/>
        </w:rPr>
        <w:t xml:space="preserve">cap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corr(A</w:t>
            </w:r>
            <w:r>
              <w:rPr>
                <w:vertAlign w:val="subscript"/>
                <w:sz w:val="20"/>
                <w:szCs w:val="20"/>
              </w:rPr>
              <w:t xml:space="preserve">t−1</w:t>
            </w:r>
            <w:r>
              <w:rPr>
                <w:sz w:val="20"/>
                <w:szCs w:val="20"/>
              </w:rPr>
              <w:t xml:space="preserve">, M</w:t>
            </w:r>
            <w:r>
              <w:rPr>
                <w:vertAlign w:val="subscript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)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corr(M</w:t>
            </w:r>
            <w:r>
              <w:rPr>
                <w:vertAlign w:val="subscript"/>
                <w:sz w:val="20"/>
                <w:szCs w:val="20"/>
              </w:rPr>
              <w:t xml:space="preserve">t−1</w:t>
            </w:r>
            <w:r>
              <w:rPr>
                <w:sz w:val="20"/>
                <w:szCs w:val="20"/>
              </w:rPr>
              <w:t xml:space="preserve">, A</w:t>
            </w:r>
            <w:r>
              <w:rPr>
                <w:vertAlign w:val="subscript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)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Asymmetry [95% CI]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0.084 [0.028, 0.136]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 [−0.036, 0.046]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0.076 [0.048, 0.102]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 [−0.021, 0.027]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 [−0.030, 0.042]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−0.004 [−0.024, 0.017]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0.054 [0.025, 0.085]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0.064 [0.034, 0.093]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−0.010 [−0.028, 0.008]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Lagged pairs are formed within the same trading day at intraday frequencies and resampled in blocks. Source: Authors’ calculations.</w:t>
      </w:r>
    </w:p>
    <w:p>
      <w:pPr>
        <w:pStyle w:val="tablecaption0"/>
      </w:pPr>
      <w:r>
        <w:rPr>
          <w:bCs/>
          <w:b/>
        </w:rPr>
        <w:t xml:space="preserve">Table S10</w:t>
      </w:r>
      <w:r>
        <w:t xml:space="preserve"> </w:t>
      </w:r>
      <w:r>
        <w:t xml:space="preserve">Forbes–Rigobon test across weights and regime definitions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Regimes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high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ρ*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ρ* − 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(one-sided)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 [−0.067, 0.002]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−0.090 [−0.137, −0.041]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1.000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−0.039 [−0.073, −0.002]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0.785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−0.091 [−0.144, −0.034]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1.000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0.803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−0.044 [−0.082, −0.005]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0.990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−0.087 [−0.144, −0.018]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0.998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−0.050 [−0.090, −0.000]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0.989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−0.077 [−0.143, 0.004]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0.985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−0.054 [−0.096, 0.002]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0.621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0.560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−0.061 [−0.135, 0.032]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0.935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Daily Pearson correlations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(w) and VN30; bootstrap draws are separate from Table 7, so intervals at the factsheet weight differ by Monte Carlo error. Source: Authors’ calculations.</w:t>
      </w:r>
    </w:p>
    <w:p>
      <w:pPr>
        <w:pStyle w:val="tablecaption0"/>
      </w:pPr>
      <w:r>
        <w:rPr>
          <w:bCs/>
          <w:b/>
        </w:rPr>
        <w:t xml:space="preserve">Table S11</w:t>
      </w:r>
      <w:r>
        <w:t xml:space="preserve"> </w:t>
      </w:r>
      <w:r>
        <w:t xml:space="preserve">Effectiveness of a minimum-variance VN30 hedge of the mid-cap segment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Sample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ρ² [95% CI]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Full sample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0.790 [0.754, 0.820]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0.718 [0.670, 0.761]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539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0.854 [0.824, 0.885]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Low-volatility quartile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739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0.528 [0.449, 0.608]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High-volatility quartile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739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0.862 [0.834, 0.887]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Share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variance removed by the minimum-variance hedge with VN30. Source: Authors’ calculations.</w:t>
      </w:r>
    </w:p>
    <w:p>
      <w:pPr>
        <w:pStyle w:val="tablecaption0"/>
      </w:pPr>
      <w:r>
        <w:rPr>
          <w:bCs/>
          <w:b/>
        </w:rPr>
        <w:t xml:space="preserve">Table S12</w:t>
      </w:r>
      <w:r>
        <w:t xml:space="preserve"> </w:t>
      </w:r>
      <w:r>
        <w:t xml:space="preserve">Volatility episodes not classified as crises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Period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Trading days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Maximum drawdown, %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Days in top volatility quartile, %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Peak volatility, % p.a.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Date of peak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2021-01-01 to 2021-12-31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250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−14.3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49.1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2021-02-18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2025-03-01 to 2025-06-30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−18.1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48.8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2025-05-06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Both episodes fail the drawdown and volatility-share criteria of Section 3.2 and are included in the quartile regimes. Source: Authors’ calculations.</w:t>
      </w:r>
    </w:p>
    <w:p>
      <w:pPr>
        <w:pStyle w:val="tablecaption0"/>
      </w:pPr>
      <w:r>
        <w:rPr>
          <w:bCs/>
          <w:b/>
        </w:rPr>
        <w:t xml:space="preserve">Table S13</w:t>
      </w:r>
      <w:r>
        <w:t xml:space="preserve"> </w:t>
      </w:r>
      <w:r>
        <w:t xml:space="preserve">Slope channels of the VN30–VN100 coefficient (Eq. 14)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Scales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κ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∂ρ</w:t>
            </w:r>
            <w:r>
              <w:rPr>
                <w:vertAlign w:val="subscript"/>
                <w:sz w:val="20"/>
                <w:szCs w:val="20"/>
              </w:rPr>
              <w:t xml:space="preserve">AB</w:t>
            </w:r>
            <w:r>
              <w:rPr>
                <w:sz w:val="20"/>
                <w:szCs w:val="20"/>
              </w:rPr>
              <w:t xml:space="preserve">/∂ρ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∂ρ</w:t>
            </w:r>
            <w:r>
              <w:rPr>
                <w:vertAlign w:val="subscript"/>
                <w:sz w:val="20"/>
                <w:szCs w:val="20"/>
              </w:rPr>
              <w:t xml:space="preserve">AB</w:t>
            </w:r>
            <w:r>
              <w:rPr>
                <w:sz w:val="20"/>
                <w:szCs w:val="20"/>
              </w:rPr>
              <w:t xml:space="preserve">/∂κ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Implied slope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Observed slope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0.0099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−0.00077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−0.00077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0.0069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0.112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0.00007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0.00006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Partial derivatives averaged over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. Source: Authors’ calculations.</w:t>
      </w:r>
    </w:p>
    <w:p>
      <w:pPr>
        <w:pStyle w:val="tablecaption0"/>
      </w:pPr>
      <w:r>
        <w:rPr>
          <w:bCs/>
          <w:b/>
        </w:rPr>
        <w:t xml:space="preserve">Table S14</w:t>
      </w:r>
      <w:r>
        <w:t xml:space="preserve"> </w:t>
      </w:r>
      <w:r>
        <w:t xml:space="preserve">In-sample misstatement of portfolio variance for all pairs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Regime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RE, %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Relative SE of regime variance, %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RE/SE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0.40 [−0.07, 1.10]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12.7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0.28 [0.11, 0.45]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13.3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 [0.03, 1.23]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13.7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2.23 [0.71, 3.98]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15.6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−0.56 [−0.92, −0.28]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15.0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−0.19 [−0.33, −0.08]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−0.46 [−0.74, −0.22]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14.4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−1.84 [−3.01, −0.82]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2.35 [1.64, 3.25]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 [0.49, 1.14]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2.14 [1.40, 3.00]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9.38 [6.28, 13.27]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6.3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1.50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−0.71 [−0.98, −0.50]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8.7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−0.20 [−0.30, −0.13]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−0.55 [−0.74, −0.40]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8.9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−2.07 [−2.88, −1.40]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8.8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0.23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Equally weighted positions; intervals from joint resampling of the full sample. Source: Authors’ calculations.</w:t>
      </w:r>
    </w:p>
    <w:p>
      <w:pPr>
        <w:pStyle w:val="tablecaption0"/>
      </w:pPr>
      <w:r>
        <w:rPr>
          <w:bCs/>
          <w:b/>
        </w:rPr>
        <w:t xml:space="preserve">Table S15</w:t>
      </w:r>
      <w:r>
        <w:t xml:space="preserve"> </w:t>
      </w:r>
      <w:r>
        <w:t xml:space="preserve">Sensitivity of the M30 slope intervals to the bootstrap block length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block length (days)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(studentized)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0.0037]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[0.0010, 0.0030]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[−0.0007, 0.0006]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[−0.0030, 0.0072]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0.530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0.0043]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[0.0012, 0.0034]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[−0.0006, 0.0007]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0.843</w:t>
            </w:r>
          </w:p>
        </w:tc>
      </w:tr>
      <w:tr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[−0.0028, 0.0087]</w:t>
            </w:r>
          </w:p>
        </w:tc>
        <w:tc>
          <w:tcPr/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0.550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Reliable-range slopes of Eq. (13); 199 replicates per block length. Source: Authors’ calculations.</w:t>
      </w:r>
    </w:p>
    <w:p>
      <w:pPr>
        <w:pStyle w:val="BodyText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iCs/>
          <w:i/>
          <w:sz w:val="24"/>
          <w:szCs w:val="24"/>
        </w:rPr>
        <w:t xml:space="preserve">Multifractal structure.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generalized cross-correlation exponent h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xy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(2) lies between 0.526 and 0.542. The multifractal range Δh is 0.252–0.431 for the nested pairs and 0.435–0.656 for P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cap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–VN30. Against 100 jointly shuffled surrogates, the P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cap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–VN30 range exceeds the 95th surrogate percentile only at 1D, and the nested pairs in 2 of 12 cases. Because absolute local covariances can create spurious multifractality (Oświęcimka et al. 2014), these results are descriptive.</w:t>
      </w:r>
    </w:p>
    <w:p>
      <w:pPr>
        <w:pStyle w:val="BodyText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inline>
            <wp:extent cx="5760720" cy="30132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B-i-stock-to-n/Python%20for%20Algorithmic%20Trading/NCKH/Bài%20stock%20toán/project_R/docx_build/../outputs/figures/fig3_mfdcc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3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S1</w:t>
      </w:r>
      <w:r>
        <w:t xml:space="preserve"> </w:t>
      </w:r>
      <w:r>
        <w:t xml:space="preserve">MF-DCCA at the daily frequency: (a) singularity spectra f(α); (b) generalized exponents h</w:t>
      </w:r>
      <w:r>
        <w:rPr>
          <w:vertAlign w:val="subscript"/>
        </w:rPr>
        <w:t xml:space="preserve">xy</w:t>
      </w:r>
      <w:r>
        <w:t xml:space="preserve">(q)</w:t>
      </w:r>
    </w:p>
    <w:p>
      <w:pPr>
        <w:pStyle w:val="Compact"/>
      </w:pPr>
      <w:r>
        <w:rPr>
          <w:sz w:val="20"/>
          <w:szCs w:val="20"/>
        </w:rPr>
        <w:t xml:space="preserve">Notes: q ∈ [−5, 5]  {0}; f(α) can be negative where absolute local covariances are used. Source: Authors’ calculations.</w:t>
      </w:r>
    </w:p>
    <w:sectPr w:rsidR="0034643B" w:rsidRPr="00F57207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Noto Sans">
    <w:panose1 w:val="020B0502040504090204"/>
    <w:charset w:val="00"/>
    <w:family w:val="swiss"/>
    <w:pitch w:val="variable"/>
    <w:sig w:usb0="E00082FF" w:usb1="400078FF" w:usb2="08000029" w:usb3="00000000" w:csb0="0000019F" w:csb1="00000000"/>
  </w:font>
  <w:font w:name="Liberation Sans">
    <w:panose1 w:val="020B0604020202020204"/>
    <w:charset w:val="00"/>
    <w:family w:val="roman"/>
    <w:pitch w:val="default"/>
  </w:font>
  <w:font w:name="Linux Libertine G">
    <w:panose1 w:val="020B0604020202020204"/>
    <w:charset w:val="00"/>
    <w:family w:val="roman"/>
    <w:pitch w:val="default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ull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1F427FF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4A4709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1A4A4B11"/>
    <w:multiLevelType w:val="multilevel"/>
    <w:tmpl w:val="10F4ADD0"/>
    <w:lvl w:ilvl="0">
      <w:start w:val="1"/>
      <w:numFmt w:val="bullet"/>
      <w:pStyle w:val="Aufzhlungszeichen"/>
      <w:lvlText w:val=""/>
      <w:lvlJc w:val="left"/>
      <w:pPr>
        <w:tabs>
          <w:tab w:pos="360" w:val="num"/>
        </w:tabs>
        <w:ind w:hanging="360" w:left="360"/>
      </w:pPr>
      <w:rPr>
        <w:rFonts w:ascii="Symbol" w:cs="Symbol" w:hAnsi="Symbol" w:hint="default"/>
      </w:r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3">
    <w:nsid w:val="3C350A71"/>
    <w:multiLevelType w:val="multilevel"/>
    <w:tmpl w:val="7A72F900"/>
    <w:lvl w:ilvl="0">
      <w:start w:val="1"/>
      <w:numFmt w:val="decimal"/>
      <w:pStyle w:val="heading1"/>
      <w:lvlText w:val="%1"/>
      <w:lvlJc w:val="left"/>
      <w:pPr>
        <w:tabs>
          <w:tab w:pos="567" w:val="num"/>
        </w:tabs>
        <w:ind w:hanging="567" w:left="567"/>
      </w:pPr>
    </w:lvl>
    <w:lvl w:ilvl="1">
      <w:start w:val="1"/>
      <w:numFmt w:val="decimal"/>
      <w:lvlText w:val="%1.%2"/>
      <w:lvlJc w:val="left"/>
      <w:pPr>
        <w:tabs>
          <w:tab w:pos="567" w:val="num"/>
        </w:tabs>
        <w:ind w:hanging="567" w:left="567"/>
      </w:p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</w:lvl>
    <w:lvl w:ilvl="3">
      <w:start w:val="1"/>
      <w:numFmt w:val="decimal"/>
      <w:lvlText w:val="%1.%2.%3.%4"/>
      <w:lvlJc w:val="left"/>
      <w:pPr>
        <w:tabs>
          <w:tab w:pos="851" w:val="num"/>
        </w:tabs>
        <w:ind w:hanging="851" w:left="851"/>
      </w:pPr>
    </w:lvl>
    <w:lvl w:ilvl="4">
      <w:start w:val="1"/>
      <w:numFmt w:val="decimal"/>
      <w:lvlText w:val="%1.%2.%3.%4.%5"/>
      <w:lvlJc w:val="left"/>
      <w:pPr>
        <w:tabs>
          <w:tab w:pos="964" w:val="num"/>
        </w:tabs>
        <w:ind w:hanging="964" w:left="964"/>
      </w:pPr>
      <w:rPr>
        <w:rFonts w:ascii="Times New Roman" w:cs="Times New Roman" w:hAnsi="Times New Roman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4">
    <w:nsid w:val="467112F0"/>
    <w:multiLevelType w:val="multilevel"/>
    <w:tmpl w:val="5836672C"/>
    <w:lvl w:ilvl="0">
      <w:start w:val="1"/>
      <w:numFmt w:val="bullet"/>
      <w:pStyle w:val="bulletitem"/>
      <w:lvlText w:val=""/>
      <w:lvlJc w:val="left"/>
      <w:pPr>
        <w:tabs>
          <w:tab w:pos="227" w:val="num"/>
        </w:tabs>
        <w:ind w:hanging="227" w:left="227"/>
      </w:pPr>
      <w:rPr>
        <w:rFonts w:ascii="Symbol" w:cs="Symbol" w:hAnsi="Symbol" w:hint="default"/>
      </w:rPr>
    </w:lvl>
    <w:lvl w:ilvl="1">
      <w:start w:val="1"/>
      <w:numFmt w:val="bullet"/>
      <w:lvlText w:val="─"/>
      <w:lvlJc w:val="left"/>
      <w:pPr>
        <w:tabs>
          <w:tab w:pos="454" w:val="num"/>
        </w:tabs>
        <w:ind w:hanging="227" w:left="454"/>
      </w:pPr>
      <w:rPr>
        <w:rFonts w:ascii="Times New Roman" w:cs="Times New Roman" w:hAnsi="Times New Roman" w:hint="cs"/>
      </w:rPr>
    </w:lvl>
    <w:lvl w:ilvl="2">
      <w:start w:val="1"/>
      <w:numFmt w:val="bullet"/>
      <w:lvlText w:val="o"/>
      <w:lvlJc w:val="left"/>
      <w:pPr>
        <w:tabs>
          <w:tab w:pos="680" w:val="num"/>
        </w:tabs>
        <w:ind w:hanging="226" w:left="68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907" w:val="num"/>
        </w:tabs>
        <w:ind w:hanging="227" w:left="907"/>
      </w:pPr>
      <w:rPr>
        <w:rFonts w:ascii="Wingdings" w:cs="Wingdings" w:hAnsi="Wingdings" w:hint="default"/>
      </w:rPr>
    </w:lvl>
    <w:lvl w:ilvl="4">
      <w:start w:val="1"/>
      <w:numFmt w:val="bullet"/>
      <w:lvlText w:val="o"/>
      <w:lvlJc w:val="left"/>
      <w:pPr>
        <w:tabs>
          <w:tab w:pos="1134" w:val="num"/>
        </w:tabs>
        <w:ind w:hanging="227" w:left="1134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1361" w:val="num"/>
        </w:tabs>
        <w:ind w:hanging="227" w:left="1361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1814" w:val="num"/>
        </w:tabs>
        <w:ind w:hanging="226" w:left="1814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2041" w:val="num"/>
        </w:tabs>
        <w:ind w:hanging="227" w:left="2041"/>
      </w:pPr>
      <w:rPr>
        <w:rFonts w:ascii="Wingdings" w:cs="Wingdings" w:hAnsi="Wingdings" w:hint="default"/>
      </w:rPr>
    </w:lvl>
  </w:abstractNum>
  <w:abstractNum w15:restartNumberingAfterBreak="0" w:abstractNumId="5">
    <w:nsid w:val="4C517F45"/>
    <w:multiLevelType w:val="multilevel"/>
    <w:tmpl w:val="7B804DE4"/>
    <w:lvl w:ilvl="0">
      <w:start w:val="1"/>
      <w:numFmt w:val="decimal"/>
      <w:pStyle w:val="Listennummer"/>
      <w:lvlText w:val="%1."/>
      <w:lvlJc w:val="left"/>
      <w:pPr>
        <w:tabs>
          <w:tab w:pos="227" w:val="num"/>
        </w:tabs>
        <w:ind w:hanging="227" w:left="227"/>
      </w:p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6">
    <w:nsid w:val="51A624D8"/>
    <w:multiLevelType w:val="multilevel"/>
    <w:tmpl w:val="7D0A74B6"/>
    <w:lvl w:ilvl="0">
      <w:start w:val="1"/>
      <w:numFmt w:val="decimal"/>
      <w:pStyle w:val="referenceitem"/>
      <w:lvlText w:val="%1."/>
      <w:lvlJc w:val="right"/>
      <w:pPr>
        <w:tabs>
          <w:tab w:pos="341" w:val="num"/>
        </w:tabs>
        <w:ind w:hanging="114" w:left="341"/>
      </w:pPr>
    </w:lvl>
    <w:lvl w:ilvl="1">
      <w:start w:val="1"/>
      <w:numFmt w:val="lowerLetter"/>
      <w:lvlText w:val="%2."/>
      <w:lvlJc w:val="left"/>
      <w:pPr>
        <w:tabs>
          <w:tab w:pos="2010" w:val="num"/>
        </w:tabs>
        <w:ind w:hanging="360" w:left="2010"/>
      </w:pPr>
    </w:lvl>
    <w:lvl w:ilvl="2">
      <w:start w:val="1"/>
      <w:numFmt w:val="lowerRoman"/>
      <w:lvlText w:val="%3."/>
      <w:lvlJc w:val="right"/>
      <w:pPr>
        <w:tabs>
          <w:tab w:pos="2730" w:val="num"/>
        </w:tabs>
        <w:ind w:hanging="180" w:left="2730"/>
      </w:pPr>
    </w:lvl>
    <w:lvl w:ilvl="3">
      <w:start w:val="1"/>
      <w:numFmt w:val="decimal"/>
      <w:lvlText w:val="%4."/>
      <w:lvlJc w:val="left"/>
      <w:pPr>
        <w:tabs>
          <w:tab w:pos="3450" w:val="num"/>
        </w:tabs>
        <w:ind w:hanging="360" w:left="3450"/>
      </w:pPr>
    </w:lvl>
    <w:lvl w:ilvl="4">
      <w:start w:val="1"/>
      <w:numFmt w:val="lowerLetter"/>
      <w:lvlText w:val="%5."/>
      <w:lvlJc w:val="left"/>
      <w:pPr>
        <w:tabs>
          <w:tab w:pos="4170" w:val="num"/>
        </w:tabs>
        <w:ind w:hanging="360" w:left="4170"/>
      </w:pPr>
    </w:lvl>
    <w:lvl w:ilvl="5">
      <w:start w:val="1"/>
      <w:numFmt w:val="lowerRoman"/>
      <w:lvlText w:val="%6."/>
      <w:lvlJc w:val="right"/>
      <w:pPr>
        <w:tabs>
          <w:tab w:pos="4890" w:val="num"/>
        </w:tabs>
        <w:ind w:hanging="180" w:left="4890"/>
      </w:pPr>
    </w:lvl>
    <w:lvl w:ilvl="6">
      <w:start w:val="1"/>
      <w:numFmt w:val="decimal"/>
      <w:lvlText w:val="%7."/>
      <w:lvlJc w:val="left"/>
      <w:pPr>
        <w:tabs>
          <w:tab w:pos="5610" w:val="num"/>
        </w:tabs>
        <w:ind w:hanging="360" w:left="5610"/>
      </w:pPr>
    </w:lvl>
    <w:lvl w:ilvl="7">
      <w:start w:val="1"/>
      <w:numFmt w:val="lowerLetter"/>
      <w:lvlText w:val="%8."/>
      <w:lvlJc w:val="left"/>
      <w:pPr>
        <w:tabs>
          <w:tab w:pos="6330" w:val="num"/>
        </w:tabs>
        <w:ind w:hanging="360" w:left="6330"/>
      </w:pPr>
    </w:lvl>
    <w:lvl w:ilvl="8">
      <w:start w:val="1"/>
      <w:numFmt w:val="lowerRoman"/>
      <w:lvlText w:val="%9."/>
      <w:lvlJc w:val="right"/>
      <w:pPr>
        <w:tabs>
          <w:tab w:pos="7050" w:val="num"/>
        </w:tabs>
        <w:ind w:hanging="180" w:left="7050"/>
      </w:pPr>
    </w:lvl>
  </w:abstractNum>
  <w:abstractNum w15:restartNumberingAfterBreak="0" w:abstractNumId="7">
    <w:nsid w:val="51F6076D"/>
    <w:multiLevelType w:val="multilevel"/>
    <w:tmpl w:val="07C2DB6C"/>
    <w:lvl w:ilvl="0">
      <w:start w:val="1"/>
      <w:numFmt w:val="bullet"/>
      <w:pStyle w:val="dashitem"/>
      <w:lvlText w:val="─"/>
      <w:lvlJc w:val="left"/>
      <w:pPr>
        <w:tabs>
          <w:tab w:pos="227" w:val="num"/>
        </w:tabs>
        <w:ind w:hanging="227" w:left="227"/>
      </w:pPr>
      <w:rPr>
        <w:rFonts w:ascii="Times New Roman" w:cs="Times New Roman" w:hAnsi="Times New Roman" w:hint="cs"/>
      </w:rPr>
    </w:lvl>
    <w:lvl w:ilvl="1">
      <w:start w:val="1"/>
      <w:numFmt w:val="bullet"/>
      <w:lvlText w:val=""/>
      <w:lvlJc w:val="left"/>
      <w:pPr>
        <w:tabs>
          <w:tab w:pos="454" w:val="num"/>
        </w:tabs>
        <w:ind w:hanging="227" w:left="454"/>
      </w:pPr>
      <w:rPr>
        <w:rFonts w:ascii="Symbol" w:cs="Symbol" w:hAnsi="Symbol" w:hint="default"/>
      </w:rPr>
    </w:lvl>
    <w:lvl w:ilvl="2">
      <w:start w:val="1"/>
      <w:numFmt w:val="bullet"/>
      <w:lvlText w:val="○"/>
      <w:lvlJc w:val="left"/>
      <w:pPr>
        <w:tabs>
          <w:tab w:pos="680" w:val="num"/>
        </w:tabs>
        <w:ind w:hanging="226" w:left="680"/>
      </w:pPr>
      <w:rPr>
        <w:rFonts w:ascii="Times New Roman" w:cs="Times New Roman" w:hAnsi="Times New Roman" w:hint="cs"/>
      </w:rPr>
    </w:lvl>
    <w:lvl w:ilvl="3">
      <w:start w:val="1"/>
      <w:numFmt w:val="bullet"/>
      <w:lvlText w:val="■"/>
      <w:lvlJc w:val="left"/>
      <w:pPr>
        <w:tabs>
          <w:tab w:pos="907" w:val="num"/>
        </w:tabs>
        <w:ind w:hanging="227" w:left="907"/>
      </w:pPr>
      <w:rPr>
        <w:rFonts w:ascii="Times New Roman" w:cs="Times New Roman" w:hAnsi="Times New Roman" w:hint="cs"/>
      </w:rPr>
    </w:lvl>
    <w:lvl w:ilvl="4">
      <w:start w:val="1"/>
      <w:numFmt w:val="bullet"/>
      <w:lvlText w:val="○"/>
      <w:lvlJc w:val="left"/>
      <w:pPr>
        <w:tabs>
          <w:tab w:pos="1134" w:val="num"/>
        </w:tabs>
        <w:ind w:hanging="227" w:left="1134"/>
      </w:pPr>
      <w:rPr>
        <w:rFonts w:ascii="Times New Roman" w:cs="Times New Roman" w:hAnsi="Times New Roman" w:hint="cs"/>
      </w:rPr>
    </w:lvl>
    <w:lvl w:ilvl="5">
      <w:start w:val="1"/>
      <w:numFmt w:val="bullet"/>
      <w:lvlText w:val="■"/>
      <w:lvlJc w:val="left"/>
      <w:pPr>
        <w:tabs>
          <w:tab w:pos="1361" w:val="num"/>
        </w:tabs>
        <w:ind w:hanging="227" w:left="1361"/>
      </w:pPr>
      <w:rPr>
        <w:rFonts w:ascii="Times New Roman" w:cs="Times New Roman" w:hAnsi="Times New Roman" w:hint="cs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○"/>
      <w:lvlJc w:val="left"/>
      <w:pPr>
        <w:tabs>
          <w:tab w:pos="1814" w:val="num"/>
        </w:tabs>
        <w:ind w:hanging="226" w:left="1814"/>
      </w:pPr>
      <w:rPr>
        <w:rFonts w:ascii="Times New Roman" w:cs="Times New Roman" w:hAnsi="Times New Roman" w:hint="cs"/>
      </w:rPr>
    </w:lvl>
    <w:lvl w:ilvl="8">
      <w:start w:val="1"/>
      <w:numFmt w:val="bullet"/>
      <w:lvlText w:val="■"/>
      <w:lvlJc w:val="left"/>
      <w:pPr>
        <w:tabs>
          <w:tab w:pos="2041" w:val="num"/>
        </w:tabs>
        <w:ind w:hanging="227" w:left="2041"/>
      </w:pPr>
      <w:rPr>
        <w:rFonts w:ascii="Times New Roman" w:cs="Times New Roman" w:hAnsi="Times New Roman" w:hint="cs"/>
      </w:rPr>
    </w:lvl>
  </w:abstractNum>
  <w:abstractNum w15:restartNumberingAfterBreak="0" w:abstractNumId="8">
    <w:nsid w:val="7E3B5E8C"/>
    <w:multiLevelType w:val="multilevel"/>
    <w:tmpl w:val="FD0C398A"/>
    <w:lvl w:ilvl="0">
      <w:start w:val="1"/>
      <w:numFmt w:val="decimal"/>
      <w:pStyle w:val="numitem"/>
      <w:lvlText w:val="%1."/>
      <w:lvlJc w:val="right"/>
      <w:pPr>
        <w:tabs>
          <w:tab w:pos="0" w:val="num"/>
        </w:tabs>
        <w:ind w:hanging="57" w:left="227"/>
      </w:pPr>
    </w:lvl>
    <w:lvl w:ilvl="1">
      <w:start w:val="1"/>
      <w:numFmt w:val="lowerLetter"/>
      <w:lvlText w:val="(%2)"/>
      <w:lvlJc w:val="left"/>
      <w:pPr>
        <w:tabs>
          <w:tab w:pos="510" w:val="num"/>
        </w:tabs>
        <w:ind w:hanging="283" w:left="510"/>
      </w:pPr>
    </w:lvl>
    <w:lvl w:ilvl="2">
      <w:start w:val="1"/>
      <w:numFmt w:val="lowerRoman"/>
      <w:lvlText w:val="(%3)"/>
      <w:lvlJc w:val="left"/>
      <w:pPr>
        <w:tabs>
          <w:tab w:pos="851" w:val="num"/>
        </w:tabs>
        <w:ind w:hanging="341" w:left="851"/>
      </w:pPr>
    </w:lvl>
    <w:lvl w:ilvl="3">
      <w:start w:val="1"/>
      <w:numFmt w:val="decimal"/>
      <w:lvlText w:val="(%4)"/>
      <w:lvlJc w:val="left"/>
      <w:pPr>
        <w:tabs>
          <w:tab w:pos="1191" w:val="num"/>
        </w:tabs>
        <w:ind w:hanging="340" w:left="1191"/>
      </w:pPr>
    </w:lvl>
    <w:lvl w:ilvl="4">
      <w:start w:val="1"/>
      <w:numFmt w:val="lowerLetter"/>
      <w:lvlText w:val="(%5)"/>
      <w:lvlJc w:val="left"/>
      <w:pPr>
        <w:tabs>
          <w:tab w:pos="1474" w:val="num"/>
        </w:tabs>
        <w:ind w:hanging="283" w:left="1474"/>
      </w:pPr>
    </w:lvl>
    <w:lvl w:ilvl="5">
      <w:start w:val="1"/>
      <w:numFmt w:val="lowerRoman"/>
      <w:lvlText w:val="(%6)"/>
      <w:lvlJc w:val="left"/>
      <w:pPr>
        <w:tabs>
          <w:tab w:pos="1814" w:val="num"/>
        </w:tabs>
        <w:ind w:hanging="340" w:left="1814"/>
      </w:pPr>
    </w:lvl>
    <w:lvl w:ilvl="6">
      <w:start w:val="1"/>
      <w:numFmt w:val="decimal"/>
      <w:lvlText w:val="%7."/>
      <w:lvlJc w:val="left"/>
      <w:pPr>
        <w:tabs>
          <w:tab w:pos="2155" w:val="num"/>
        </w:tabs>
        <w:ind w:hanging="341" w:left="2155"/>
      </w:pPr>
    </w:lvl>
    <w:lvl w:ilvl="7">
      <w:start w:val="1"/>
      <w:numFmt w:val="lowerLetter"/>
      <w:lvlText w:val="%8."/>
      <w:lvlJc w:val="left"/>
      <w:pPr>
        <w:tabs>
          <w:tab w:pos="2381" w:val="num"/>
        </w:tabs>
        <w:ind w:hanging="226" w:left="2381"/>
      </w:pPr>
    </w:lvl>
    <w:lvl w:ilvl="8">
      <w:start w:val="1"/>
      <w:numFmt w:val="lowerRoman"/>
      <w:lvlText w:val="%9."/>
      <w:lvlJc w:val="left"/>
      <w:pPr>
        <w:tabs>
          <w:tab w:pos="2722" w:val="num"/>
        </w:tabs>
        <w:ind w:hanging="341" w:left="2722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960186688" w:numId="1">
    <w:abstractNumId w:val="0"/>
  </w:num>
  <w:num w16cid:durableId="1113095680" w:numId="2">
    <w:abstractNumId w:val="1"/>
  </w:num>
  <w:num w16cid:durableId="49814577" w:numId="3">
    <w:abstractNumId w:val="4"/>
  </w:num>
  <w:num w16cid:durableId="707340148" w:numId="4">
    <w:abstractNumId w:val="4"/>
  </w:num>
  <w:num w16cid:durableId="613367619" w:numId="5">
    <w:abstractNumId w:val="7"/>
  </w:num>
  <w:num w16cid:durableId="460072155" w:numId="6">
    <w:abstractNumId w:val="7"/>
  </w:num>
  <w:num w16cid:durableId="1824420802" w:numId="7">
    <w:abstractNumId w:val="3"/>
  </w:num>
  <w:num w16cid:durableId="679044104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833279" w:numId="9">
    <w:abstractNumId w:val="8"/>
  </w:num>
  <w:num w16cid:durableId="1579755437"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2173230" w:numId="11">
    <w:abstractNumId w:val="6"/>
  </w:num>
  <w:num w16cid:durableId="1821381311"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68213398" w:numId="13">
    <w:abstractNumId w:val="2"/>
  </w:num>
  <w:num w16cid:durableId="1107194490" w:numId="14">
    <w:abstractNumId w:val="2"/>
  </w:num>
  <w:num w16cid:durableId="1330714144" w:numId="15">
    <w:abstractNumId w:val="5"/>
  </w:num>
  <w:num w16cid:durableId="1919435861" w:numId="1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9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caption" w:qFormat="1"/>
    <w:lsdException w:name="FollowedHyperlink" w:uiPriority="99"/>
    <w:lsdException w:name="Strong" w:qFormat="1" w:uiPriority="22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13079"/>
    <w:pPr>
      <w:spacing w:after="0"/>
    </w:pPr>
    <w:rPr>
      <w:rFonts w:ascii="Times New Roman" w:cs="Times New Roman" w:eastAsia="Times New Roman" w:hAnsi="Times New Roman"/>
      <w:lang w:eastAsia="en-US"/>
    </w:rPr>
  </w:style>
  <w:style w:styleId="Heading10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semiHidden/>
    <w:unhideWhenUsed/>
    <w:qFormat/>
    <w:rsid w:val="00A10FD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semiHidden/>
    <w:unhideWhenUsed/>
    <w:qFormat/>
    <w:rsid w:val="00A10FD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semiHidden/>
    <w:unhideWhenUsed/>
    <w:qFormat/>
    <w:rsid w:val="00A10FD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0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qFormat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0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PlaceholderText" w:type="character">
    <w:name w:val="Placeholder Text"/>
    <w:basedOn w:val="DefaultParagraphFont"/>
    <w:rsid w:val="00823A33"/>
    <w:rPr>
      <w:color w:val="666666"/>
    </w:rPr>
  </w:style>
  <w:style w:styleId="TableGrid" w:type="table">
    <w:name w:val="Table Grid"/>
    <w:basedOn w:val="TableNormal"/>
    <w:rsid w:val="00DB4888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stParagraph" w:type="paragraph">
    <w:name w:val="List Paragraph"/>
    <w:basedOn w:val="Normal"/>
    <w:rsid w:val="00C61BCE"/>
    <w:pPr>
      <w:ind w:left="720"/>
      <w:contextualSpacing/>
    </w:pPr>
  </w:style>
  <w:style w:styleId="Strong" w:type="character">
    <w:name w:val="Strong"/>
    <w:basedOn w:val="DefaultParagraphFont"/>
    <w:uiPriority w:val="22"/>
    <w:qFormat/>
    <w:rsid w:val="00A509CE"/>
    <w:rPr>
      <w:b/>
      <w:bCs/>
    </w:rPr>
  </w:style>
  <w:style w:styleId="NormalWeb" w:type="paragraph">
    <w:name w:val="Normal (Web)"/>
    <w:basedOn w:val="Normal"/>
    <w:uiPriority w:val="99"/>
    <w:unhideWhenUsed/>
    <w:rsid w:val="004D17B6"/>
    <w:pPr>
      <w:spacing w:after="100" w:afterAutospacing="1" w:before="100" w:beforeAutospacing="1"/>
    </w:pPr>
  </w:style>
  <w:style w:styleId="FollowedHyperlink" w:type="character">
    <w:name w:val="FollowedHyperlink"/>
    <w:basedOn w:val="DefaultParagraphFont"/>
    <w:uiPriority w:val="99"/>
    <w:unhideWhenUsed/>
    <w:rsid w:val="000019C6"/>
    <w:rPr>
      <w:color w:themeColor="followedHyperlink" w:val="96607D"/>
      <w:u w:val="single"/>
    </w:rPr>
  </w:style>
  <w:style w:customStyle="1" w:styleId="msonormal0" w:type="paragraph">
    <w:name w:val="msonormal"/>
    <w:basedOn w:val="Normal"/>
    <w:rsid w:val="000019C6"/>
    <w:pPr>
      <w:spacing w:after="100" w:afterAutospacing="1" w:before="100" w:beforeAutospacing="1"/>
    </w:pPr>
  </w:style>
  <w:style w:customStyle="1" w:styleId="FootnoteTextChar" w:type="character">
    <w:name w:val="Footnote Text Char"/>
    <w:basedOn w:val="DefaultParagraphFont"/>
    <w:link w:val="FootnoteText"/>
    <w:rsid w:val="000019C6"/>
    <w:rPr>
      <w:rFonts w:ascii="Times New Roman" w:cs="Times New Roman" w:eastAsia="Times New Roman" w:hAnsi="Times New Roman"/>
      <w:lang w:eastAsia="en-US"/>
    </w:rPr>
  </w:style>
  <w:style w:styleId="Header" w:type="paragraph">
    <w:name w:val="header"/>
    <w:basedOn w:val="Normal"/>
    <w:link w:val="Head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jc w:val="both"/>
    </w:pPr>
    <w:rPr>
      <w:sz w:val="18"/>
      <w:szCs w:val="20"/>
      <w:lang w:eastAsia="zh-CN"/>
    </w:rPr>
  </w:style>
  <w:style w:customStyle="1" w:styleId="HeaderChar" w:type="character">
    <w:name w:val="Header Char"/>
    <w:basedOn w:val="DefaultParagraphFont"/>
    <w:link w:val="Header"/>
    <w:rsid w:val="000019C6"/>
    <w:rPr>
      <w:rFonts w:ascii="Times New Roman" w:cs="Times New Roman" w:eastAsia="Times New Roman" w:hAnsi="Times New Roman"/>
      <w:sz w:val="18"/>
      <w:szCs w:val="20"/>
    </w:rPr>
  </w:style>
  <w:style w:styleId="Footer" w:type="paragraph">
    <w:name w:val="footer"/>
    <w:basedOn w:val="Normal"/>
    <w:link w:val="Foot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FooterChar" w:type="character">
    <w:name w:val="Footer Char"/>
    <w:basedOn w:val="DefaultParagraphFont"/>
    <w:link w:val="Footer"/>
    <w:rsid w:val="000019C6"/>
    <w:rPr>
      <w:rFonts w:ascii="Times New Roman" w:cs="Times New Roman" w:eastAsia="Times New Roman" w:hAnsi="Times New Roman"/>
      <w:sz w:val="20"/>
      <w:szCs w:val="20"/>
    </w:rPr>
  </w:style>
  <w:style w:customStyle="1" w:styleId="BodyTextChar" w:type="character">
    <w:name w:val="Body Text Char"/>
    <w:basedOn w:val="DefaultParagraphFont"/>
    <w:link w:val="BodyText"/>
    <w:rsid w:val="000019C6"/>
    <w:rPr>
      <w:rFonts w:ascii="Times New Roman" w:cs="Times New Roman" w:eastAsia="Times New Roman" w:hAnsi="Times New Roman"/>
      <w:lang w:eastAsia="en-US"/>
    </w:rPr>
  </w:style>
  <w:style w:styleId="List" w:type="paragraph">
    <w:name w:val="List"/>
    <w:basedOn w:val="BodyText"/>
    <w:unhideWhenUsed/>
    <w:rsid w:val="000019C6"/>
    <w:pPr>
      <w:overflowPunct w:val="0"/>
      <w:autoSpaceDE w:val="0"/>
      <w:spacing w:after="140" w:before="0" w:line="276" w:lineRule="auto"/>
      <w:ind w:firstLine="227"/>
      <w:jc w:val="both"/>
    </w:pPr>
    <w:rPr>
      <w:rFonts w:cs="Noto Sans"/>
      <w:sz w:val="20"/>
      <w:szCs w:val="20"/>
      <w:lang w:eastAsia="zh-CN"/>
    </w:rPr>
  </w:style>
  <w:style w:customStyle="1" w:styleId="author0" w:type="paragraph">
    <w:name w:val="author"/>
    <w:basedOn w:val="Normal"/>
    <w:next w:val="address"/>
    <w:rsid w:val="000019C6"/>
    <w:pPr>
      <w:suppressAutoHyphens/>
      <w:overflowPunct w:val="0"/>
      <w:autoSpaceDE w:val="0"/>
      <w:spacing w:after="200" w:line="240" w:lineRule="atLeast"/>
      <w:jc w:val="center"/>
    </w:pPr>
    <w:rPr>
      <w:sz w:val="20"/>
      <w:szCs w:val="20"/>
      <w:lang w:eastAsia="zh-CN"/>
    </w:rPr>
  </w:style>
  <w:style w:customStyle="1" w:styleId="Heading" w:type="paragraph">
    <w:name w:val="Heading"/>
    <w:basedOn w:val="Normal"/>
    <w:next w:val="BodyText"/>
    <w:rsid w:val="000019C6"/>
    <w:pPr>
      <w:keepNext/>
      <w:overflowPunct w:val="0"/>
      <w:autoSpaceDE w:val="0"/>
      <w:spacing w:after="120" w:before="240" w:line="240" w:lineRule="atLeast"/>
      <w:ind w:firstLine="227"/>
      <w:jc w:val="both"/>
    </w:pPr>
    <w:rPr>
      <w:rFonts w:ascii="Liberation Sans" w:cs="Noto Sans" w:eastAsia="Linux Libertine G" w:hAnsi="Liberation Sans"/>
      <w:sz w:val="28"/>
      <w:szCs w:val="28"/>
      <w:lang w:eastAsia="zh-CN"/>
    </w:rPr>
  </w:style>
  <w:style w:customStyle="1" w:styleId="Index" w:type="paragraph">
    <w:name w:val="Index"/>
    <w:basedOn w:val="Normal"/>
    <w:rsid w:val="000019C6"/>
    <w:pPr>
      <w:suppressLineNumbers/>
      <w:overflowPunct w:val="0"/>
      <w:autoSpaceDE w:val="0"/>
      <w:spacing w:line="240" w:lineRule="atLeast"/>
      <w:ind w:firstLine="227"/>
      <w:jc w:val="both"/>
    </w:pPr>
    <w:rPr>
      <w:rFonts w:cs="Noto Sans"/>
      <w:sz w:val="20"/>
      <w:szCs w:val="20"/>
      <w:lang w:eastAsia="zh-CN"/>
    </w:rPr>
  </w:style>
  <w:style w:customStyle="1" w:styleId="abstract0" w:type="paragraph">
    <w:name w:val="abstract"/>
    <w:basedOn w:val="Normal"/>
    <w:rsid w:val="000019C6"/>
    <w:pPr>
      <w:overflowPunct w:val="0"/>
      <w:autoSpaceDE w:val="0"/>
      <w:spacing w:after="360" w:before="600" w:line="220" w:lineRule="atLeast"/>
      <w:ind w:left="567" w:right="567"/>
      <w:contextualSpacing/>
      <w:jc w:val="both"/>
    </w:pPr>
    <w:rPr>
      <w:sz w:val="18"/>
      <w:szCs w:val="20"/>
      <w:lang w:eastAsia="zh-CN"/>
    </w:rPr>
  </w:style>
  <w:style w:customStyle="1" w:styleId="address" w:type="paragraph">
    <w:name w:val="address"/>
    <w:basedOn w:val="Normal"/>
    <w:rsid w:val="000019C6"/>
    <w:pPr>
      <w:suppressAutoHyphens/>
      <w:overflowPunct w:val="0"/>
      <w:autoSpaceDE w:val="0"/>
      <w:spacing w:after="200" w:line="220" w:lineRule="atLeast"/>
      <w:contextualSpacing/>
      <w:jc w:val="center"/>
    </w:pPr>
    <w:rPr>
      <w:sz w:val="18"/>
      <w:szCs w:val="20"/>
      <w:lang w:eastAsia="zh-CN"/>
    </w:rPr>
  </w:style>
  <w:style w:customStyle="1" w:styleId="bulletitem" w:type="paragraph">
    <w:name w:val="bulletitem"/>
    <w:basedOn w:val="Normal"/>
    <w:rsid w:val="000019C6"/>
    <w:pPr>
      <w:numPr>
        <w:numId w:val="3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dashitem" w:type="paragraph">
    <w:name w:val="dashitem"/>
    <w:basedOn w:val="Normal"/>
    <w:rsid w:val="000019C6"/>
    <w:pPr>
      <w:numPr>
        <w:numId w:val="5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equation" w:type="paragraph">
    <w:name w:val="equation"/>
    <w:basedOn w:val="Normal"/>
    <w:next w:val="Normal"/>
    <w:rsid w:val="000019C6"/>
    <w:pPr>
      <w:tabs>
        <w:tab w:pos="3289" w:val="center"/>
        <w:tab w:pos="6917" w:val="right"/>
      </w:tabs>
      <w:overflowPunct w:val="0"/>
      <w:autoSpaceDE w:val="0"/>
      <w:spacing w:after="160" w:before="160" w:line="240" w:lineRule="atLeast"/>
      <w:jc w:val="both"/>
    </w:pPr>
    <w:rPr>
      <w:sz w:val="20"/>
      <w:szCs w:val="20"/>
      <w:lang w:eastAsia="zh-CN"/>
    </w:rPr>
  </w:style>
  <w:style w:customStyle="1" w:styleId="figurecaption" w:type="paragraph">
    <w:name w:val="figurecaption"/>
    <w:basedOn w:val="Normal"/>
    <w:next w:val="Normal"/>
    <w:rsid w:val="000019C6"/>
    <w:pPr>
      <w:keepLines/>
      <w:overflowPunct w:val="0"/>
      <w:autoSpaceDE w:val="0"/>
      <w:spacing w:after="240" w:before="120" w:line="220" w:lineRule="atLeast"/>
      <w:jc w:val="center"/>
    </w:pPr>
    <w:rPr>
      <w:sz w:val="18"/>
      <w:szCs w:val="20"/>
      <w:lang w:eastAsia="zh-CN"/>
    </w:rPr>
  </w:style>
  <w:style w:customStyle="1" w:styleId="p1a" w:type="paragraph">
    <w:name w:val="p1a"/>
    <w:basedOn w:val="Normal"/>
    <w:rsid w:val="000019C6"/>
    <w:p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heading1" w:type="paragraph">
    <w:name w:val="heading1"/>
    <w:basedOn w:val="Heading10"/>
    <w:next w:val="Normal"/>
    <w:rsid w:val="000019C6"/>
    <w:pPr>
      <w:numPr>
        <w:numId w:val="7"/>
      </w:numPr>
      <w:tabs>
        <w:tab w:pos="567" w:val="left"/>
      </w:tabs>
      <w:suppressAutoHyphens/>
      <w:overflowPunct w:val="0"/>
      <w:autoSpaceDE w:val="0"/>
      <w:spacing w:after="240" w:line="300" w:lineRule="atLeast"/>
      <w:outlineLvl w:val="9"/>
    </w:pPr>
    <w:rPr>
      <w:rFonts w:ascii="Times New Roman" w:cs="Times New Roman" w:eastAsia="Times New Roman" w:hAnsi="Times New Roman"/>
      <w:b/>
      <w:bCs/>
      <w:color w:val="auto"/>
      <w:sz w:val="24"/>
      <w:szCs w:val="20"/>
      <w:lang w:eastAsia="zh-CN"/>
    </w:rPr>
  </w:style>
  <w:style w:customStyle="1" w:styleId="heading20" w:type="paragraph">
    <w:name w:val="heading2"/>
    <w:basedOn w:val="Heading2"/>
    <w:next w:val="Normal"/>
    <w:rsid w:val="000019C6"/>
    <w:pPr>
      <w:tabs>
        <w:tab w:pos="567" w:val="num"/>
      </w:tabs>
      <w:suppressAutoHyphens/>
      <w:overflowPunct w:val="0"/>
      <w:autoSpaceDE w:val="0"/>
      <w:spacing w:after="160" w:before="360" w:line="240" w:lineRule="atLeast"/>
      <w:ind w:hanging="567" w:left="567"/>
      <w:jc w:val="both"/>
      <w:outlineLvl w:val="9"/>
    </w:pPr>
    <w:rPr>
      <w:rFonts w:ascii="Times New Roman" w:cs="Times New Roman" w:eastAsia="Times New Roman" w:hAnsi="Times New Roman"/>
      <w:b/>
      <w:bCs/>
      <w:iCs/>
      <w:color w:val="auto"/>
      <w:sz w:val="20"/>
      <w:szCs w:val="20"/>
      <w:lang w:eastAsia="zh-CN"/>
    </w:rPr>
  </w:style>
  <w:style w:customStyle="1" w:styleId="image" w:type="paragraph">
    <w:name w:val="image"/>
    <w:basedOn w:val="Normal"/>
    <w:next w:val="Normal"/>
    <w:rsid w:val="000019C6"/>
    <w:pPr>
      <w:overflowPunct w:val="0"/>
      <w:autoSpaceDE w:val="0"/>
      <w:spacing w:after="120" w:before="240" w:line="240" w:lineRule="atLeast"/>
      <w:jc w:val="center"/>
    </w:pPr>
    <w:rPr>
      <w:sz w:val="20"/>
      <w:szCs w:val="20"/>
      <w:lang w:eastAsia="zh-CN"/>
    </w:rPr>
  </w:style>
  <w:style w:customStyle="1" w:styleId="keywords" w:type="paragraph">
    <w:name w:val="keywords"/>
    <w:basedOn w:val="abstract0"/>
    <w:next w:val="heading1"/>
    <w:rsid w:val="000019C6"/>
    <w:pPr>
      <w:spacing w:before="220"/>
      <w:contextualSpacing w:val="0"/>
    </w:pPr>
  </w:style>
  <w:style w:customStyle="1" w:styleId="numitem" w:type="paragraph">
    <w:name w:val="numitem"/>
    <w:basedOn w:val="Normal"/>
    <w:rsid w:val="000019C6"/>
    <w:pPr>
      <w:numPr>
        <w:numId w:val="9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programcode" w:type="paragraph">
    <w:name w:val="programcode"/>
    <w:basedOn w:val="Normal"/>
    <w:rsid w:val="000019C6"/>
    <w:pPr>
      <w:tabs>
        <w:tab w:pos="227" w:val="left"/>
        <w:tab w:pos="454" w:val="left"/>
        <w:tab w:pos="680" w:val="left"/>
        <w:tab w:pos="907" w:val="left"/>
        <w:tab w:pos="1134" w:val="left"/>
        <w:tab w:pos="1361" w:val="left"/>
        <w:tab w:pos="1588" w:val="left"/>
        <w:tab w:pos="1814" w:val="left"/>
        <w:tab w:pos="2041" w:val="left"/>
        <w:tab w:pos="2268" w:val="left"/>
        <w:tab w:pos="2495" w:val="left"/>
        <w:tab w:pos="2722" w:val="left"/>
        <w:tab w:pos="2948" w:val="left"/>
        <w:tab w:pos="3175" w:val="left"/>
        <w:tab w:pos="3402" w:val="left"/>
        <w:tab w:pos="3629" w:val="left"/>
        <w:tab w:pos="3856" w:val="left"/>
        <w:tab w:pos="4082" w:val="left"/>
        <w:tab w:pos="4309" w:val="left"/>
        <w:tab w:pos="4536" w:val="left"/>
        <w:tab w:pos="4763" w:val="left"/>
        <w:tab w:pos="4990" w:val="left"/>
        <w:tab w:pos="5216" w:val="left"/>
        <w:tab w:pos="5443" w:val="left"/>
        <w:tab w:pos="5670" w:val="left"/>
        <w:tab w:pos="5897" w:val="left"/>
        <w:tab w:pos="6124" w:val="left"/>
        <w:tab w:pos="6350" w:val="left"/>
        <w:tab w:pos="6577" w:val="left"/>
      </w:tabs>
      <w:overflowPunct w:val="0"/>
      <w:autoSpaceDE w:val="0"/>
      <w:spacing w:after="160" w:before="160" w:line="240" w:lineRule="atLeast"/>
      <w:contextualSpacing/>
    </w:pPr>
    <w:rPr>
      <w:rFonts w:ascii="Courier" w:cs="Courier" w:hAnsi="Courier"/>
      <w:sz w:val="20"/>
      <w:szCs w:val="20"/>
      <w:lang w:eastAsia="zh-CN"/>
    </w:rPr>
  </w:style>
  <w:style w:customStyle="1" w:styleId="referenceitem" w:type="paragraph">
    <w:name w:val="referenceitem"/>
    <w:basedOn w:val="Normal"/>
    <w:rsid w:val="000019C6"/>
    <w:pPr>
      <w:numPr>
        <w:numId w:val="11"/>
      </w:numPr>
      <w:tabs>
        <w:tab w:pos="341" w:val="left"/>
      </w:tabs>
      <w:overflowPunct w:val="0"/>
      <w:autoSpaceDE w:val="0"/>
      <w:spacing w:line="220" w:lineRule="atLeast"/>
      <w:jc w:val="both"/>
    </w:pPr>
    <w:rPr>
      <w:sz w:val="18"/>
      <w:szCs w:val="20"/>
      <w:lang w:eastAsia="zh-CN"/>
    </w:rPr>
  </w:style>
  <w:style w:customStyle="1" w:styleId="runninghead-left" w:type="paragraph">
    <w:name w:val="running head - left"/>
    <w:basedOn w:val="Normal"/>
    <w:rsid w:val="000019C6"/>
    <w:pPr>
      <w:overflowPunct w:val="0"/>
      <w:autoSpaceDE w:val="0"/>
      <w:spacing w:line="240" w:lineRule="atLeast"/>
    </w:pPr>
    <w:rPr>
      <w:sz w:val="18"/>
      <w:szCs w:val="18"/>
      <w:lang w:eastAsia="zh-CN"/>
    </w:rPr>
  </w:style>
  <w:style w:customStyle="1" w:styleId="runninghead-right" w:type="paragraph">
    <w:name w:val="running head - right"/>
    <w:basedOn w:val="Normal"/>
    <w:rsid w:val="000019C6"/>
    <w:pPr>
      <w:overflowPunct w:val="0"/>
      <w:autoSpaceDE w:val="0"/>
      <w:spacing w:line="240" w:lineRule="atLeast"/>
      <w:jc w:val="right"/>
    </w:pPr>
    <w:rPr>
      <w:bCs/>
      <w:sz w:val="18"/>
      <w:szCs w:val="18"/>
      <w:lang w:eastAsia="zh-CN"/>
    </w:rPr>
  </w:style>
  <w:style w:customStyle="1" w:styleId="tablecaption0" w:type="paragraph">
    <w:name w:val="tablecaption"/>
    <w:basedOn w:val="Normal"/>
    <w:next w:val="Normal"/>
    <w:rsid w:val="000019C6"/>
    <w:pPr>
      <w:keepNext/>
      <w:keepLines/>
      <w:overflowPunct w:val="0"/>
      <w:autoSpaceDE w:val="0"/>
      <w:spacing w:after="120" w:before="240" w:line="220" w:lineRule="atLeast"/>
      <w:jc w:val="center"/>
    </w:pPr>
    <w:rPr>
      <w:sz w:val="18"/>
      <w:szCs w:val="20"/>
      <w:lang w:eastAsia="zh-CN" w:val="de-DE"/>
    </w:rPr>
  </w:style>
  <w:style w:customStyle="1" w:styleId="HeaderandFooter" w:type="paragraph">
    <w:name w:val="Header and Footer"/>
    <w:basedOn w:val="Normal"/>
    <w:rsid w:val="000019C6"/>
    <w:pPr>
      <w:suppressLineNumbers/>
      <w:tabs>
        <w:tab w:pos="4986" w:val="center"/>
        <w:tab w:pos="99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Aufzhlungszeichen" w:type="paragraph">
    <w:name w:val="Aufzählungszeichen"/>
    <w:basedOn w:val="Normal"/>
    <w:rsid w:val="000019C6"/>
    <w:pPr>
      <w:numPr>
        <w:numId w:val="13"/>
      </w:numPr>
      <w:overflowPunct w:val="0"/>
      <w:autoSpaceDE w:val="0"/>
      <w:spacing w:after="120" w:before="120" w:line="240" w:lineRule="atLeast"/>
      <w:contextualSpacing/>
      <w:jc w:val="both"/>
    </w:pPr>
    <w:rPr>
      <w:sz w:val="20"/>
      <w:szCs w:val="20"/>
      <w:lang w:eastAsia="zh-CN"/>
    </w:rPr>
  </w:style>
  <w:style w:customStyle="1" w:styleId="Listennummer" w:type="paragraph">
    <w:name w:val="Listennummer"/>
    <w:basedOn w:val="Normal"/>
    <w:rsid w:val="000019C6"/>
    <w:pPr>
      <w:numPr>
        <w:numId w:val="15"/>
      </w:num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WW8Num1z0" w:type="character">
    <w:name w:val="WW8Num1z0"/>
    <w:rsid w:val="000019C6"/>
    <w:rPr>
      <w:rFonts w:ascii="Symbol" w:cs="Symbol" w:hAnsi="Symbol" w:hint="default"/>
    </w:rPr>
  </w:style>
  <w:style w:customStyle="1" w:styleId="WW8Num2z0" w:type="character">
    <w:name w:val="WW8Num2z0"/>
    <w:rsid w:val="000019C6"/>
    <w:rPr>
      <w:rFonts w:ascii="Symbol" w:cs="Symbol" w:hAnsi="Symbol" w:hint="default"/>
    </w:rPr>
  </w:style>
  <w:style w:customStyle="1" w:styleId="WW8Num3z0" w:type="character">
    <w:name w:val="WW8Num3z0"/>
    <w:rsid w:val="000019C6"/>
    <w:rPr>
      <w:rFonts w:ascii="Symbol" w:cs="Symbol" w:hAnsi="Symbol" w:hint="default"/>
    </w:rPr>
  </w:style>
  <w:style w:customStyle="1" w:styleId="WW8Num4z0" w:type="character">
    <w:name w:val="WW8Num4z0"/>
    <w:rsid w:val="000019C6"/>
    <w:rPr>
      <w:rFonts w:ascii="Symbol" w:cs="Symbol" w:hAnsi="Symbol" w:hint="default"/>
    </w:rPr>
  </w:style>
  <w:style w:customStyle="1" w:styleId="WW8Num5z0" w:type="character">
    <w:name w:val="WW8Num5z0"/>
    <w:rsid w:val="000019C6"/>
  </w:style>
  <w:style w:customStyle="1" w:styleId="WW8Num6z0" w:type="character">
    <w:name w:val="WW8Num6z0"/>
    <w:rsid w:val="000019C6"/>
    <w:rPr>
      <w:rFonts w:ascii="Symbol" w:cs="Symbol" w:hAnsi="Symbol" w:hint="default"/>
    </w:rPr>
  </w:style>
  <w:style w:customStyle="1" w:styleId="WW8Num7z0" w:type="character">
    <w:name w:val="WW8Num7z0"/>
    <w:rsid w:val="000019C6"/>
  </w:style>
  <w:style w:customStyle="1" w:styleId="WW8Num8z0" w:type="character">
    <w:name w:val="WW8Num8z0"/>
    <w:rsid w:val="000019C6"/>
    <w:rPr>
      <w:rFonts w:ascii="Symbol" w:cs="Symbol" w:hAnsi="Symbol" w:hint="default"/>
    </w:rPr>
  </w:style>
  <w:style w:customStyle="1" w:styleId="WW8Num8z1" w:type="character">
    <w:name w:val="WW8Num8z1"/>
    <w:rsid w:val="000019C6"/>
    <w:rPr>
      <w:rFonts w:ascii="Times New Roman" w:cs="Times New Roman" w:hAnsi="Times New Roman" w:hint="cs"/>
    </w:rPr>
  </w:style>
  <w:style w:customStyle="1" w:styleId="WW8Num8z2" w:type="character">
    <w:name w:val="WW8Num8z2"/>
    <w:rsid w:val="000019C6"/>
    <w:rPr>
      <w:rFonts w:ascii="Courier New" w:cs="Courier New" w:hAnsi="Courier New" w:hint="default"/>
    </w:rPr>
  </w:style>
  <w:style w:customStyle="1" w:styleId="WW8Num8z3" w:type="character">
    <w:name w:val="WW8Num8z3"/>
    <w:rsid w:val="000019C6"/>
    <w:rPr>
      <w:rFonts w:ascii="Wingdings" w:cs="Wingdings" w:hAnsi="Wingdings" w:hint="default"/>
    </w:rPr>
  </w:style>
  <w:style w:customStyle="1" w:styleId="WW8Num9z0" w:type="character">
    <w:name w:val="WW8Num9z0"/>
    <w:rsid w:val="000019C6"/>
    <w:rPr>
      <w:rFonts w:ascii="Times New Roman" w:cs="Times New Roman" w:hAnsi="Times New Roman" w:hint="cs"/>
    </w:rPr>
  </w:style>
  <w:style w:customStyle="1" w:styleId="WW8Num9z1" w:type="character">
    <w:name w:val="WW8Num9z1"/>
    <w:rsid w:val="000019C6"/>
    <w:rPr>
      <w:rFonts w:ascii="Symbol" w:cs="Symbol" w:hAnsi="Symbol" w:hint="default"/>
    </w:rPr>
  </w:style>
  <w:style w:customStyle="1" w:styleId="WW8Num10z0" w:type="character">
    <w:name w:val="WW8Num10z0"/>
    <w:rsid w:val="000019C6"/>
  </w:style>
  <w:style w:customStyle="1" w:styleId="WW8Num10z4" w:type="character">
    <w:name w:val="WW8Num10z4"/>
    <w:rsid w:val="000019C6"/>
    <w:rPr>
      <w:rFonts w:ascii="Times New Roman" w:cs="Times New Roman" w:hAnsi="Times New Roman" w:hint="cs"/>
      <w:b w:val="0"/>
      <w:bCs w:val="0"/>
      <w:i/>
      <w:iCs w:val="0"/>
      <w:sz w:val="20"/>
    </w:rPr>
  </w:style>
  <w:style w:customStyle="1" w:styleId="WW8Num11z0" w:type="character">
    <w:name w:val="WW8Num11z0"/>
    <w:rsid w:val="000019C6"/>
  </w:style>
  <w:style w:customStyle="1" w:styleId="WW8Num12z0" w:type="character">
    <w:name w:val="WW8Num12z0"/>
    <w:rsid w:val="000019C6"/>
  </w:style>
  <w:style w:customStyle="1" w:styleId="Absatz-Standardschriftart" w:type="character">
    <w:name w:val="Absatz-Standardschriftart"/>
    <w:rsid w:val="000019C6"/>
  </w:style>
  <w:style w:customStyle="1" w:styleId="e-mail" w:type="character">
    <w:name w:val="e-mail"/>
    <w:basedOn w:val="Absatz-Standardschriftart"/>
    <w:rsid w:val="000019C6"/>
    <w:rPr>
      <w:rFonts w:ascii="Courier" w:cs="Courier" w:hAnsi="Courier" w:hint="default"/>
      <w:spacing w:val="-6"/>
      <w:lang w:eastAsia="en-US" w:val="en-US"/>
    </w:rPr>
  </w:style>
  <w:style w:customStyle="1" w:styleId="FootnoteCharacters" w:type="character">
    <w:name w:val="Footnote Characters"/>
    <w:basedOn w:val="Absatz-Standardschriftart"/>
    <w:rsid w:val="000019C6"/>
    <w:rPr>
      <w:vertAlign w:val="superscript"/>
    </w:rPr>
  </w:style>
  <w:style w:customStyle="1" w:styleId="heading30" w:type="character">
    <w:name w:val="heading3"/>
    <w:basedOn w:val="Absatz-Standardschriftart"/>
    <w:rsid w:val="000019C6"/>
    <w:rPr>
      <w:b/>
      <w:bCs w:val="0"/>
    </w:rPr>
  </w:style>
  <w:style w:customStyle="1" w:styleId="heading40" w:type="character">
    <w:name w:val="heading4"/>
    <w:basedOn w:val="Absatz-Standardschriftart"/>
    <w:rsid w:val="000019C6"/>
    <w:rPr>
      <w:i/>
      <w:iCs w:val="0"/>
    </w:rPr>
  </w:style>
  <w:style w:customStyle="1" w:styleId="url" w:type="character">
    <w:name w:val="url"/>
    <w:basedOn w:val="Absatz-Standardschriftart"/>
    <w:rsid w:val="000019C6"/>
    <w:rPr>
      <w:rFonts w:ascii="Courier" w:cs="Courier" w:hAnsi="Courier" w:hint="default"/>
      <w:lang w:eastAsia="en-US" w:val="en-US"/>
    </w:rPr>
  </w:style>
  <w:style w:styleId="PageNumber" w:type="character">
    <w:name w:val="page number"/>
    <w:basedOn w:val="Absatz-Standardschriftart"/>
    <w:unhideWhenUsed/>
    <w:rsid w:val="000019C6"/>
    <w:rPr>
      <w:sz w:val="18"/>
    </w:rPr>
  </w:style>
  <w:style w:styleId="Revision" w:type="paragraph">
    <w:name w:val="Revision"/>
    <w:hidden/>
    <w:rsid w:val="000F1FDE"/>
    <w:pPr>
      <w:spacing w:after="0"/>
    </w:pPr>
    <w:rPr>
      <w:rFonts w:ascii="Times New Roman" w:cs="Times New Roman" w:eastAsia="Times New Roman" w:hAnsi="Times New Roman"/>
      <w:lang w:eastAsia="en-US"/>
    </w:rPr>
  </w:style>
  <w:style w:styleId="CommentReference" w:type="character">
    <w:name w:val="annotation reference"/>
    <w:basedOn w:val="DefaultParagraphFont"/>
    <w:rsid w:val="00522B79"/>
    <w:rPr>
      <w:sz w:val="16"/>
      <w:szCs w:val="16"/>
    </w:rPr>
  </w:style>
  <w:style w:styleId="CommentText" w:type="paragraph">
    <w:name w:val="annotation text"/>
    <w:basedOn w:val="Normal"/>
    <w:link w:val="CommentTextChar"/>
    <w:rsid w:val="00522B79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rsid w:val="00522B79"/>
    <w:rPr>
      <w:rFonts w:ascii="Times New Roman" w:cs="Times New Roman" w:eastAsia="Times New Roman" w:hAnsi="Times New Roman"/>
      <w:sz w:val="20"/>
      <w:szCs w:val="20"/>
      <w:lang w:eastAsia="en-US"/>
    </w:rPr>
  </w:style>
  <w:style w:styleId="CommentSubject" w:type="paragraph">
    <w:name w:val="annotation subject"/>
    <w:basedOn w:val="CommentText"/>
    <w:next w:val="CommentText"/>
    <w:link w:val="CommentSubjectChar"/>
    <w:rsid w:val="00522B79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522B79"/>
    <w:rPr>
      <w:rFonts w:ascii="Times New Roman" w:cs="Times New Roman" w:eastAsia="Times New Roman" w:hAnsi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10180</Words>
  <Characters>58026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2026-10-10T07:32:10Z</dcterms:created>
  <dcterms:modified xsi:type="dcterms:W3CDTF">2026-10-10T07:32:10Z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