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581D" w14:textId="77777777" w:rsidR="000019C6" w:rsidRPr="008B000F" w:rsidRDefault="000019C6" w:rsidP="00721EA0">
      <w:pPr>
        <w:pStyle w:val="Title"/>
        <w:spacing w:line="300" w:lineRule="auto"/>
        <w:rPr>
          <w:rFonts w:ascii="Times New Roman" w:hAnsi="Times New Roman" w:cs="Times New Roman"/>
          <w:b/>
          <w:bCs/>
          <w:sz w:val="24"/>
          <w:szCs w:val="24"/>
        </w:rPr>
      </w:pPr>
      <w:bookmarkStart w:id="0" w:name="_Hlk240803740"/>
      <w:bookmarkStart w:id="1" w:name="OLE_LINK2"/>
      <w:bookmarkStart w:id="2" w:name="X999d423beca544ef22434342081212ef74faf0a"/>
      <w:bookmarkEnd w:id="0"/>
      <w:r w:rsidRPr="008B000F">
        <w:rPr>
          <w:rFonts w:ascii="Times New Roman" w:hAnsi="Times New Roman" w:cs="Times New Roman" w:hint="cs"/>
          <w:b/>
          <w:bCs/>
          <w:sz w:val="24"/>
          <w:szCs w:val="24"/>
        </w:rPr>
        <w:t>Nested Equity Index Correlations Overstate True Co-Movement: Evidence from Vietnam</w:t>
      </w:r>
    </w:p>
    <w:p w14:paraId="67680C8D" w14:textId="7C4965D7" w:rsidR="000019C6" w:rsidRPr="00756D2A" w:rsidRDefault="000019C6" w:rsidP="00756D2A">
      <w:pPr>
        <w:pStyle w:val="abstract0"/>
        <w:rPr>
          <w:sz w:val="24"/>
          <w:szCs w:val="24"/>
          <w:lang w:val="vi-VN"/>
        </w:rPr>
      </w:pPr>
      <w:r>
        <w:rPr>
          <w:rFonts w:hint="cs"/>
          <w:b/>
          <w:sz w:val="24"/>
          <w:szCs w:val="24"/>
        </w:rPr>
        <w:t xml:space="preserve">Abstract: </w:t>
      </w:r>
      <w:r>
        <w:rPr>
          <w:rFonts w:hint="cs"/>
          <w:sz w:val="24"/>
          <w:szCs w:val="24"/>
        </w:rPr>
        <w:t xml:space="preserve">Asset allocators in emerging Southeast Asian markets often treat large-cap and broad-market indices as separate diversification instruments, even in nested architectures where large-cap stocks dominate the broader market. Risk models built on index-level correlations therefore conflate mechanical constituent overlap with economic co-movement. Using Detrended Cross-Correlation Analysis (DCCA) and its multifractal extension on 30-minute, 1-hour, 4-hour and daily data from the Ho Chi Minh City Stock Exchange (2014–2025), this study shows that shared capitalization inflates the near-perfect correlations among nested indices (0.975–0.980). Purging constituent overlap with a capitalization-weighted mid-cap proxy lowers the correlation with large caps by 0.086–0.096, with block-bootstrap intervals that exclude zero at every frequency, although the purged correlation remains high (about 0.88). Correlations involving the broad market rise with the horizon at the 30-minute and 1-hour frequencies, whereas the purged mid-cap correlation shows no significant horizon dependence. Raw cross-tier correlation rises from 0.73 to 0.93 in high-volatility regimes, but after Forbes–Rigobon volatility conditioning there is no evidence of a structural increase, consistent with interdependence rather than contagion. A static correlation overstates in-sample mid-cap portfolio variance by 2.2–9.4% in calm regimes and understates it by about 2% in turbulent regimes. These findings support independent mid-cap benchmarks and volatility-regime-sensitive risk budgeting in Vietnam, and they motivate tests in other markets of the Association of Southeast Asian Nations (ASEAN) with nested index architectures.</w:t>
      </w:r>
    </w:p>
    <w:p w14:paraId="1DB66A05" w14:textId="77777777" w:rsidR="000019C6" w:rsidRPr="00756D2A" w:rsidRDefault="000019C6" w:rsidP="00756D2A">
      <w:pPr>
        <w:pStyle w:val="keywords"/>
        <w:rPr>
          <w:sz w:val="24"/>
          <w:szCs w:val="24"/>
        </w:rPr>
      </w:pPr>
      <w:r w:rsidRPr="00756D2A">
        <w:rPr>
          <w:rFonts w:hint="cs"/>
          <w:sz w:val="24"/>
          <w:szCs w:val="24"/>
        </w:rPr>
        <w:t>Keywords: constituent overlap, DCCA, Forbes–</w:t>
      </w:r>
      <w:proofErr w:type="spellStart"/>
      <w:r w:rsidRPr="00756D2A">
        <w:rPr>
          <w:rFonts w:hint="cs"/>
          <w:sz w:val="24"/>
          <w:szCs w:val="24"/>
        </w:rPr>
        <w:t>Rigobon</w:t>
      </w:r>
      <w:proofErr w:type="spellEnd"/>
      <w:r w:rsidRPr="00756D2A">
        <w:rPr>
          <w:rFonts w:hint="cs"/>
          <w:sz w:val="24"/>
          <w:szCs w:val="24"/>
        </w:rPr>
        <w:t xml:space="preserve"> adjustment, multiscale correlation, portfolio risk, Vietnam.</w:t>
      </w:r>
    </w:p>
    <w:p w14:paraId="7A0E11C3" w14:textId="77777777" w:rsidR="000019C6" w:rsidRPr="00756D2A" w:rsidRDefault="000019C6" w:rsidP="00756D2A">
      <w:pPr>
        <w:spacing w:line="300" w:lineRule="auto"/>
        <w:jc w:val="both"/>
      </w:pPr>
      <w:r w:rsidRPr="00756D2A">
        <w:rPr>
          <w:rFonts w:hint="cs"/>
        </w:rPr>
        <w:t>JEL Classification: C58, G11, G12.</w:t>
      </w:r>
    </w:p>
    <w:p w14:paraId="08CC5EC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1 Introduction</w:t>
      </w:r>
    </w:p>
    <w:p w14:paraId="235CB237" w14:textId="77777777" w:rsidR="000019C6" w:rsidRPr="00756D2A" w:rsidRDefault="000019C6" w:rsidP="00756D2A">
      <w:pPr>
        <w:jc w:val="both"/>
      </w:pPr>
      <w:r>
        <w:rPr>
          <w:rFonts w:hint="cs"/>
        </w:rPr>
        <w:t xml:space="preserve">Portfolio managers in emerging equity markets often build multi-capitalization portfolios as if large-cap and mid-cap indices were separate diversification instruments. Many risk models, asset allocation algorithms and stress tests describe cross-asset dependence with one static Pearson correlation estimated from daily closing prices (Markowitz 1952). This practice rests on two assumptions that are rarely tested: that co-movement does not depend on the holding horizon, from intraday intervals to several months, and that dependence is the same in calm and volatile regimes.</w:t>
      </w:r>
    </w:p>
    <w:p w14:paraId="362DAB1E" w14:textId="77777777" w:rsidR="000019C6" w:rsidRPr="00756D2A" w:rsidRDefault="000019C6" w:rsidP="00756D2A">
      <w:pPr>
        <w:jc w:val="both"/>
      </w:pPr>
    </w:p>
    <w:p w14:paraId="110A6E26" w14:textId="77777777" w:rsidR="000019C6" w:rsidRPr="00756D2A" w:rsidRDefault="000019C6" w:rsidP="00756D2A">
      <w:pPr>
        <w:jc w:val="both"/>
      </w:pPr>
      <w:r w:rsidRPr="00756D2A">
        <w:rPr>
          <w:rFonts w:hint="cs"/>
        </w:rPr>
        <w:t xml:space="preserve">In nested equity index systems, a static correlation also mixes two sources of dependence. Across the equity markets of the Association of Southeast Asian Nations (ASEAN), index providers use nested, capitalization-tiered architectures. For example, the FTSE Bursa Malaysia KLCI (top 30) is nested within the </w:t>
      </w:r>
      <w:r w:rsidRPr="00756D2A">
        <w:rPr>
          <w:rFonts w:hint="cs"/>
        </w:rPr>
        <w:lastRenderedPageBreak/>
        <w:t xml:space="preserve">FTSE Bursa Malaysia Top 100 Index and FBM EMAS Index, the SET50 is nested within the SET100 in Thailand, and the IDX30 is nested within the LQ45 in Indonesia. Bursa Malaysia permits Regulated Short Selling (RSS) and Intraday Short Selling (IDSS) on eligible constituents, whereas Vietnam prohibits cash short selling (Section 1.1). On the Ho Chi Minh City Stock Exchange (HOSE), the flagship large-cap index (VN30) is contained in the top-100 benchmark (VN100), which is in turn nested within the broad market index (VNINDEX), satisfying the strict subset relation:</w:t>
      </w:r>
    </w:p>
    <w:p w14:paraId="58306FE2" w14:textId="77777777" w:rsidR="000019C6" w:rsidRPr="00756D2A" w:rsidRDefault="000019C6" w:rsidP="00756D2A">
      <w:pPr>
        <w:jc w:val="center"/>
      </w:pPr>
      <w:r>
        <w:t xml:space="preserve">VN30 ⊂ VN100 ⊂ VNINDEX.</w:t>
      </w:r>
      <w:r>
        <w:t xml:space="preserve"> (1)</w:t>
      </w:r>
    </w:p>
    <w:p w14:paraId="55412743" w14:textId="77777777" w:rsidR="000019C6" w:rsidRPr="00756D2A" w:rsidRDefault="000019C6" w:rsidP="00756D2A">
      <w:pPr>
        <w:jc w:val="both"/>
      </w:pPr>
      <w:r w:rsidRPr="00756D2A">
        <w:rPr>
          <w:rFonts w:hint="cs"/>
        </w:rPr>
        <w:t xml:space="preserve">Because the 30 largest firms represent over two-thirds of the free-float market capitalization of VN100, the return co-movement among these indices is high by construction, and reading their correlation as economic linkage confuses index design with market co-movement. An investor who splits a position between VN30 and VN100 funds gains little diversification.</w:t>
      </w:r>
    </w:p>
    <w:p w14:paraId="3F8C2056" w14:textId="77777777" w:rsidR="000019C6" w:rsidRPr="00756D2A" w:rsidRDefault="000019C6" w:rsidP="00756D2A">
      <w:pPr>
        <w:jc w:val="both"/>
      </w:pPr>
    </w:p>
    <w:p w14:paraId="7DC16BC4" w14:textId="76CAE6F5" w:rsidR="000019C6" w:rsidRPr="00E634FC" w:rsidRDefault="000019C6" w:rsidP="00E634FC">
      <w:pPr>
        <w:jc w:val="both"/>
        <w:rPr>
          <w:lang w:val="vi-VN"/>
        </w:rPr>
      </w:pPr>
      <w:r w:rsidRPr="00756D2A">
        <w:rPr>
          <w:rFonts w:hint="cs"/>
        </w:rPr>
        <w:t xml:space="preserve">To separate multiscale dynamics from nonstationary noise, </w:t>
      </w:r>
      <w:proofErr w:type="spellStart"/>
      <w:r w:rsidRPr="00756D2A">
        <w:rPr>
          <w:rFonts w:hint="cs"/>
        </w:rPr>
        <w:t xml:space="preserve">econophysics and financial econometrics use</w:t>
      </w:r>
      <w:proofErr w:type="spellEnd"/>
      <w:r w:rsidRPr="00756D2A">
        <w:rPr>
          <w:rFonts w:hint="cs"/>
        </w:rPr>
        <w:t xml:space="preserve"> Detrended Cross-Correlation Analysis (DCCA) </w:t>
      </w:r>
      <w:r w:rsidRPr="00756D2A">
        <w:rPr>
          <w:rFonts w:hint="cs"/>
        </w:rPr>
        <w:fldChar w:fldCharType="begin"/>
      </w:r>
      <w:r w:rsidRPr="00756D2A">
        <w:rPr>
          <w:rFonts w:hint="cs"/>
        </w:rPr>
        <w:instrText xml:space="preserve"> ADDIN PAPERPAL_ITEM CSL_CITATION {"citationItems":[{"itemType":"journalArticle","author":[{"given":"B","family":"Podobnik"},{"given":"H. E","family":"Stanley"}],"container-title":"Physical Review Letters","id":"12835679-1442-4423-9be2-0e1836ec441e","formattedCitation":"Podobnik, B., &amp; Stanley, H. E. (2008). Detrended cross-correlation analysis: A new method for analyzing two nonstationary time series. Physical Review Letters, 100(8), 084102. https://doi.org/10.1103/PhysRevLett.100.084102","type":"article-journal","issued":{"date-parts":[["2008"]]},"title":"Detrended cross-correlation analysis: A new method for analyzing two nonstationary time series","DOI":"10.1103/PhysRevLett.100.084102"}],"citationID":"12835679-1442-4423-9be2-0e1836ec441e","properties":{"formattedCitation":"(Podobnik &amp;#38; Stanley, 2008)","plainCitation":"(Podobnik &amp;#38; Stanley, 2008)","noteIndex":0}}</w:instrText>
      </w:r>
      <w:r w:rsidRPr="00756D2A">
        <w:rPr>
          <w:rFonts w:hint="cs"/>
        </w:rPr>
        <w:fldChar w:fldCharType="separate"/>
      </w:r>
      <w:r w:rsidRPr="00756D2A">
        <w:rPr>
          <w:rFonts w:hint="cs"/>
        </w:rPr>
        <w:t>(Podobnik and Stanley 2008)</w:t>
      </w:r>
      <w:r w:rsidRPr="00756D2A">
        <w:rPr>
          <w:rFonts w:hint="cs"/>
        </w:rPr>
        <w:fldChar w:fldCharType="end"/>
      </w:r>
      <w:r w:rsidRPr="00756D2A">
        <w:rPr>
          <w:rFonts w:hint="cs"/>
        </w:rPr>
        <w:t xml:space="preserve"> and its multifractal generalization (MF-DCCA) </w:t>
      </w:r>
      <w:r w:rsidRPr="00756D2A">
        <w:rPr>
          <w:rFonts w:hint="cs"/>
        </w:rPr>
        <w:fldChar w:fldCharType="begin"/>
      </w:r>
      <w:r w:rsidRPr="00756D2A">
        <w:rPr>
          <w:rFonts w:hint="cs"/>
        </w:rPr>
        <w:instrText xml:space="preserve"> ADDIN PAPERPAL_ITEM CSL_CITATION {"citationItems":[{"itemType":"journalArticle","author":[{"given":"","family":"Zhou"}],"container-title":"Physical Review E","id":"38619899-939a-4c04-87f2-0f5e4bff042f","formattedCitation":"Zhou, W.-X. (2008). Multifractal detrended cross-correlation analysis for two nonstationary signals. Physical Review E, 77(6), 066211. https://doi.org/10.1103/PhysRevE.77.066211","type":"article-journal","issued":{"date-parts":[["2008"]]},"title":"Multifractal detrended cross-correlation analysis for two nonstationary signals","DOI":"10.1103/PhysRevE.77.066211"}],"citationID":"38619899-939a-4c04-87f2-0f5e4bff042f","properties":{"formattedCitation":"(Zhou, 2008)","plainCitation":"(Zhou, 2008)","noteIndex":0}}</w:instrText>
      </w:r>
      <w:r w:rsidRPr="00756D2A">
        <w:rPr>
          <w:rFonts w:hint="cs"/>
        </w:rPr>
        <w:fldChar w:fldCharType="separate"/>
      </w:r>
      <w:r w:rsidRPr="00756D2A">
        <w:rPr>
          <w:rFonts w:hint="cs"/>
        </w:rPr>
        <w:t>(Zhou 2008)</w:t>
      </w:r>
      <w:r w:rsidRPr="00756D2A">
        <w:rPr>
          <w:rFonts w:hint="cs"/>
        </w:rPr>
        <w:fldChar w:fldCharType="end"/>
      </w:r>
      <w:r w:rsidRPr="00756D2A">
        <w:rPr>
          <w:rFonts w:hint="cs"/>
        </w:rPr>
        <w:t xml:space="preserve">. Building on Detrended Fluctuation Analysis (Peng et al. 1994) and its multifractal generalization (Kantelhardt et al. 2002)</w:t>
      </w:r>
      <w:r w:rsidRPr="00756D2A">
        <w:rPr>
          <w:rFonts w:hint="cs"/>
        </w:rPr>
        <w:fldChar w:fldCharType="begin"/>
      </w:r>
      <w:r w:rsidRPr="00756D2A">
        <w:rPr>
          <w:rFonts w:hint="cs"/>
        </w:rPr>
        <w:instrText xml:space="preserve"> ADDIN PAPERPAL_ITEM CSL_CITATION {"citationItems":[{"itemType":"journalArticle","author":[{"given":"J.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series","DOI":"10.1016/S0378-4371(02)01383-3"}],"citationID":"334df2a1-fa7a-4b00-b307-8fa345b46a21","properties":{"formattedCitation":"(Kantelhardt et al., 2002)","plainCitation":"(Kantelhardt et al., 2002)","noteIndex":0}}</w:instrText>
      </w:r>
      <w:r w:rsidRPr="00756D2A">
        <w:rPr>
          <w:rFonts w:hint="cs"/>
        </w:rPr>
        <w:fldChar w:fldCharType="separate"/>
      </w:r>
      <w:r w:rsidRPr="00756D2A">
        <w:rPr>
          <w:rFonts w:hint="cs"/>
        </w:rPr>
        <w:t xml:space="preserve"/>
      </w:r>
      <w:r w:rsidRPr="00756D2A">
        <w:rPr>
          <w:rFonts w:hint="cs"/>
        </w:rPr>
        <w:fldChar w:fldCharType="end"/>
      </w:r>
      <w:r w:rsidRPr="00756D2A">
        <w:rPr>
          <w:rFonts w:hint="cs"/>
        </w:rPr>
        <w:t xml:space="preserve">, DCCA evaluates cross-correlations across non-overlapping temporal segments after filtering out local polynomial trends. </w:t>
      </w:r>
      <w:proofErr w:type="spellStart"/>
      <w:r w:rsidRPr="00756D2A">
        <w:rPr>
          <w:rFonts w:hint="cs"/>
        </w:rPr>
        <w:t>Zebende</w:t>
      </w:r>
      <w:proofErr w:type="spellEnd"/>
      <w:r w:rsidRPr="00756D2A">
        <w:rPr>
          <w:rFonts w:hint="cs"/>
        </w:rPr>
        <w:t xml:space="preserve"> (2011) normalized the DCCA covariance to establish a bounded correlation metric, while Podobnik et al. (2011) proposed statistical tests for power-law cross-correlations. Subsequent advances have integrated moving-average formalisms </w:t>
      </w:r>
      <w:r w:rsidRPr="00756D2A">
        <w:rPr>
          <w:rFonts w:hint="cs"/>
        </w:rPr>
        <w:fldChar w:fldCharType="begin"/>
      </w:r>
      <w:r w:rsidRPr="00756D2A">
        <w:rPr>
          <w:rFonts w:hint="cs"/>
        </w:rPr>
        <w:instrText xml:space="preserve"> ADDIN PAPERPAL_ITEM CSL_CITATION {"citationItems":[{"itemType":"journalArticle","author":[{"given":"","family":"Jiang"}],"container-title":"Physical Review E","id":"4e2fe1cb-bb6e-4d9a-8b66-04a5893de489","formattedCitation":"Jiang, Z.-Q., &amp; Zhou, W.-X. (2011). Multifractal detrending moving-average cross-correlation analysis. Physical Review E, 84(1), 016106. https://doi.org/10.1103/PhysRevE.84.016106","type":"article-journal","issued":{"date-parts":[["2011"]]},"title":"Multifractal detrending moving-average cross-correlation analysis","DOI":"10.1103/PhysRevE.84.016106"}],"citationID":"4e2fe1cb-bb6e-4d9a-8b66-04a5893de489","properties":{"formattedCitation":"(Jiang, 2011)","plainCitation":"(Jiang, 2011)","noteIndex":0}}</w:instrText>
      </w:r>
      <w:r w:rsidRPr="00756D2A">
        <w:rPr>
          <w:rFonts w:hint="cs"/>
        </w:rPr>
        <w:fldChar w:fldCharType="separate"/>
      </w:r>
      <w:r w:rsidRPr="00756D2A">
        <w:rPr>
          <w:rFonts w:hint="cs"/>
        </w:rPr>
        <w:t xml:space="preserve">(Jiang and Zhou 2011</w:t>
      </w:r>
      <w:r w:rsidR="004B306D" w:rsidRPr="004B306D">
        <w:t xml:space="preserve"/>
      </w:r>
      <w:r w:rsidRPr="00756D2A">
        <w:rPr>
          <w:rFonts w:hint="cs"/>
        </w:rPr>
        <w:t>)</w:t>
      </w:r>
      <w:r w:rsidRPr="00756D2A">
        <w:rPr>
          <w:rFonts w:hint="cs"/>
        </w:rPr>
        <w:fldChar w:fldCharType="end"/>
      </w:r>
      <w:r w:rsidRPr="00756D2A">
        <w:rPr>
          <w:rFonts w:hint="cs"/>
        </w:rPr>
        <w:t xml:space="preserve"> and transfer entropy </w:t>
      </w:r>
      <w:r w:rsidRPr="00756D2A">
        <w:rPr>
          <w:rFonts w:hint="cs"/>
        </w:rPr>
        <w:fldChar w:fldCharType="begin"/>
      </w:r>
      <w:r w:rsidRPr="00756D2A">
        <w:rPr>
          <w:rFonts w:hint="cs"/>
        </w:rPr>
        <w:instrText xml:space="preserve"> ADDIN PAPERPAL_ITEM CSL_CITATION {"citationItems":[{"itemType":"journalArticle","author":[{"given":"W","family":"Zhou"},{"given":"J","family":"Huang"},{"given":"M","family":"Wang"}],"container-title":"Fractal and Fractional","id":"f62aecf5-f356-4a09-9a1a-31de89a82beb","formattedCitation":"Zhou, W., Huang, J., &amp; Wang, M. (2025). Multifractal characteristics and information flow analysis of stock markets based on multifractal detrended cross-correlation analysis and transfer entropy. Fractal and Fractional, 9(1), 14. https://doi.org/10.3390/fractalfract9010014","type":"article-journal","issued":{"date-parts":[["2025"]]},"title":"Multifractal characteristics and information flow analysis of stock markets based on multifractal detrended cross-correlation analysis and transfer entropy","DOI":"10.3390/fractalfract9010014"}],"citationID":"f62aecf5-f356-4a09-9a1a-31de89a82beb","properties":{"formattedCitation":"(Zhou et al., 2025)","plainCitation":"(Zhou et al., 2025)","noteIndex":0}}</w:instrText>
      </w:r>
      <w:r w:rsidRPr="00756D2A">
        <w:rPr>
          <w:rFonts w:hint="cs"/>
        </w:rPr>
        <w:fldChar w:fldCharType="separate"/>
      </w:r>
      <w:r w:rsidRPr="00756D2A">
        <w:rPr>
          <w:rFonts w:hint="cs"/>
        </w:rPr>
        <w:t>(Zhou et al. 2025)</w:t>
      </w:r>
      <w:r w:rsidRPr="00756D2A">
        <w:rPr>
          <w:rFonts w:hint="cs"/>
        </w:rPr>
        <w:fldChar w:fldCharType="end"/>
      </w:r>
      <w:r w:rsidRPr="00756D2A">
        <w:rPr>
          <w:rFonts w:hint="cs"/>
        </w:rPr>
        <w:t xml:space="preserve">. Applied studies show that multiscale cross-correlations vary systematically across holding periods in developed equity markets, commodity baskets and cross-border assets </w:t>
      </w:r>
      <w:r w:rsidRPr="00756D2A">
        <w:rPr>
          <w:rFonts w:hint="cs"/>
        </w:rPr>
        <w:fldChar w:fldCharType="begin"/>
      </w:r>
      <w:r w:rsidRPr="00756D2A">
        <w:rPr>
          <w:rFonts w:hint="cs"/>
        </w:rPr>
        <w:instrText xml:space="preserve"> ADDIN PAPERPAL_ITEM CSL_CITATION {"citationItems":[{"itemType":"journalArticle","author":[{"given":"Y","family":"Chen"},{"given":"J","family":"Zhang"},{"given":"L","family":"Lu"},{"given":"Z","family":"Xie"}],"container-title":"Heliyon","id":"ee6f802d-2fb0-45c0-895a-afc10510b2d5","formattedCitation":"Chen, Y., Zhang, J., Lu, L., &amp; Xie, Z. (2024). Cross-correlation and multifractality analysis of the Chinese and American stock markets based on the MF-DCCA model. Heliyon, 10(15), e36537. https://doi.org/10.1016/j.heliyon.2024.e36537","type":"article-journal","issued":{"date-parts":[["2024"]]},"title":"Cross-correlation and multifractality analysis of the Chinese and American stock markets based on the MF-DCCA model","DOI":"10.1016/j.heliyon.2024.e36537"},{"itemType":"journalArticle","author":[{"given":"Alomari","family":"A. R."},{"given":"D","family":"McMillan"}],"container-title":"Research in International Business and Finance","id":"edffea05-ff07-499a-b9bc-85b61a86bb49","formattedCitation":"Al Rababa\u2019a, A. R., Alomari, M., &amp; McMillan, D. (2021). Multiscale stock-bond correlation: Implications for risk management. Research in International Business and Finance, 58, 101435. https://doi.org/10.1016/j.ribaf.2021.101435","type":"article-journal","issued":{"date-parts":[["2021"]]},"title":"Multiscale stock-bond correlation: Implications for risk management","DOI":"10.1016/j.ribaf.2021.101435"},{"itemType":"journalArticle","author":[{"given":"F","family":"Aslam"},{"given":"P","family":"Ferreira"},{"given":"H","family":"Ali"},{"given":"M","family":"Oliveira"}],"container-title":"Economies","id":"afc1db5b-5adb-4a5f-b977-ed9899401424","formattedCitation":"Aslam, F., Ferreira, P., Ali, H., Arifa, &amp; Oliveira, M. (2023). Islamic vs. Conventional Equity Markets: A Multifractal Cross-Correlation Analysis with Economic Policy Uncertainty. Economies, 11(1), 16. https://doi.org/10.3390/economies11010016","type":"article-journal","issued":{"date-parts":[["2023"]]},"title":"Islamic vs. Conventional Equity Markets: A Multifractal Cross-Correlation Analysis with Economic Policy Uncertainty","DOI":"10.3390/economies11010016"}],"citationID":"ee6f802d-2fb0-45c0-895a-afc10510b2d5;edffea05-ff07-499a-b9bc-85b61a86bb49;afc1db5b-5adb-4a5f-b977-ed9899401424","properties":{"formattedCitation":"(A. R. &amp;#38; McMillan, 2021; Aslam et al., 2023; Chen et al., 2024)","plainCitation":"(A. R. &amp;#38; McMillan, 2021; Aslam et al., 2023; Chen et al., 2024)","noteIndex":0}}</w:instrText>
      </w:r>
      <w:r w:rsidRPr="00756D2A">
        <w:rPr>
          <w:rFonts w:hint="cs"/>
        </w:rPr>
        <w:fldChar w:fldCharType="separate"/>
      </w:r>
      <w:r w:rsidR="00E634FC">
        <w:rPr>
          <w:lang w:val="vi-VN"/>
        </w:rPr>
        <w:t xml:space="preserve">(Al Rababa’a</w:t>
      </w:r>
      <w:r w:rsidR="00E634FC" w:rsidRPr="00E634FC">
        <w:t xml:space="preserve"/>
      </w:r>
      <w:r w:rsidR="00E634FC" w:rsidRPr="00E634FC">
        <w:rPr>
          <w:lang w:val="vi-VN"/>
        </w:rPr>
        <w:t xml:space="preserve"> et al. 2021; Aslam et al. 2023; Chen et al. 2024</w:t>
      </w:r>
      <w:r w:rsidR="00E634FC">
        <w:rPr>
          <w:lang w:val="vi-VN"/>
        </w:rPr>
        <w:t xml:space="preserve"/>
      </w:r>
      <w:r w:rsidR="00E634FC" w:rsidRPr="00E634FC">
        <w:rPr>
          <w:lang w:val="vi-VN"/>
        </w:rPr>
        <w:t xml:space="preserve"/>
      </w:r>
      <w:r w:rsidRPr="00756D2A">
        <w:rPr>
          <w:rFonts w:hint="cs"/>
        </w:rPr>
        <w:t>)</w:t>
      </w:r>
      <w:r w:rsidRPr="00756D2A">
        <w:rPr>
          <w:rFonts w:hint="cs"/>
        </w:rPr>
        <w:fldChar w:fldCharType="end"/>
      </w:r>
      <w:r w:rsidRPr="00756D2A">
        <w:rPr>
          <w:rFonts w:hint="cs"/>
        </w:rPr>
        <w:t xml:space="preserve">. However, this literature mostly analyzes asset pairs with no common constituents (such as stock-bond pairs or cross-country equity benchmarks). </w:t>
      </w:r>
      <w:r w:rsidR="008328EC">
        <w:t xml:space="preserve">Multiscale cross-correlations within nested index architectures, where mechanical overlap and economic transmission coexist, have received little attention.</w:t>
      </w:r>
      <w:r w:rsidR="008328EC">
        <w:t xml:space="preserve"/>
      </w:r>
      <w:r w:rsidR="00A20458">
        <w:t xml:space="preserve"/>
      </w:r>
      <w:r w:rsidR="008328EC">
        <w:t xml:space="preserve"/>
      </w:r>
      <w:r w:rsidR="008328EC">
        <w:t xml:space="preserve"/>
      </w:r>
      <w:r w:rsidR="00A20458">
        <w:t xml:space="preserve"/>
      </w:r>
      <w:r w:rsidR="00A20458">
        <w:t xml:space="preserve"/>
      </w:r>
      <w:r w:rsidR="00A20458">
        <w:t xml:space="preserve"/>
      </w:r>
      <w:r w:rsidR="00A20458">
        <w:t xml:space="preserve"/>
      </w:r>
      <w:r w:rsidR="00275213">
        <w:t xml:space="preserve"/>
      </w:r>
    </w:p>
    <w:p w14:paraId="005026F5" w14:textId="77777777" w:rsidR="000019C6" w:rsidRPr="00756D2A" w:rsidRDefault="000019C6" w:rsidP="00756D2A">
      <w:pPr>
        <w:jc w:val="both"/>
      </w:pPr>
    </w:p>
    <w:p w14:paraId="1DF335EF" w14:textId="34F931B3" w:rsidR="000019C6" w:rsidRPr="00756D2A" w:rsidRDefault="000019C6" w:rsidP="00756D2A">
      <w:pPr>
        <w:jc w:val="both"/>
      </w:pPr>
      <w:r>
        <w:rPr>
          <w:rFonts w:hint="cs"/>
        </w:rPr>
        <w:t xml:space="preserve">The overlap problem arises from index design. When index providers build size-based benchmarks with top-down capitalization cut-offs, large-cap stocks dominate the broad-market index. Michis (2022) applied wavelet partial correlations to remove redundant factor exposures in non-overlapping asset clusters, and Rodriguez and Alvarez-Ramirez (2021) documented time- and scale-varying volume–return cross-correlations in US equity markets, but neither study addresses overlapping constituents. A risk model that does not purge shared capitalization mistakes index construction for economic diversification.</w:t>
      </w:r>
    </w:p>
    <w:p w14:paraId="1668DCC2" w14:textId="77777777" w:rsidR="000019C6" w:rsidRPr="00756D2A" w:rsidRDefault="000019C6" w:rsidP="00756D2A">
      <w:pPr>
        <w:jc w:val="both"/>
      </w:pPr>
    </w:p>
    <w:p w14:paraId="4FE9B28D" w14:textId="4FD99CDF" w:rsidR="000019C6" w:rsidRPr="00756D2A" w:rsidRDefault="000019C6" w:rsidP="00756D2A">
      <w:pPr>
        <w:jc w:val="both"/>
      </w:pPr>
      <w:r w:rsidRPr="00756D2A">
        <w:rPr>
          <w:rFonts w:hint="cs"/>
        </w:rPr>
        <w:t xml:space="preserve">Market regime shifts and microstructure frictions complicate this dependence. Cross-asset correlations are asymmetric and increase during market downturns, when diversification matters most</w:t>
      </w:r>
      <w:r w:rsidRPr="00756D2A">
        <w:rPr>
          <w:rFonts w:hint="cs"/>
        </w:rPr>
        <w:lastRenderedPageBreak/>
        <w:t xml:space="preserve"> </w:t>
      </w:r>
      <w:r w:rsidRPr="00756D2A">
        <w:rPr>
          <w:rFonts w:hint="cs"/>
        </w:rPr>
        <w:fldChar w:fldCharType="begin"/>
      </w:r>
      <w:r w:rsidRPr="00756D2A">
        <w:rPr>
          <w:rFonts w:hint="cs"/>
        </w:rPr>
        <w:instrText xml:space="preserve"> ADDIN PAPERPAL_ITEM CSL_CITATION {"citationItems":[{"itemType":"journalArticle","author":[{"given":"F","family":"Longin"},{"given":"B","family":"Solnik"}],"container-title":"The Journal of Finance","id":"da1ab943-9d66-476d-a2c3-9850d5e6c189","formattedCitation":"Longin, F., &amp; Solnik, B. (2001). Extreme correlation of international equity markets. The Journal of Finance, 56(2), 649\u2013676. https://doi.org/10.1111/0022-1082.00340","type":"article-journal","issued":{"date-parts":[["2001"]]},"title":"Extreme correlation of international equity markets","DOI":"10.1111/0022-1082.00340"},{"itemType":"journalArticle","author":[{"given":"A","family":"Ang"},{"given":"J","family":"Chen"}],"container-title":"Journal of Financial Economics","id":"c3c2c72d-647e-447f-ae9a-fb0f024e2300","formattedCitation":"Ang, A., &amp; Chen, J. (2002). Asymmetric correlations of equity portfolios. Journal of Financial Economics, 63(3), 443\u2013494. https://doi.org/10.1016/S0304-405X(02)00068-5","type":"article-journal","issued":{"date-parts":[["2002"]]},"title":"Asymmetric correlations of equity portfolios","DOI":"10.1016/S0304-405X(02)00068-5"}],"citationID":"da1ab943-9d66-476d-a2c3-9850d5e6c189;c3c2c72d-647e-447f-ae9a-fb0f024e2300","properties":{"formattedCitation":"(Ang &amp;#38; Chen, 2002; Longin &amp;#38; Solnik, 2001)","plainCitation":"(Ang &amp;#38; Chen, 2002; Longin &amp;#38; Solnik, 2001)","noteIndex":0}}</w:instrText>
      </w:r>
      <w:r w:rsidRPr="00756D2A">
        <w:rPr>
          <w:rFonts w:hint="cs"/>
        </w:rPr>
        <w:fldChar w:fldCharType="separate"/>
      </w:r>
      <w:r w:rsidRPr="00756D2A">
        <w:rPr>
          <w:rFonts w:hint="cs"/>
        </w:rPr>
        <w:t>(Ang and Chen 2002; Longin and Solnik 2001)</w:t>
      </w:r>
      <w:r w:rsidRPr="00756D2A">
        <w:rPr>
          <w:rFonts w:hint="cs"/>
        </w:rPr>
        <w:fldChar w:fldCharType="end"/>
      </w:r>
      <w:r w:rsidRPr="00756D2A">
        <w:rPr>
          <w:rFonts w:hint="cs"/>
        </w:rPr>
        <w:t xml:space="preserve">. However, Forbes and </w:t>
      </w:r>
      <w:proofErr w:type="spellStart"/>
      <w:r w:rsidRPr="00756D2A">
        <w:rPr>
          <w:rFonts w:hint="cs"/>
        </w:rPr>
        <w:t>Rigobon</w:t>
      </w:r>
      <w:proofErr w:type="spellEnd"/>
      <w:r w:rsidRPr="00756D2A">
        <w:rPr>
          <w:rFonts w:hint="cs"/>
        </w:rPr>
        <w:t xml:space="preserve"> (2002) showed that unadjusted sample correlations rise with market volatility, so that an observed correlation surge may reflect volatility expansion rather than a structural change in cross-market linkages. At intraday intervals, this dynamic intersects with the Epps (1979) effect, where non-synchronous transactions and quote delays depress short-horizon correlations. In parallel, gradual information diffusion (Hong and Stein 1999) implies that news is incorporated into prices with a delay, so co-movement between securities that are repriced at different speeds can rise with the horizon.</w:t>
      </w:r>
      <w:r w:rsidRPr="00756D2A">
        <w:rPr>
          <w:rFonts w:hint="cs"/>
        </w:rPr>
        <w:fldChar w:fldCharType="begin"/>
      </w:r>
      <w:r w:rsidRPr="00756D2A">
        <w:rPr>
          <w:rFonts w:hint="cs"/>
        </w:rPr>
        <w:instrText xml:space="preserve"> ADDIN PAPERPAL_ITEM CSL_CITATION {"citationItems":[{"itemType":"journalArticle","author":[{"given":"H","family":"Hong"},{"given":"J. C","family":"Stein"}],"container-title":"The Journal of Finance","id":"6358a2f0-a442-485e-8a19-e96de70d606a","formattedCitation":"Hong, H., &amp; Stein, J. C. (1999). A unified theory of underreaction, momentum trading, and overreaction in asset markets. The Journal of Finance, 54(6), 2143\u20132184. https://doi.org/10.1111/0022-1082.00184","type":"article-journal","issued":{"date-parts":[["1999"]]},"title":"A unified theory of underreaction, momentum trading, and overreaction in asset markets","DOI":"10.1111/0022-1082.00184"}],"citationID":"6358a2f0-a442-485e-8a19-e96de70d606a","properties":{"formattedCitation":"(Hong &amp;#38; Stein, 1999)","plainCitation":"(Hong &amp;#38; Stein, 1999)","noteIndex":0}}</w:instrText>
      </w:r>
      <w:r w:rsidRPr="00756D2A">
        <w:rPr>
          <w:rFonts w:hint="cs"/>
        </w:rPr>
        <w:fldChar w:fldCharType="separate"/>
      </w:r>
      <w:r w:rsidRPr="00756D2A">
        <w:rPr>
          <w:rFonts w:hint="cs"/>
        </w:rPr>
        <w:t xml:space="preserve"/>
      </w:r>
      <w:r w:rsidRPr="00756D2A">
        <w:rPr>
          <w:rFonts w:hint="cs"/>
        </w:rPr>
        <w:fldChar w:fldCharType="end"/>
      </w:r>
      <w:r w:rsidRPr="00756D2A">
        <w:rPr>
          <w:rFonts w:hint="cs"/>
        </w:rPr>
        <w:t xml:space="preserve"/>
      </w:r>
      <w:r w:rsidR="00014E7A">
        <w:rPr>
          <w:lang w:val="vi-VN"/>
        </w:rPr>
        <w:t xml:space="preserve"/>
      </w:r>
      <w:r w:rsidRPr="00756D2A">
        <w:rPr>
          <w:rFonts w:hint="cs"/>
        </w:rPr>
        <w:t xml:space="preserve"> Recent evidence from Vietnam points to delayed price adjustment under retail-heavy participation (Tran and Tran 2025) and to nonlinear dependence on regional markets (Le et al. 2025).</w:t>
      </w:r>
      <w:r w:rsidRPr="00756D2A">
        <w:rPr>
          <w:rFonts w:hint="cs"/>
        </w:rPr>
        <w:fldChar w:fldCharType="begin"/>
      </w:r>
      <w:r w:rsidRPr="00756D2A">
        <w:rPr>
          <w:rFonts w:hint="cs"/>
        </w:rPr>
        <w:instrText xml:space="preserve"> ADDIN PAPERPAL_ITEM CSL_CITATION {"citationItems":[{"itemType":"journalArticle","author":[{"given":"","family":"Tran"}],"container-title":"VNU Journal of Economics and Business","id":"39dd6f09-9324-4a1b-b635-cfb34c3f44a3","formattedCitation":"Tran Manh Ha, &amp; Tran Ngoc Mai (2025). High-frequency dynamics of the Vietnam stock market. VNU Journal of Economics and Business, 5(2), 51\u201359. https://doi.org/10.57110/vnu-jeb.v5i2.395","type":"article-journal","issued":{"date-parts":[["2025"]]},"title":"High-frequency dynamics of the Vietnam stock market","DOI":"10.57110/vnu-jeb.v5i2.395"},{"itemType":"journalArticle","author":[{"given":"Dang Thi Phuong Thao","family":"Le Thi Thuy Van"}],"container-title":"International Journal of Innovative Research and Scientific Studies","id":"989ff247-6493-42ed-8dda-1664f3704d5d","formattedCitation":"Le Thi Thuy Van, Dang Thi Phuong Thao, &amp; Phan Thi Hang Nga (2025). The nonlinear dependence of the Vietnam stock market on the Asian stock market: Evidence from a quantile-on-quantile regression. International Journal of Innovative Research and Scientific Studies, 8(4), 7901\u20137914. https://doi.org/10.53894/ijirss.v8i4.7901","type":"article-journal","issued":{"date-parts":[["2025"]]},"title":"The nonlinear dependence of the Vietnam stock market on the Asian stock market: Evidence from a quantile-on-quantile regression","DOI":"10.53894/ijirss.v8i4.7901"}],"citationID":"39dd6f09-9324-4a1b-b635-cfb34c3f44a3;989ff247-6493-42ed-8dda-1664f3704d5d","properties":{"formattedCitation":"(Le Thi Thuy Van, 2025; Tran, 2025)","plainCitation":"(Le Thi Thuy Van, 2025; Tran, 2025)","noteIndex":0}}</w:instrText>
      </w:r>
      <w:r w:rsidRPr="00756D2A">
        <w:rPr>
          <w:rFonts w:hint="cs"/>
        </w:rPr>
        <w:fldChar w:fldCharType="separate"/>
      </w:r>
      <w:r w:rsidRPr="00756D2A">
        <w:rPr>
          <w:rFonts w:hint="cs"/>
        </w:rPr>
        <w:t xml:space="preserve"/>
      </w:r>
      <w:r w:rsidR="00934240" w:rsidRPr="00934240">
        <w:t xml:space="preserve"/>
      </w:r>
      <w:r w:rsidRPr="00756D2A">
        <w:rPr>
          <w:rFonts w:hint="cs"/>
        </w:rPr>
        <w:t xml:space="preserve"/>
      </w:r>
      <w:r w:rsidRPr="00756D2A">
        <w:rPr>
          <w:rFonts w:hint="cs"/>
        </w:rPr>
        <w:fldChar w:fldCharType="end"/>
      </w:r>
      <w:r w:rsidRPr="00756D2A">
        <w:rPr>
          <w:rFonts w:hint="cs"/>
        </w:rPr>
        <w:t xml:space="preserve"/>
      </w:r>
    </w:p>
    <w:p w14:paraId="5373AE47" w14:textId="77777777" w:rsidR="000019C6" w:rsidRPr="00756D2A" w:rsidRDefault="000019C6" w:rsidP="00756D2A">
      <w:pPr>
        <w:jc w:val="both"/>
      </w:pPr>
    </w:p>
    <w:p w14:paraId="17F1B894" w14:textId="491DB1A0" w:rsidR="000019C6" w:rsidRPr="00756D2A" w:rsidRDefault="000019C6" w:rsidP="00756D2A">
      <w:pPr>
        <w:jc w:val="both"/>
      </w:pPr>
      <w:r>
        <w:rPr>
          <w:rFonts w:hint="cs"/>
        </w:rPr>
        <w:t xml:space="preserve">Regional studies show that financial integration across ASEAN equity markets is time-varying and shaped by trade linkages, market volatility and external shocks (Karim and Ning 2013; Lean and Teng 2013). Because the HOSE prohibits cash short selling, unlike markets with regulated short selling, we treat the role of trading restrictions in multiscale price synchronization as a hypothesis for comparative work rather than as a tested result.</w:t>
      </w:r>
    </w:p>
    <w:p w14:paraId="2F42D6FD" w14:textId="77777777" w:rsidR="000019C6" w:rsidRPr="00756D2A" w:rsidRDefault="000019C6" w:rsidP="00756D2A">
      <w:pPr>
        <w:jc w:val="both"/>
      </w:pPr>
    </w:p>
    <w:p w14:paraId="323E7DDB" w14:textId="0334DAA4" w:rsidR="000019C6" w:rsidRPr="00756D2A" w:rsidRDefault="000019C6" w:rsidP="00756D2A">
      <w:pPr>
        <w:jc w:val="both"/>
      </w:pPr>
      <w:r>
        <w:rPr>
          <w:rFonts w:hint="cs"/>
        </w:rPr>
        <w:t xml:space="preserve">This study examines VN30, VN100 and VNINDEX from January 2014 to December 2025 at four trading frequencies: 30-minute (M30), 1-hour (H1), 4-hour (H4) and daily (1D). To separate economic linkage from constituent overlap, we construct a capitalization-weighted proxy (P</w:t>
      </w:r>
      <w:r>
        <w:rPr>
          <w:rFonts w:hint="cs"/>
          <w:vertAlign w:val="subscript"/>
        </w:rPr>
        <w:t xml:space="preserve">cap</w:t>
      </w:r>
      <w:r>
        <w:rPr>
          <w:rFonts w:hint="cs"/>
        </w:rPr>
        <w:t xml:space="preserve">) that extracts the mid-cap component of VN100 using free-float market weights, and we benchmark it against three alternative statistical decompositions. In addition, we examine regime-dependent correlation shifts using the conditioning framework of Forbes and Rigobon (2002) and quantify the resulting misstatement in Markowitz portfolio variance.</w:t>
      </w:r>
    </w:p>
    <w:p w14:paraId="226EFB26" w14:textId="77777777" w:rsidR="000019C6" w:rsidRPr="00756D2A" w:rsidRDefault="000019C6" w:rsidP="00756D2A">
      <w:pPr>
        <w:jc w:val="both"/>
      </w:pPr>
    </w:p>
    <w:p w14:paraId="16A5AA50" w14:textId="421AA73B" w:rsidR="000019C6" w:rsidRPr="00756D2A" w:rsidRDefault="000019C6" w:rsidP="00756D2A">
      <w:pPr>
        <w:jc w:val="both"/>
      </w:pPr>
      <w:r>
        <w:rPr>
          <w:rFonts w:hint="cs"/>
        </w:rPr>
        <w:t xml:space="preserve">We make three contributions to the empirical finance and risk management literature.</w:t>
      </w:r>
    </w:p>
    <w:p w14:paraId="6C8379CE" w14:textId="77777777" w:rsidR="000019C6" w:rsidRPr="00756D2A" w:rsidRDefault="000019C6" w:rsidP="00756D2A">
      <w:pPr>
        <w:jc w:val="both"/>
      </w:pPr>
    </w:p>
    <w:p w14:paraId="0AE4BD43" w14:textId="23647EB0" w:rsidR="000019C6" w:rsidRPr="00756D2A" w:rsidRDefault="000E2C24" w:rsidP="00756D2A">
      <w:pPr>
        <w:jc w:val="both"/>
      </w:pPr>
      <w:r>
        <w:t xml:space="preserve">First, we quantify the overlap distortion in nested benchmark systems. Headline large-cap and broad-market indices show near-perfect cross-correlations (0.975–0.980) at all frequencies, and extracting shared capitalization through a market-weighted mid-cap proxy lowers the correlation with large caps by 0.086–0.096, a gap whose bootstrap confidence intervals exclude zero at every frequency. Correlations involving the broad market rise with the horizon at the 30-minute and 1-hour frequencies, whereas the purged mid-cap correlation is statistically flat across horizons.</w:t>
      </w:r>
    </w:p>
    <w:p w14:paraId="043D7CB3" w14:textId="77777777" w:rsidR="000019C6" w:rsidRPr="00756D2A" w:rsidRDefault="000019C6" w:rsidP="00756D2A">
      <w:pPr>
        <w:jc w:val="both"/>
      </w:pPr>
    </w:p>
    <w:p w14:paraId="45E58BD6" w14:textId="1B27E8A2" w:rsidR="000019C6" w:rsidRPr="00756D2A" w:rsidRDefault="000019C6" w:rsidP="00756D2A">
      <w:pPr>
        <w:jc w:val="both"/>
      </w:pPr>
      <w:r>
        <w:t xml:space="preserve">Second, we provide a volatility-conditioned evaluation of crisis dynamics. Raw cross-tier correlations tighten by up to 0.20 correlation points in high-volatility regimes, which is usually read as a correlation breakdown. Applying the Forbes and Rigobon (2002) adjustment under two regime definitions with block-bootstrap inference, we find no evidence that the adjusted crisis correlation exceeds its calm-period level. The loss of mid-cap diversification during Vietnamese market stress is therefore consistent with interdependence amplified by volatility, although the test cannot exclude small structural increases.</w:t>
      </w:r>
    </w:p>
    <w:p w14:paraId="12325C0C" w14:textId="77777777" w:rsidR="000019C6" w:rsidRPr="00756D2A" w:rsidRDefault="000019C6" w:rsidP="00756D2A">
      <w:pPr>
        <w:jc w:val="both"/>
      </w:pPr>
    </w:p>
    <w:p w14:paraId="310200E4" w14:textId="192F9A4F" w:rsidR="000019C6" w:rsidRPr="00756D2A" w:rsidRDefault="000019C6" w:rsidP="00756D2A">
      <w:pPr>
        <w:jc w:val="both"/>
      </w:pPr>
      <w:r>
        <w:t xml:space="preserve">Third, we quantify the risk-management cost of static correlations. Cash portfolios formed from parent and child indices show in-sample variance misstatements of at most 2.4%, whereas for a mid-cap factor exposure a static correlation overstates portfolio variance by 2.2–9.4% in calm regimes and understates it by about 2% in turbulent regimes, when volatility itself has multiplied. Because short selling is prohibited, the non-investable mid-cap construct serves as a shadow benchmark for risk attribution, stress testing and index-product development.</w:t>
      </w:r>
    </w:p>
    <w:p w14:paraId="12325C0C" w14:textId="77777777" w:rsidR="000019C6" w:rsidRPr="00756D2A" w:rsidRDefault="000019C6" w:rsidP="00756D2A">
      <w:pPr>
        <w:jc w:val="both"/>
      </w:pPr>
    </w:p>
    <w:p w14:paraId="310200E4" w14:textId="192F9A4F" w:rsidR="000019C6" w:rsidRPr="00756D2A" w:rsidRDefault="000019C6" w:rsidP="00756D2A">
      <w:pPr>
        <w:jc w:val="both"/>
      </w:pPr>
      <w:r>
        <w:t xml:space="preserve">The remainder of the paper is organized as follows. Section 1.1 describes the current situation and institutional background of the HOSE. Section 2 presents the data and methods, Section 3 reports the results and robustness checks, and Section 4 discusses the findings, their implications and limitations, and concludes.</w:t>
      </w:r>
    </w:p>
    <w:p w14:paraId="6967F12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1.1 Current Situation and Institutional Background of the HOSE</w:t>
      </w:r>
    </w:p>
    <w:p w14:paraId="539C0FC2" w14:textId="17242402" w:rsidR="000019C6" w:rsidRPr="00756D2A" w:rsidRDefault="000019C6" w:rsidP="00756D2A">
      <w:pPr>
        <w:jc w:val="both"/>
      </w:pPr>
      <w:bookmarkStart w:id="50" w:name="Xabfc88e4aed38c1dfa7baec87c5b4c0e41a23e2"/>
      <w:bookmarkEnd w:id="47"/>
      <w:r w:rsidRPr="00756D2A">
        <w:rPr>
          <w:rFonts w:hint="cs"/>
        </w:rPr>
        <w:t xml:space="preserve">The institutional architecture of the HOSE, regulated by the State Securities Commission of Vietnam (SSC), imposes regulatory constraints that shape price discovery, return distributions</w:t>
      </w:r>
      <w:r w:rsidR="00252930">
        <w:rPr>
          <w:lang w:val="vi-VN"/>
        </w:rPr>
        <w:t xml:space="preserve"> </w:t>
      </w:r>
      <w:r w:rsidRPr="00756D2A">
        <w:rPr>
          <w:rFonts w:hint="cs"/>
        </w:rPr>
        <w:t>and cross-asset correlations.</w:t>
      </w:r>
    </w:p>
    <w:p w14:paraId="25155919" w14:textId="77777777" w:rsidR="000019C6" w:rsidRPr="00756D2A" w:rsidRDefault="000019C6" w:rsidP="00756D2A">
      <w:pPr>
        <w:jc w:val="both"/>
      </w:pPr>
    </w:p>
    <w:p w14:paraId="3F07E2D5" w14:textId="643C0D1E" w:rsidR="000019C6" w:rsidRPr="00756D2A" w:rsidRDefault="000019C6" w:rsidP="00756D2A">
      <w:pPr>
        <w:jc w:val="both"/>
      </w:pPr>
      <w:r w:rsidRPr="00756D2A">
        <w:rPr>
          <w:rFonts w:hint="cs"/>
        </w:rPr>
        <w:t xml:space="preserve">The primary microstructure constraint is the symmetric daily price fluctuation band of ±7% relative to the reference price of the previous session. During sharp market corrections, heavily sold stocks can reach the lower limit, where trading dries up. This price collar truncates return tails and can induce serial correlation and synchronized limit hits across index constituents.</w:t>
      </w:r>
    </w:p>
    <w:p w14:paraId="2C95DB8C" w14:textId="77777777" w:rsidR="000019C6" w:rsidRPr="00756D2A" w:rsidRDefault="000019C6" w:rsidP="00756D2A">
      <w:pPr>
        <w:jc w:val="both"/>
      </w:pPr>
    </w:p>
    <w:p w14:paraId="0C145F5B" w14:textId="18202C39" w:rsidR="000019C6" w:rsidRPr="00756D2A" w:rsidRDefault="00E17720" w:rsidP="00756D2A">
      <w:pPr>
        <w:jc w:val="both"/>
      </w:pPr>
      <w:r>
        <w:t>The</w:t>
      </w:r>
      <w:r w:rsidR="000019C6" w:rsidRPr="00756D2A">
        <w:rPr>
          <w:rFonts w:hint="cs"/>
        </w:rPr>
        <w:t xml:space="preserve"> second structural feature is the settlement cycle. Under the T+2 cycle in force for most of the sample, equities purchased on the HOSE could not be sold before the afternoon of the second business day.</w:t>
      </w:r>
      <w:r w:rsidR="00224920">
        <w:t xml:space="preserve"/>
      </w:r>
      <w:r w:rsidR="000019C6" w:rsidRPr="00756D2A">
        <w:rPr>
          <w:rFonts w:hint="cs"/>
        </w:rPr>
        <w:t xml:space="preserve"> This settlement delay restricts intraday statistical arbitrage, preventing high-frequency traders from eliminating </w:t>
      </w:r>
      <w:r w:rsidR="007578EC">
        <w:t>the</w:t>
      </w:r>
      <w:r w:rsidR="007578EC">
        <w:rPr>
          <w:lang w:val="vi-VN"/>
        </w:rPr>
        <w:t xml:space="preserve"> </w:t>
      </w:r>
      <w:r w:rsidR="000019C6" w:rsidRPr="00756D2A">
        <w:rPr>
          <w:rFonts w:hint="cs"/>
        </w:rPr>
        <w:t>pricing discrepancies between index constituents and synthetic baskets.</w:t>
      </w:r>
    </w:p>
    <w:p w14:paraId="049AE334" w14:textId="77777777" w:rsidR="000019C6" w:rsidRPr="00756D2A" w:rsidRDefault="000019C6" w:rsidP="00756D2A">
      <w:pPr>
        <w:jc w:val="both"/>
      </w:pPr>
    </w:p>
    <w:p w14:paraId="450AFDC2" w14:textId="6FDE0F1E" w:rsidR="000019C6" w:rsidRPr="00756D2A" w:rsidRDefault="000019C6" w:rsidP="00756D2A">
      <w:pPr>
        <w:jc w:val="both"/>
      </w:pPr>
      <w:r>
        <w:rPr>
          <w:rFonts w:hint="cs"/>
        </w:rPr>
        <w:t xml:space="preserve">In addition, each trading day opens and closes with a call auction: a 15-minute batch auction sets the opening price (ATO, 09:00–09:15) and another sets the closing price (ATC, 14:30–14:45), with continuous order matching in between. At the 30-minute frequency, the first bar of each day contains the opening auction and the last bar contains the closing auction, so these bars display higher volatility and less synchronous clearing than midday bars.</w:t>
      </w:r>
    </w:p>
    <w:p w14:paraId="51B5DA56" w14:textId="77777777" w:rsidR="000019C6" w:rsidRPr="00756D2A" w:rsidRDefault="000019C6" w:rsidP="00756D2A">
      <w:pPr>
        <w:jc w:val="both"/>
      </w:pPr>
    </w:p>
    <w:p w14:paraId="4885ED6F" w14:textId="13815C7F" w:rsidR="000019C6" w:rsidRPr="00756D2A" w:rsidRDefault="000019C6" w:rsidP="00756D2A">
      <w:pPr>
        <w:jc w:val="both"/>
      </w:pPr>
      <w:r>
        <w:rPr>
          <w:rFonts w:hint="cs"/>
        </w:rPr>
        <w:t xml:space="preserve">Finally, securities legislation, including Decree 155/2020/ND-CP and SSC Circular 120/2020/TT-BTC, prohibits cash short selling: investors may sell only securities already held in their accounts. Margin regulations require an initial margin of at least 50%, capping gross leverage at about 2.0×, and Circular 68/2024/TT-BTC, which removed the pre-funding requirement for foreign institutional investors, left the short-sale prohibition unchanged. Although VN30 index futures trade on the Hanoi Stock Exchange derivatives market, no futures contract is listed on a mid-cap index. The absence of cash short selling prevents arbitrageurs from trading the spread between large caps and mid-caps, which can prolong intraday non-synchronicity (the Epps effect) and delay price synchronization between VN30 and mid-cap stocks.</w:t>
      </w:r>
    </w:p>
    <w:p w14:paraId="34E8FE13"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2 Methods</w:t>
      </w:r>
    </w:p>
    <w:p w14:paraId="54F28D25"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2.1 Data and Sample Construction</w:t>
      </w:r>
    </w:p>
    <w:p w14:paraId="781DABC4" w14:textId="14CF433E" w:rsidR="000019C6" w:rsidRPr="00756D2A" w:rsidRDefault="00275213" w:rsidP="00756D2A">
      <w:pPr>
        <w:jc w:val="both"/>
      </w:pPr>
      <w:r>
        <w:t xml:space="preserve">The dataset comprises closing prices of three HOSE indices exported from TradingView (exchange: HOSE) for January 27, 2014, to December 12, 2025: the flagship VN30 index, comprising the 30 largest and most liquid stocks screened for free-float capitalization; the VN100 index, which combines the VN30 constituents with the next 70 largest liquid stocks (the constituents of the VNMIDCAP, or VN70, index); and the composite VNINDEX, which covers all common stocks listed on the HOSE and is weighted by full market capitalization. Because a VNMIDCAP price history is not available from our data source for the full sample and all frequencies, the mid-cap segment is recovered from VN100 and VN30 by the decomposition in Section 2.2.</w:t>
      </w:r>
    </w:p>
    <w:p w14:paraId="25536A8D" w14:textId="77777777" w:rsidR="000019C6" w:rsidRPr="00756D2A" w:rsidRDefault="000019C6" w:rsidP="00756D2A">
      <w:pPr>
        <w:jc w:val="both"/>
      </w:pPr>
    </w:p>
    <w:p w14:paraId="0C2B6FBA" w14:textId="2914DDAC" w:rsidR="000019C6" w:rsidRPr="00756D2A" w:rsidRDefault="00275213" w:rsidP="00756D2A">
      <w:pPr>
        <w:jc w:val="both"/>
      </w:pPr>
      <w:r>
        <w:t xml:space="preserve">The analysis covers four trading frequencies: 30-minute (M30), 1-hour (H1), 4-hour (H4) and daily (1D). We synchronize the index series by exact inner joins on timestamps and compute log returns as below; no index price is filled or interpolated:</w:t>
      </w:r>
    </w:p>
    <w:p w14:paraId="7969F780" w14:textId="2D3A38E2" w:rsidR="000019C6" w:rsidRPr="00D15890"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m:t>
              </m:r>
            </m:sub>
          </m:sSub>
          <m:r>
            <m:rPr>
              <m:sty m:val="p"/>
            </m:rPr>
            <w:rPr>
              <w:rFonts w:ascii="Cambria Math" w:hAnsi="Cambria Math" w:hint="cs"/>
            </w:rPr>
            <m:t>)-ln(</m:t>
          </m:r>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t-1</m:t>
              </m:r>
            </m:sub>
          </m:sSub>
          <m:r>
            <m:rPr>
              <m:sty m:val="p"/>
            </m:rPr>
            <w:rPr>
              <w:rFonts w:ascii="Cambria Math" w:hAnsi="Cambria Math" w:hint="cs"/>
            </w:rPr>
            <m:t>).</m:t>
          </m:r>
        </m:oMath>
      </m:oMathPara>
      <w:r>
        <w:t xml:space="preserve"> (2)</w:t>
      </w:r>
    </w:p>
    <w:p w14:paraId="7148EDE5" w14:textId="04C33ABD" w:rsidR="000019C6" w:rsidRPr="00756D2A" w:rsidRDefault="000019C6" w:rsidP="00756D2A">
      <w:pPr>
        <w:spacing w:line="300" w:lineRule="auto"/>
        <w:jc w:val="both"/>
      </w:pPr>
      <w:r>
        <w:t xml:space="preserve">We use two sample tiers.</w:t>
      </w:r>
    </w:p>
    <w:p w14:paraId="15DB68E6" w14:textId="463445B8" w:rsidR="000019C6" w:rsidRPr="00756D2A" w:rsidRDefault="000019C6" w:rsidP="00756D2A">
      <w:pPr>
        <w:jc w:val="both"/>
      </w:pPr>
      <w:r w:rsidRPr="00756D2A">
        <w:rPr>
          <w:rFonts w:hint="cs"/>
        </w:rPr>
        <w:t xml:space="preserve">The first tier is the Multi-Frequency Synchronized Overlap Window (January 3, 2017 to December 9, 2024), a common calendar window in which all four frequencies overlap (1D: N=1,983; M30: N=19,463; H1: N=9,879; H4: N=3,953). This sample forms</w:t>
      </w:r>
      <w:r w:rsidR="0088098F">
        <w:t xml:space="preserve"/>
      </w:r>
      <w:r w:rsidRPr="00756D2A">
        <w:rPr>
          <w:rFonts w:hint="cs"/>
        </w:rPr>
        <w:t xml:space="preserve"> the primary benchmark for cross-frequency comparisons.</w:t>
      </w:r>
    </w:p>
    <w:p w14:paraId="1D53F907" w14:textId="77777777" w:rsidR="000019C6" w:rsidRPr="00756D2A" w:rsidRDefault="000019C6" w:rsidP="00756D2A">
      <w:pPr>
        <w:jc w:val="both"/>
      </w:pPr>
    </w:p>
    <w:p w14:paraId="3985413C" w14:textId="28803CEC" w:rsidR="000019C6" w:rsidRPr="00756D2A" w:rsidRDefault="000019C6" w:rsidP="00756D2A">
      <w:pPr>
        <w:jc w:val="both"/>
      </w:pPr>
      <w:r>
        <w:rPr>
          <w:rFonts w:hint="cs"/>
        </w:rPr>
        <w:t xml:space="preserve">The second tier is the Extended Historical Depth Sample, used for scaling regressions, regime tests and Monte Carlo reliability thresholds (1D: February 2014–December 2025, N = 2,963; M30: January 2017–December 2025, N = 21,942; H1 and H4: January 2014–December 2024, N = 13,523 and 5,410). The 1-hour and 4-hour series available from the data vendor end on December 9, 2024, whereas the daily and 30-minute series extend to December 12, 2025.</w:t>
      </w:r>
    </w:p>
    <w:p w14:paraId="48245D68" w14:textId="03AE8B12" w:rsidR="000019C6" w:rsidRPr="00756D2A" w:rsidRDefault="000019C6" w:rsidP="00756D2A">
      <w:pPr>
        <w:jc w:val="both"/>
      </w:pPr>
      <w:r>
        <w:rPr>
          <w:rFonts w:hint="cs"/>
        </w:rPr>
        <w:t xml:space="preserve">To limit survivorship and look-ahead bias, the analysis relies on official index levels calculated in real time by the HOSE rather than on indices back-calculated from current constituent lists. The HOSE reviews index constituents semi-annually, updating memberships and free-float adjustments on the basis of capitalization, liquidity and foreign-ownership criteria. Because the price series are the exchange-computed index levels, historical constituent changes, corporate actions and rebalancing adjustments are embedded in the return paths.</w:t>
      </w:r>
    </w:p>
    <w:p w14:paraId="36204AFB" w14:textId="77777777" w:rsidR="000019C6" w:rsidRPr="00756D2A" w:rsidRDefault="000019C6" w:rsidP="00756D2A">
      <w:pPr>
        <w:jc w:val="both"/>
      </w:pPr>
    </w:p>
    <w:p w14:paraId="0FE93DC1" w14:textId="051D678F" w:rsidR="000019C6" w:rsidRPr="00756D2A" w:rsidRDefault="000019C6" w:rsidP="00756D2A">
      <w:pPr>
        <w:jc w:val="both"/>
      </w:pPr>
      <w:r>
        <w:rPr>
          <w:rFonts w:hint="cs"/>
        </w:rPr>
        <w:t xml:space="preserve">We evaluate regime dependence under two definitions based on the 20-day rolling standard deviation of VNINDEX returns (Fig. 1).</w:t>
      </w:r>
    </w:p>
    <w:p w14:paraId="01F2BBEE" w14:textId="77777777" w:rsidR="000019C6" w:rsidRPr="00756D2A" w:rsidRDefault="000019C6" w:rsidP="00756D2A">
      <w:pPr>
        <w:jc w:val="both"/>
      </w:pPr>
    </w:p>
    <w:p w14:paraId="58205062" w14:textId="58F11A66" w:rsidR="000019C6" w:rsidRPr="00756D2A" w:rsidRDefault="000019C6" w:rsidP="00756D2A">
      <w:pPr>
        <w:jc w:val="both"/>
      </w:pPr>
      <w:r>
        <w:rPr>
          <w:rFonts w:hint="cs"/>
        </w:rPr>
        <w:t xml:space="preserve">The first definition uses continuous chronological crisis episodes. To avoid arbitrary selection, an episode must satisfy three conditions: (i) a peak-to-trough VNINDEX drawdown of more than 25%; (ii) at least 45% of its trading days in the top quartile of the rolling-volatility distribution; and (iii) a documented macro-financial trigger. Three episodes qualify: the 2018 margin contraction (January–December 2018, including the run-up to the April peak; drawdown 26.2%, 47% of days in the top quartile), the 2020 COVID-19 shock (January–June 2020; 33.5%, 52%) and the 2022 corporate bond liquidity freeze (April–November 2022; 40.2%, 60%), totaling 539 crisis trading days. The calm benchmark comprises 2016–2017 and 2023–2024 (1,000 trading days). Transient spikes, such as the May 2014 South China Sea standoff (drawdown 14.8%) and the April 2025 tariff shock (18.1%), fail conditions (i) and (ii). The second definition sorts all days by rolling volatility, classifying days below the 25th percentile (10.6% annualized) as low-volatility and days above the 75th percentile (20.0%) as high-volatility.</w:t>
      </w:r>
    </w:p>
    <w:p w14:paraId="6AB89EE9" w14:textId="77777777" w:rsidR="000019C6" w:rsidRPr="00756D2A" w:rsidRDefault="000019C6" w:rsidP="00756D2A">
      <w:pPr>
        <w:jc w:val="both"/>
      </w:pPr>
    </w:p>
    <w:p w14:paraId="47B54349" w14:textId="77777777" w:rsidR="000019C6" w:rsidRPr="00756D2A" w:rsidRDefault="000019C6" w:rsidP="00756D2A">
      <w:pPr>
        <w:jc w:val="both"/>
      </w:pPr>
      <w:r>
        <w:rPr>
          <w:rFonts w:hint="cs"/>
        </w:rPr>
        <w:t xml:space="preserve">Figure 1 maps the rolling annualized volatility of the VNINDEX alongside the three crisis episodes and the two quartile thresholds.</w:t>
      </w:r>
    </w:p>
    <w:p w14:paraId="0FE31DEA" w14:textId="1F8BD0FD" w:rsidR="000019C6" w:rsidRPr="00756D2A" w:rsidRDefault="000019C6" w:rsidP="00756D2A">
      <w:pPr>
        <w:pStyle w:val="image"/>
        <w:spacing w:line="300" w:lineRule="auto"/>
        <w:jc w:val="both"/>
        <w:rPr>
          <w:sz w:val="24"/>
          <w:szCs w:val="24"/>
          <w:lang w:val="vi-VN"/>
        </w:rPr>
      </w:pPr>
      <w:r w:rsidRPr="00756D2A">
        <w:rPr>
          <w:rFonts w:hint="cs"/>
          <w:noProof/>
          <w:sz w:val="24"/>
          <w:szCs w:val="24"/>
        </w:rPr>
        <w:lastRenderedPageBreak/>
        <w:drawing>
          <wp:inline distT="0" distB="0" distL="0" distR="0" wp14:anchorId="0C997724" wp14:editId="2358281B">
            <wp:extent cx="5943600" cy="2926080"/>
            <wp:effectExtent l="0" t="0" r="0" b="5080"/>
            <wp:docPr id="9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bookmarkEnd w:id="59"/>
    <w:p w14:paraId="16FF5E0C" w14:textId="2CDE9BB6" w:rsidR="000019C6" w:rsidRPr="00756D2A" w:rsidRDefault="000019C6" w:rsidP="00756D2A">
      <w:pPr>
        <w:pStyle w:val="figurecaption"/>
        <w:jc w:val="both"/>
        <w:rPr>
          <w:sz w:val="24"/>
          <w:szCs w:val="24"/>
        </w:rPr>
      </w:pPr>
      <w:r>
        <w:rPr>
          <w:rFonts w:hint="cs"/>
          <w:b/>
          <w:sz w:val="24"/>
          <w:szCs w:val="24"/>
        </w:rPr>
        <w:t xml:space="preserve">Fig. 1 </w:t>
      </w:r>
      <w:r>
        <w:rPr>
          <w:rFonts w:hint="cs"/>
          <w:sz w:val="24"/>
          <w:szCs w:val="24"/>
        </w:rPr>
        <w:t xml:space="preserve">Twenty-day rolling volatility of VNINDEX (annualized) and market regimes, 2014–2025</w:t>
      </w:r>
    </w:p>
    <w:p w14:paraId="34F1944C" w14:textId="02CF4DC1" w:rsidR="000019C6" w:rsidRPr="00756D2A" w:rsidRDefault="000019C6" w:rsidP="00756D2A">
      <w:pPr>
        <w:spacing w:before="60" w:after="200"/>
        <w:jc w:val="both"/>
      </w:pPr>
      <w:r>
        <w:rPr>
          <w:rFonts w:hint="cs"/>
        </w:rPr>
        <w:t xml:space="preserve">Notes: Shaded areas mark the three crisis episodes; dashed and dotted lines mark the 25th and 75th percentiles. Source: Authors’ calculations based on HOSE index data (TradingView).</w:t>
      </w:r>
    </w:p>
    <w:bookmarkEnd w:id="50"/>
    <w:p w14:paraId="5DC7A323"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2.2 The DCCA Cross-Correlation Coefficient</w:t>
      </w:r>
    </w:p>
    <w:p w14:paraId="4ECA5912" w14:textId="0F8A2ED9" w:rsidR="000019C6" w:rsidRPr="00756D2A" w:rsidRDefault="000019C6" w:rsidP="00756D2A">
      <w:pPr>
        <w:jc w:val="both"/>
      </w:pPr>
      <w:r w:rsidRPr="00756D2A">
        <w:rPr>
          <w:rFonts w:hint="cs"/>
        </w:rPr>
        <w:t xml:space="preserve">Following Podobnik and Stanley (2008) and </w:t>
      </w:r>
      <w:proofErr w:type="spellStart"/>
      <w:r w:rsidRPr="00756D2A">
        <w:rPr>
          <w:rFonts w:hint="cs"/>
        </w:rPr>
        <w:t>Zebende</w:t>
      </w:r>
      <w:proofErr w:type="spellEnd"/>
      <w:r w:rsidRPr="00756D2A">
        <w:rPr>
          <w:rFonts w:hint="cs"/>
        </w:rPr>
        <w:t xml:space="preserve"> (2011), the DCCA cross-correlation coefficient evaluates multiscale covariance after filtering out non-stationary local trends</w:t>
      </w:r>
      <w:r w:rsidR="00573941">
        <w:rPr>
          <w:lang w:val="vi-VN"/>
        </w:rPr>
        <w:t xml:space="preserve"> from the data</w:t>
      </w:r>
      <w:r w:rsidRPr="00756D2A">
        <w:rPr>
          <w:rFonts w:hint="cs"/>
        </w:rPr>
        <w:t xml:space="preserve">. We map </w:t>
      </w:r>
      <w:r w:rsidR="006320D2">
        <w:t>the</w:t>
      </w:r>
      <w:r w:rsidR="006320D2">
        <w:rPr>
          <w:lang w:val="vi-VN"/>
        </w:rPr>
        <w:t xml:space="preserve"> </w:t>
      </w:r>
      <w:r w:rsidRPr="00756D2A">
        <w:rPr>
          <w:rFonts w:hint="cs"/>
        </w:rPr>
        <w:t xml:space="preserve">raw return series </w:t>
      </w:r>
      <w:proofErr w:type="spellStart"/>
      <w:r w:rsidRPr="00756D2A">
        <w:rPr>
          <w:rFonts w:hint="cs"/>
          <w:i/>
        </w:rPr>
        <w:t>x</w:t>
      </w:r>
      <w:r w:rsidRPr="00756D2A">
        <w:rPr>
          <w:rFonts w:hint="cs"/>
          <w:i/>
          <w:vertAlign w:val="subscript"/>
        </w:rPr>
        <w:t>t</w:t>
      </w:r>
      <w:proofErr w:type="spellEnd"/>
      <w:r w:rsidRPr="00756D2A">
        <w:rPr>
          <w:rFonts w:hint="cs"/>
        </w:rPr>
        <w:t xml:space="preserve"> and </w:t>
      </w:r>
      <w:proofErr w:type="spellStart"/>
      <w:r w:rsidRPr="00756D2A">
        <w:rPr>
          <w:rFonts w:hint="cs"/>
          <w:i/>
        </w:rPr>
        <w:t>y</w:t>
      </w:r>
      <w:r w:rsidRPr="00756D2A">
        <w:rPr>
          <w:rFonts w:hint="cs"/>
          <w:i/>
          <w:vertAlign w:val="subscript"/>
        </w:rPr>
        <w:t>t</w:t>
      </w:r>
      <w:proofErr w:type="spellEnd"/>
      <w:r w:rsidRPr="00756D2A">
        <w:rPr>
          <w:rFonts w:hint="cs"/>
        </w:rPr>
        <w:t xml:space="preserve"> into cumulative deviation profiles:</w:t>
      </w:r>
    </w:p>
    <w:p w14:paraId="43C7DBD5"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r>
                <w:rPr>
                  <w:rFonts w:ascii="Cambria Math" w:hAnsi="Cambria Math" w:hint="cs"/>
                </w:rPr>
                <m:t>X</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r>
            <w:rPr>
              <w:rFonts w:ascii="Cambria Math" w:hAnsi="Cambria Math" w:hint="cs"/>
            </w:rPr>
            <m:t> </m:t>
          </m:r>
          <m:sSub>
            <m:sSubPr>
              <m:ctrlPr>
                <w:rPr>
                  <w:rFonts w:ascii="Cambria Math" w:hAnsi="Cambria Math" w:hint="cs"/>
                  <w:lang w:eastAsia="zh-CN"/>
                </w:rPr>
              </m:ctrlPr>
            </m:sSubPr>
            <m:e>
              <m:r>
                <w:rPr>
                  <w:rFonts w:ascii="Cambria Math" w:hAnsi="Cambria Math" w:hint="cs"/>
                </w:rPr>
                <m:t>Y</m:t>
              </m:r>
            </m:e>
            <m:sub>
              <m:r>
                <w:rPr>
                  <w:rFonts w:ascii="Cambria Math" w:hAnsi="Cambria Math" w:hint="cs"/>
                </w:rPr>
                <m:t>k</m:t>
              </m:r>
            </m:sub>
          </m:sSub>
          <m:r>
            <m:rPr>
              <m:sty m:val="p"/>
            </m:rPr>
            <w:rPr>
              <w:rFonts w:ascii="Cambria Math" w:hAnsi="Cambria Math" w:hint="cs"/>
            </w:rPr>
            <m:t>=</m:t>
          </m:r>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k</m:t>
              </m:r>
            </m:sup>
            <m:e>
              <m:r>
                <m:rPr>
                  <m:sty m:val="p"/>
                </m:rPr>
                <w:rPr>
                  <w:rFonts w:ascii="Cambria Math" w:hAnsi="Cambria Math" w:hint="cs"/>
                </w:rPr>
                <m:t>(</m:t>
              </m:r>
            </m:e>
          </m:nary>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r>
            <m:rPr>
              <m:sty m:val="p"/>
            </m:rPr>
            <w:rPr>
              <w:rFonts w:ascii="Cambria Math" w:hAnsi="Cambria Math" w:hint="cs"/>
            </w:rPr>
            <m:t>-</m:t>
          </m:r>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r>
            <w:rPr>
              <w:rFonts w:ascii="Cambria Math" w:hAnsi="Cambria Math" w:hint="cs"/>
            </w:rPr>
            <m:t> k</m:t>
          </m:r>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2</m:t>
          </m:r>
          <m:r>
            <m:rPr>
              <m:sty m:val="p"/>
            </m:rPr>
            <w:rPr>
              <w:rFonts w:ascii="Cambria Math" w:hAnsi="Cambria Math" w:hint="cs"/>
            </w:rPr>
            <m:t>,…,</m:t>
          </m:r>
          <m:r>
            <w:rPr>
              <w:rFonts w:ascii="Cambria Math" w:hAnsi="Cambria Math" w:hint="cs"/>
            </w:rPr>
            <m:t>N</m:t>
          </m:r>
          <m:r>
            <m:rPr>
              <m:sty m:val="p"/>
            </m:rPr>
            <w:rPr>
              <w:rFonts w:ascii="Cambria Math" w:hAnsi="Cambria Math" w:hint="cs"/>
            </w:rPr>
            <m:t>,</m:t>
          </m:r>
        </m:oMath>
      </m:oMathPara>
      <w:r>
        <w:t xml:space="preserve"> (3)</w:t>
      </w:r>
    </w:p>
    <w:p w14:paraId="6549617A" w14:textId="77777777" w:rsidR="000019C6" w:rsidRPr="00756D2A" w:rsidRDefault="000019C6" w:rsidP="00756D2A">
      <w:pPr>
        <w:spacing w:line="300" w:lineRule="auto"/>
        <w:jc w:val="both"/>
      </w:pPr>
      <w:r w:rsidRPr="00756D2A">
        <w:rPr>
          <w:rFonts w:hint="cs"/>
        </w:rPr>
        <w:t xml:space="preserve">where </w:t>
      </w:r>
      <m:oMath>
        <m:acc>
          <m:accPr>
            <m:chr m:val="‾"/>
            <m:ctrlPr>
              <w:rPr>
                <w:rFonts w:ascii="Cambria Math" w:hAnsi="Cambria Math" w:hint="cs"/>
                <w:lang w:eastAsia="zh-CN"/>
              </w:rPr>
            </m:ctrlPr>
          </m:accPr>
          <m:e>
            <m:r>
              <w:rPr>
                <w:rFonts w:ascii="Cambria Math" w:hAnsi="Cambria Math" w:hint="cs"/>
              </w:rPr>
              <m:t>x</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x</m:t>
                </m:r>
              </m:e>
              <m:sub>
                <m:r>
                  <w:rPr>
                    <w:rFonts w:ascii="Cambria Math" w:hAnsi="Cambria Math" w:hint="cs"/>
                  </w:rPr>
                  <m:t>t</m:t>
                </m:r>
              </m:sub>
            </m:sSub>
          </m:e>
        </m:nary>
      </m:oMath>
      <w:r w:rsidRPr="00756D2A">
        <w:rPr>
          <w:rFonts w:hint="cs"/>
        </w:rPr>
        <w:t xml:space="preserve"> and </w:t>
      </w:r>
      <m:oMath>
        <m:acc>
          <m:accPr>
            <m:chr m:val="‾"/>
            <m:ctrlPr>
              <w:rPr>
                <w:rFonts w:ascii="Cambria Math" w:hAnsi="Cambria Math" w:hint="cs"/>
                <w:lang w:eastAsia="zh-CN"/>
              </w:rPr>
            </m:ctrlPr>
          </m:accPr>
          <m:e>
            <m:r>
              <w:rPr>
                <w:rFonts w:ascii="Cambria Math" w:hAnsi="Cambria Math" w:hint="cs"/>
              </w:rPr>
              <m:t>y</m:t>
            </m:r>
          </m:e>
        </m:acc>
        <m:r>
          <m:rPr>
            <m:sty m:val="p"/>
          </m:rPr>
          <w:rPr>
            <w:rFonts w:ascii="Cambria Math" w:hAnsi="Cambria Math" w:hint="cs"/>
          </w:rPr>
          <m:t>=</m:t>
        </m:r>
        <m:f>
          <m:fPr>
            <m:ctrlPr>
              <w:rPr>
                <w:rFonts w:ascii="Cambria Math" w:hAnsi="Cambria Math" w:hint="cs"/>
                <w:lang w:eastAsia="zh-CN"/>
              </w:rPr>
            </m:ctrlPr>
          </m:fPr>
          <m:num>
            <m:r>
              <w:rPr>
                <w:rFonts w:ascii="Cambria Math" w:hAnsi="Cambria Math" w:hint="cs"/>
              </w:rPr>
              <m:t>1</m:t>
            </m:r>
          </m:num>
          <m:den>
            <m:r>
              <w:rPr>
                <w:rFonts w:ascii="Cambria Math" w:hAnsi="Cambria Math" w:hint="cs"/>
              </w:rPr>
              <m:t>N</m:t>
            </m:r>
          </m:den>
        </m:f>
        <m:nary>
          <m:naryPr>
            <m:chr m:val="∑"/>
            <m:limLoc m:val="undOvr"/>
            <m:ctrlPr>
              <w:rPr>
                <w:rFonts w:ascii="Cambria Math" w:hAnsi="Cambria Math" w:hint="cs"/>
                <w:lang w:eastAsia="zh-CN"/>
              </w:rPr>
            </m:ctrlPr>
          </m:naryPr>
          <m:sub>
            <m:r>
              <w:rPr>
                <w:rFonts w:ascii="Cambria Math" w:hAnsi="Cambria Math" w:hint="cs"/>
              </w:rPr>
              <m:t>t</m:t>
            </m:r>
            <m:r>
              <m:rPr>
                <m:sty m:val="p"/>
              </m:rPr>
              <w:rPr>
                <w:rFonts w:ascii="Cambria Math" w:hAnsi="Cambria Math" w:hint="cs"/>
              </w:rPr>
              <m:t>=</m:t>
            </m:r>
            <m:r>
              <w:rPr>
                <w:rFonts w:ascii="Cambria Math" w:hAnsi="Cambria Math" w:hint="cs"/>
              </w:rPr>
              <m:t>1</m:t>
            </m:r>
          </m:sub>
          <m:sup>
            <m:r>
              <w:rPr>
                <w:rFonts w:ascii="Cambria Math" w:hAnsi="Cambria Math" w:hint="cs"/>
              </w:rPr>
              <m:t>N</m:t>
            </m:r>
          </m:sup>
          <m:e>
            <m:sSub>
              <m:sSubPr>
                <m:ctrlPr>
                  <w:rPr>
                    <w:rFonts w:ascii="Cambria Math" w:hAnsi="Cambria Math" w:hint="cs"/>
                    <w:lang w:eastAsia="zh-CN"/>
                  </w:rPr>
                </m:ctrlPr>
              </m:sSubPr>
              <m:e>
                <m:r>
                  <w:rPr>
                    <w:rFonts w:ascii="Cambria Math" w:hAnsi="Cambria Math" w:hint="cs"/>
                  </w:rPr>
                  <m:t>y</m:t>
                </m:r>
              </m:e>
              <m:sub>
                <m:r>
                  <w:rPr>
                    <w:rFonts w:ascii="Cambria Math" w:hAnsi="Cambria Math" w:hint="cs"/>
                  </w:rPr>
                  <m:t>t</m:t>
                </m:r>
              </m:sub>
            </m:sSub>
          </m:e>
        </m:nary>
      </m:oMath>
      <w:r w:rsidRPr="00756D2A">
        <w:rPr>
          <w:rFonts w:hint="cs"/>
        </w:rPr>
        <w:t xml:space="preserve"> denote the respective sample means.</w:t>
      </w:r>
    </w:p>
    <w:p w14:paraId="4B2D8320" w14:textId="77777777" w:rsidR="000019C6" w:rsidRPr="00756D2A" w:rsidRDefault="000019C6" w:rsidP="00756D2A">
      <w:pPr>
        <w:spacing w:line="300" w:lineRule="auto"/>
        <w:jc w:val="both"/>
      </w:pPr>
      <w:r w:rsidRPr="00756D2A">
        <w:rPr>
          <w:rFonts w:hint="cs"/>
        </w:rPr>
        <w:t xml:space="preserve">Both profiles are then partitioned into </w:t>
      </w:r>
      <m:oMath>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=⌊N/s⌋</m:t>
        </m:r>
      </m:oMath>
      <w:r w:rsidRPr="00756D2A">
        <w:rPr>
          <w:rFonts w:hint="cs"/>
        </w:rPr>
        <w:t xml:space="preserve"> non-overlapping segments of equal timescale </w:t>
      </w:r>
      <m:oMath>
        <m:r>
          <m:rPr>
            <m:sty m:val="p"/>
          </m:rPr>
          <w:rPr>
            <w:rFonts w:ascii="Cambria Math" w:hAnsi="Cambria Math" w:hint="cs"/>
          </w:rPr>
          <m:t>s</m:t>
        </m:r>
      </m:oMath>
      <w:r w:rsidRPr="00756D2A">
        <w:rPr>
          <w:rFonts w:hint="cs"/>
        </w:rPr>
        <w:t xml:space="preserve">. To prevent data loss near the boundary when </w:t>
      </w:r>
      <m:oMath>
        <m:r>
          <m:rPr>
            <m:sty m:val="p"/>
          </m:rPr>
          <w:rPr>
            <w:rFonts w:ascii="Cambria Math" w:hAnsi="Cambria Math" w:hint="cs"/>
          </w:rPr>
          <m:t>N</m:t>
        </m:r>
      </m:oMath>
      <w:r w:rsidRPr="00756D2A">
        <w:rPr>
          <w:rFonts w:hint="cs"/>
        </w:rPr>
        <w:t xml:space="preserve"> is not an exact multiple of </w:t>
      </w:r>
      <m:oMath>
        <m:r>
          <m:rPr>
            <m:sty m:val="p"/>
          </m:rPr>
          <w:rPr>
            <w:rFonts w:ascii="Cambria Math" w:hAnsi="Cambria Math" w:hint="cs"/>
          </w:rPr>
          <m:t>s</m:t>
        </m:r>
      </m:oMath>
      <w:r w:rsidRPr="00756D2A">
        <w:rPr>
          <w:rFonts w:hint="cs"/>
        </w:rPr>
        <w:t xml:space="preserve">, the partitioning is repeated from the opposite end of the series, generating </w:t>
      </w:r>
      <m:oMath>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oMath>
      <w:r w:rsidRPr="00756D2A">
        <w:rPr>
          <w:rFonts w:hint="cs"/>
        </w:rPr>
        <w:t xml:space="preserve"> total segments.</w:t>
      </w:r>
    </w:p>
    <w:p w14:paraId="2C0C3B7E" w14:textId="78266A57" w:rsidR="000019C6" w:rsidRPr="00756D2A" w:rsidRDefault="000019C6" w:rsidP="00756D2A">
      <w:pPr>
        <w:jc w:val="both"/>
      </w:pPr>
      <w:r w:rsidRPr="00756D2A">
        <w:rPr>
          <w:rFonts w:hint="cs"/>
        </w:rPr>
        <w:t xml:space="preserve">Within each segment, we fit local polynomial trends </w:t>
      </w:r>
      <w:r w:rsidRPr="00756D2A">
        <w:rPr>
          <w:rFonts w:hint="cs"/>
          <w:i/>
        </w:rPr>
        <w:t>X̃</w:t>
      </w:r>
      <w:r w:rsidRPr="00756D2A">
        <w:rPr>
          <w:rFonts w:hint="cs"/>
        </w:rPr>
        <w:t xml:space="preserve"> and </w:t>
      </w:r>
      <w:r w:rsidRPr="00756D2A">
        <w:rPr>
          <w:rFonts w:hint="cs"/>
          <w:i/>
        </w:rPr>
        <w:t>Ỹ</w:t>
      </w:r>
      <w:r w:rsidRPr="00756D2A">
        <w:rPr>
          <w:rFonts w:hint="cs"/>
        </w:rPr>
        <w:t xml:space="preserve"> of order </w:t>
      </w:r>
      <w:r w:rsidRPr="00756D2A">
        <w:rPr>
          <w:rFonts w:hint="cs"/>
          <w:i/>
        </w:rPr>
        <w:t>m</w:t>
      </w:r>
      <w:r w:rsidRPr="00756D2A">
        <w:rPr>
          <w:rFonts w:hint="cs"/>
        </w:rPr>
        <w:t xml:space="preserve"> using ordinary least squares (OLS; </w:t>
      </w:r>
      <w:r w:rsidRPr="00756D2A">
        <w:rPr>
          <w:rFonts w:hint="cs"/>
          <w:i/>
        </w:rPr>
        <w:t>m</w:t>
      </w:r>
      <w:r w:rsidRPr="00756D2A">
        <w:rPr>
          <w:rFonts w:hint="cs"/>
        </w:rPr>
        <w:t xml:space="preserve"> = 1 representing linear DCCA) and compute</w:t>
      </w:r>
      <w:r w:rsidR="00CE5C46">
        <w:rPr>
          <w:lang w:val="vi-VN"/>
        </w:rPr>
        <w:t xml:space="preserve"> the</w:t>
      </w:r>
      <w:r w:rsidRPr="00756D2A">
        <w:rPr>
          <w:rFonts w:hint="cs"/>
        </w:rPr>
        <w:t xml:space="preserve"> detrended covariance using piecewise boundary indexing:</w:t>
      </w:r>
    </w:p>
    <w:p w14:paraId="6C531495"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d>
            <m:dPr>
              <m:begChr m:val="{"/>
              <m:endChr m:val=""/>
              <m:ctrlPr>
                <w:rPr>
                  <w:rFonts w:ascii="Cambria Math" w:hAnsi="Cambria Math" w:hint="cs"/>
                  <w:iCs/>
                  <w:lang w:eastAsia="zh-CN"/>
                </w:rPr>
              </m:ctrlPr>
            </m:dPr>
            <m:e>
              <m:m>
                <m:mPr>
                  <m:plcHide m:val="1"/>
                  <m:mcs>
                    <m:mc>
                      <m:mcPr>
                        <m:count m:val="2"/>
                        <m:mcJc m:val="left"/>
                      </m:mcPr>
                    </m:mc>
                  </m:mcs>
                  <m:ctrlPr>
                    <w:rPr>
                      <w:rFonts w:ascii="Cambria Math" w:hAnsi="Cambria Math" w:hint="cs"/>
                      <w:iCs/>
                      <w:lang w:eastAsia="zh-CN"/>
                    </w:rPr>
                  </m:ctrlPr>
                </m:mP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(ν-1)s+k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ν=1,…,</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r>
                  <m:e>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s</m:t>
                        </m:r>
                      </m:den>
                    </m:f>
                    <m:nary>
                      <m:naryPr>
                        <m:chr m:val="∑"/>
                        <m:limLoc m:val="undOvr"/>
                        <m:ctrlPr>
                          <w:rPr>
                            <w:rFonts w:ascii="Cambria Math" w:hAnsi="Cambria Math" w:hint="cs"/>
                            <w:iCs/>
                            <w:lang w:eastAsia="zh-CN"/>
                          </w:rPr>
                        </m:ctrlPr>
                      </m:naryPr>
                      <m:sub>
                        <m:r>
                          <m:rPr>
                            <m:sty m:val="p"/>
                          </m:rPr>
                          <w:rPr>
                            <w:rFonts w:ascii="Cambria Math" w:hAnsi="Cambria Math" w:hint="cs"/>
                          </w:rPr>
                          <m:t>k=1</m:t>
                        </m:r>
                      </m:sub>
                      <m:sup>
                        <m:r>
                          <m:rPr>
                            <m:sty m:val="p"/>
                          </m:rPr>
                          <w:rPr>
                            <w:rFonts w:ascii="Cambria Math" w:hAnsi="Cambria Math" w:hint="cs"/>
                          </w:rPr>
                          <m:t>s</m:t>
                        </m:r>
                      </m:sup>
                      <m:e>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X</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X</m:t>
                                    </m:r>
                                  </m:e>
                                </m:acc>
                              </m:e>
                              <m:sub>
                                <m:r>
                                  <m:rPr>
                                    <m:sty m:val="p"/>
                                  </m:rPr>
                                  <w:rPr>
                                    <w:rFonts w:ascii="Cambria Math" w:hAnsi="Cambria Math" w:hint="cs"/>
                                  </w:rPr>
                                  <m:t>k,ν</m:t>
                                </m:r>
                              </m:sub>
                            </m:sSub>
                          </m:e>
                        </m:d>
                      </m:e>
                    </m:nary>
                    <m:d>
                      <m:dPr>
                        <m:ctrlPr>
                          <w:rPr>
                            <w:rFonts w:ascii="Cambria Math" w:hAnsi="Cambria Math" w:hint="cs"/>
                            <w:iCs/>
                            <w:lang w:eastAsia="zh-CN"/>
                          </w:rPr>
                        </m:ctrlPr>
                      </m:dPr>
                      <m:e>
                        <m:sSub>
                          <m:sSubPr>
                            <m:ctrlPr>
                              <w:rPr>
                                <w:rFonts w:ascii="Cambria Math" w:hAnsi="Cambria Math" w:hint="cs"/>
                                <w:iCs/>
                                <w:lang w:eastAsia="zh-CN"/>
                              </w:rPr>
                            </m:ctrlPr>
                          </m:sSubPr>
                          <m:e>
                            <m:r>
                              <m:rPr>
                                <m:sty m:val="p"/>
                              </m:rPr>
                              <w:rPr>
                                <w:rFonts w:ascii="Cambria Math" w:hAnsi="Cambria Math" w:hint="cs"/>
                              </w:rPr>
                              <m:t>Y</m:t>
                            </m:r>
                          </m:e>
                          <m:sub>
                            <m:r>
                              <m:rPr>
                                <m:sty m:val="p"/>
                              </m:rPr>
                              <w:rPr>
                                <w:rFonts w:ascii="Cambria Math" w:hAnsi="Cambria Math" w:hint="cs"/>
                              </w:rPr>
                              <m:t>N-(ν-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)s+k</m:t>
                            </m:r>
                          </m:sub>
                        </m:sSub>
                        <m:r>
                          <m:rPr>
                            <m:sty m:val="p"/>
                          </m:rPr>
                          <w:rPr>
                            <w:rFonts w:ascii="Cambria Math" w:hAnsi="Cambria Math" w:hint="cs"/>
                          </w:rPr>
                          <m:t>-</m:t>
                        </m:r>
                        <m:sSub>
                          <m:sSubPr>
                            <m:ctrlPr>
                              <w:rPr>
                                <w:rFonts w:ascii="Cambria Math" w:hAnsi="Cambria Math" w:hint="cs"/>
                                <w:iCs/>
                                <w:lang w:eastAsia="zh-CN"/>
                              </w:rPr>
                            </m:ctrlPr>
                          </m:sSubPr>
                          <m:e>
                            <m:acc>
                              <m:accPr>
                                <m:chr m:val="̃"/>
                                <m:ctrlPr>
                                  <w:rPr>
                                    <w:rFonts w:ascii="Cambria Math" w:hAnsi="Cambria Math" w:hint="cs"/>
                                    <w:iCs/>
                                    <w:lang w:eastAsia="zh-CN"/>
                                  </w:rPr>
                                </m:ctrlPr>
                              </m:accPr>
                              <m:e>
                                <m:r>
                                  <m:rPr>
                                    <m:sty m:val="p"/>
                                  </m:rPr>
                                  <w:rPr>
                                    <w:rFonts w:ascii="Cambria Math" w:hAnsi="Cambria Math" w:hint="cs"/>
                                  </w:rPr>
                                  <m:t>Y</m:t>
                                </m:r>
                              </m:e>
                            </m:acc>
                          </m:e>
                          <m:sub>
                            <m:r>
                              <m:rPr>
                                <m:sty m:val="p"/>
                              </m:rPr>
                              <w:rPr>
                                <w:rFonts w:ascii="Cambria Math" w:hAnsi="Cambria Math" w:hint="cs"/>
                              </w:rPr>
                              <m:t>k,ν</m:t>
                            </m:r>
                          </m:sub>
                        </m:sSub>
                      </m:e>
                    </m:d>
                    <m:r>
                      <m:rPr>
                        <m:sty m:val="p"/>
                      </m:rPr>
                      <w:rPr>
                        <w:rFonts w:ascii="Cambria Math" w:hAnsi="Cambria Math" w:hint="cs"/>
                      </w:rPr>
                      <m:t>,</m:t>
                    </m:r>
                  </m:e>
                  <m:e>
                    <m:r>
                      <m:rPr>
                        <m:nor/>
                      </m:rPr>
                      <w:rPr>
                        <w:rFonts w:hint="cs"/>
                        <w:iCs/>
                      </w:rPr>
                      <m:t xml:space="preserve">for </m:t>
                    </m:r>
                    <m:r>
                      <m:rPr>
                        <m:sty m:val="p"/>
                      </m:rPr>
                      <w:rPr>
                        <w:rFonts w:ascii="Cambria Math" w:hAnsi="Cambria Math" w:hint="cs"/>
                      </w:rPr>
                      <m:t>ν=</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r>
                      <m:rPr>
                        <m:sty m:val="p"/>
                      </m:rPr>
                      <w:rPr>
                        <w:rFonts w:ascii="Cambria Math" w:hAnsi="Cambria Math" w:hint="cs"/>
                      </w:rPr>
                      <m:t>+1,…,2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e>
                </m:mr>
              </m:m>
            </m:e>
          </m:d>
          <m:r>
            <m:rPr>
              <m:sty m:val="p"/>
            </m:rPr>
            <w:rPr>
              <w:rFonts w:ascii="Cambria Math" w:hAnsi="Cambria Math" w:hint="cs"/>
            </w:rPr>
            <m:t>.</m:t>
          </m:r>
        </m:oMath>
      </m:oMathPara>
      <w:r>
        <w:t xml:space="preserve"> (4)</w:t>
      </w:r>
    </w:p>
    <w:p w14:paraId="4A4980BA" w14:textId="77777777" w:rsidR="000019C6" w:rsidRPr="00756D2A" w:rsidRDefault="000019C6" w:rsidP="00756D2A">
      <w:pPr>
        <w:jc w:val="both"/>
      </w:pPr>
      <w:r w:rsidRPr="00756D2A">
        <w:rPr>
          <w:rFonts w:hint="cs"/>
        </w:rPr>
        <w:t>To isolate aggregate co-movement at a specific holding horizon, we average the detrended covariances across all 2</w:t>
      </w:r>
      <w:r w:rsidRPr="00756D2A">
        <w:rPr>
          <w:rFonts w:hint="cs"/>
          <w:i/>
        </w:rPr>
        <w:t>N</w:t>
      </w:r>
      <w:r w:rsidRPr="00756D2A">
        <w:rPr>
          <w:rFonts w:hint="cs"/>
          <w:i/>
          <w:vertAlign w:val="subscript"/>
        </w:rPr>
        <w:t>s</w:t>
      </w:r>
      <w:r w:rsidRPr="00756D2A">
        <w:rPr>
          <w:rFonts w:hint="cs"/>
        </w:rPr>
        <w:t xml:space="preserve"> segments to obtain the bivariate DCCA fluctuation function:</w:t>
      </w:r>
    </w:p>
    <w:p w14:paraId="00DC4F4B" w14:textId="77777777" w:rsidR="000019C6" w:rsidRPr="00756D2A" w:rsidRDefault="00000000" w:rsidP="00756D2A">
      <w:pPr>
        <w:spacing w:line="300" w:lineRule="auto"/>
        <w:jc w:val="both"/>
        <w:rPr>
          <w:iCs/>
        </w:rPr>
      </w:pPr>
      <m:oMathPara>
        <m:oMathParaPr>
          <m:jc m:val="center"/>
        </m:oMathParaPr>
        <m:oMath>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f>
            <m:fPr>
              <m:ctrlPr>
                <w:rPr>
                  <w:rFonts w:ascii="Cambria Math" w:hAnsi="Cambria Math" w:hint="cs"/>
                  <w:i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i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iCs/>
                      <w:lang w:eastAsia="zh-CN"/>
                    </w:rPr>
                  </m:ctrlPr>
                </m:sSubPr>
                <m:e>
                  <m:r>
                    <m:rPr>
                      <m:sty m:val="p"/>
                    </m:rPr>
                    <w:rPr>
                      <w:rFonts w:ascii="Cambria Math" w:hAnsi="Cambria Math" w:hint="cs"/>
                    </w:rPr>
                    <m:t>N</m:t>
                  </m:r>
                </m:e>
                <m:sub>
                  <m:r>
                    <m:rPr>
                      <m:sty m:val="p"/>
                    </m:rPr>
                    <w:rPr>
                      <w:rFonts w:ascii="Cambria Math" w:hAnsi="Cambria Math" w:hint="cs"/>
                    </w:rPr>
                    <m:t>s</m:t>
                  </m:r>
                </m:sub>
              </m:sSub>
            </m:sup>
            <m:e>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e>
          </m:nary>
          <m:r>
            <m:rPr>
              <m:sty m:val="p"/>
            </m:rPr>
            <w:rPr>
              <w:rFonts w:ascii="Cambria Math" w:hAnsi="Cambria Math" w:hint="cs"/>
            </w:rPr>
            <m:t>(s,ν).</m:t>
          </m:r>
        </m:oMath>
      </m:oMathPara>
      <w:r>
        <w:t xml:space="preserve"> (5)</w:t>
      </w:r>
    </w:p>
    <w:p w14:paraId="1EDA9D0E" w14:textId="3B9EDBE2" w:rsidR="000019C6" w:rsidRPr="00756D2A" w:rsidRDefault="000019C6" w:rsidP="00756D2A">
      <w:pPr>
        <w:jc w:val="both"/>
        <w:rPr>
          <w:lang w:val="vi-VN"/>
        </w:rPr>
      </w:pPr>
      <w:r w:rsidRPr="00756D2A">
        <w:rPr>
          <w:rFonts w:hint="cs"/>
        </w:rPr>
        <w:t>When</w:t>
      </w:r>
      <w:r w:rsidRPr="00756D2A">
        <w:rPr>
          <w:rFonts w:hint="cs"/>
          <w:lang w:val="vi-VN"/>
        </w:rPr>
        <w:t xml:space="preserve"> </w:t>
      </w:r>
      <m:oMath>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oMath>
      <w:r w:rsidRPr="00756D2A">
        <w:rPr>
          <w:rFonts w:hint="cs"/>
        </w:rPr>
        <w:t xml:space="preserve">, the fluctuation function collapses to the standard univariate Detrended Fluctuation Analysis (DFA) functions,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DFA,1</m:t>
            </m:r>
          </m:sub>
          <m:sup>
            <m:r>
              <m:rPr>
                <m:sty m:val="p"/>
              </m:rPr>
              <w:rPr>
                <w:rFonts w:ascii="Cambria Math" w:hAnsi="Cambria Math" w:hint="cs"/>
              </w:rPr>
              <m:t>2</m:t>
            </m:r>
          </m:sup>
        </m:sSubSup>
        <m:r>
          <m:rPr>
            <m:sty m:val="p"/>
          </m:rPr>
          <w:rPr>
            <w:rFonts w:ascii="Cambria Math" w:hAnsi="Cambria Math" w:hint="cs"/>
          </w:rPr>
          <m:t>(s)</m:t>
        </m:r>
      </m:oMath>
      <w:r w:rsidRPr="00756D2A">
        <w:rPr>
          <w:rFonts w:hint="cs"/>
        </w:rPr>
        <w:t xml:space="preserve"> and </w:t>
      </w:r>
      <m:oMath>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DFA,2</m:t>
            </m:r>
          </m:sub>
          <m:sup>
            <m:r>
              <m:rPr>
                <m:sty m:val="p"/>
              </m:rPr>
              <w:rPr>
                <w:rFonts w:ascii="Cambria Math" w:hAnsi="Cambria Math" w:hint="cs"/>
              </w:rPr>
              <m:t>2</m:t>
            </m:r>
          </m:sup>
        </m:sSubSup>
      </m:oMath>
      <w:r w:rsidRPr="00756D2A">
        <w:rPr>
          <w:rFonts w:hint="cs"/>
          <w:lang w:val="vi-VN"/>
        </w:rPr>
        <w:t xml:space="preserve"> </w:t>
      </w:r>
      <w:r w:rsidRPr="00756D2A">
        <w:rPr>
          <w:rFonts w:hint="cs"/>
        </w:rPr>
        <w:fldChar w:fldCharType="begin"/>
      </w:r>
      <w:r w:rsidRPr="00756D2A">
        <w:rPr>
          <w:rFonts w:hint="cs"/>
        </w:rPr>
        <w:instrText xml:space="preserve"> ADDIN PAPERPAL_ITEM CSL_CITATION {"citationItems":[{"itemType":"journalArticle","author":[{"given":"Buldyrev","family":"C.-K."},{"given":"Havlin","family":"S. V."},{"given":"Simons","family":"S."},{"given":"Stanley","family":"M."},{"given":"A. L","family":"Goldberger"}],"container-title":"Physical Review E","id":"0cf649c0-fe73-48e7-a91e-a26f882522a6","formattedCitation":"Peng, C.-K., Buldyrev, S. V., Havlin, S., Simons, M., Stanley, H. E., &amp; Goldberger, A. L. (1994). Mosaic organization of DNA nucleotides. Physical Review E, 49(2), 1685\u20131689. https://doi.org/10.1103/PhysRevE.49.1685","type":"article-journal","issued":{"date-parts":[["1994"]]},"title":"Mosaic organization of DNA nucleotides","DOI":"10.1103/PhysRevE.49.1685"},{"itemType":"journalArticle","author":[{"given":"J. W","family":"Kantelhardt"},{"given":"S. A","family":"Zschiegner"},{"given":"E","family":"Koscielny-Bunde"},{"given":"S","family":"Havlin"},{"given":"A","family":"Bunde"},{"given":"H. E","family":"Stanley"}],"container-title":"Physica A: Statistical Mechanics and its Applications","id":"334df2a1-fa7a-4b00-b307-8fa345b46a21","formattedCitation":"Kantelhardt, J. W., Zschiegner, S. A., Koscielny-Bunde, E., Havlin, S., Bunde, A., &amp; Stanley, H. E. (2002). Multifractal detrended fluctuation analysis of nonstationary time series. Physica A: Statistical Mechanics and its Applications, 316(1\u20134), 87\u2013114. https://doi.org/10.1016/S0378-4371(02)01383-3","type":"article-journal","issued":{"date-parts":[["2002"]]},"title":"Multifractal detrended fluctuation analysis of nonstationary time series","DOI":"10.1016/S0378-4371(02)01383-3"}],"citationID":"0cf649c0-fe73-48e7-a91e-a26f882522a6;334df2a1-fa7a-4b00-b307-8fa345b46a21","properties":{"formattedCitation":"(C.-K. et al., 1994; Kantelhardt et al., 2002)","plainCitation":"(C.-K. et al., 1994; Kantelhardt et al., 2002)","noteIndex":0}}</w:instrText>
      </w:r>
      <w:r w:rsidRPr="00756D2A">
        <w:rPr>
          <w:rFonts w:hint="cs"/>
        </w:rPr>
        <w:fldChar w:fldCharType="separate"/>
      </w:r>
      <w:r w:rsidRPr="00756D2A">
        <w:rPr>
          <w:rFonts w:hint="cs"/>
        </w:rPr>
        <w:t>(</w:t>
      </w:r>
      <w:r w:rsidR="000F579F" w:rsidRPr="000F579F">
        <w:t>Peng et al. 1994; Kantelhardt et al. 2002</w:t>
      </w:r>
      <w:r w:rsidRPr="00756D2A">
        <w:rPr>
          <w:rFonts w:hint="cs"/>
        </w:rPr>
        <w:t>)</w:t>
      </w:r>
      <w:r w:rsidRPr="00756D2A">
        <w:rPr>
          <w:rFonts w:hint="cs"/>
        </w:rPr>
        <w:fldChar w:fldCharType="end"/>
      </w:r>
      <w:r w:rsidRPr="00756D2A">
        <w:rPr>
          <w:rFonts w:hint="cs"/>
        </w:rPr>
        <w:t>.</w:t>
      </w:r>
    </w:p>
    <w:p w14:paraId="43C7ED64" w14:textId="77777777" w:rsidR="000019C6" w:rsidRPr="00756D2A" w:rsidRDefault="000019C6" w:rsidP="00756D2A">
      <w:pPr>
        <w:jc w:val="both"/>
      </w:pPr>
      <w:r w:rsidRPr="00756D2A">
        <w:rPr>
          <w:rFonts w:hint="cs"/>
        </w:rPr>
        <w:t>To bound the dependence metric within</w:t>
      </w:r>
      <w:r w:rsidRPr="00756D2A">
        <w:rPr>
          <w:rFonts w:hint="cs"/>
          <w:lang w:val="vi-VN"/>
        </w:rPr>
        <w:t xml:space="preserve"> </w:t>
      </w:r>
      <m:oMath>
        <m:r>
          <m:rPr>
            <m:sty m:val="p"/>
          </m:rPr>
          <w:rPr>
            <w:rFonts w:ascii="Cambria Math" w:hAnsi="Cambria Math" w:hint="cs"/>
          </w:rPr>
          <m:t>[-</m:t>
        </m:r>
        <m:r>
          <w:rPr>
            <w:rFonts w:ascii="Cambria Math" w:hAnsi="Cambria Math" w:hint="cs"/>
          </w:rPr>
          <m:t>1</m:t>
        </m:r>
        <m:r>
          <m:rPr>
            <m:sty m:val="p"/>
          </m:rPr>
          <w:rPr>
            <w:rFonts w:ascii="Cambria Math" w:hAnsi="Cambria Math" w:hint="cs"/>
          </w:rPr>
          <m:t>,</m:t>
        </m:r>
        <m:r>
          <w:rPr>
            <w:rFonts w:ascii="Cambria Math" w:hAnsi="Cambria Math" w:hint="cs"/>
          </w:rPr>
          <m:t>1</m:t>
        </m:r>
        <m:r>
          <m:rPr>
            <m:sty m:val="p"/>
          </m:rPr>
          <w:rPr>
            <w:rFonts w:ascii="Cambria Math" w:hAnsi="Cambria Math" w:hint="cs"/>
          </w:rPr>
          <m:t>]</m:t>
        </m:r>
      </m:oMath>
      <w:r w:rsidRPr="00756D2A">
        <w:rPr>
          <w:rFonts w:hint="cs"/>
        </w:rPr>
        <w:t xml:space="preserve"> and make estimates at different scales comparable with ordinary correlations, the DCCA cross-correlation coefficient normalizes the bivariate covariance by the product of univariate root mean square fluctuations:</w:t>
      </w:r>
    </w:p>
    <w:p w14:paraId="67EAE95C" w14:textId="77777777" w:rsidR="000019C6" w:rsidRPr="00756D2A" w:rsidRDefault="000019C6" w:rsidP="00756D2A">
      <w:pPr>
        <w:spacing w:line="300" w:lineRule="auto"/>
        <w:jc w:val="both"/>
        <w:rPr>
          <w:lang w:val="vi-VN"/>
        </w:rPr>
      </w:pPr>
    </w:p>
    <w:p w14:paraId="3A07505B"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m:t>
          </m:r>
          <m:f>
            <m:fPr>
              <m:ctrlPr>
                <w:rPr>
                  <w:rFonts w:ascii="Cambria Math" w:hAnsi="Cambria Math" w:hint="cs"/>
                  <w:iCs/>
                  <w:lang w:eastAsia="zh-CN"/>
                </w:rPr>
              </m:ctrlPr>
            </m:fPr>
            <m:num>
              <m:sSubSup>
                <m:sSubSupPr>
                  <m:ctrlPr>
                    <w:rPr>
                      <w:rFonts w:ascii="Cambria Math" w:hAnsi="Cambria Math" w:hint="cs"/>
                      <w:i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m:t>
              </m:r>
            </m:num>
            <m:den>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DFA,1</m:t>
                  </m:r>
                </m:sub>
              </m:sSub>
              <m:r>
                <m:rPr>
                  <m:sty m:val="p"/>
                </m:rPr>
                <w:rPr>
                  <w:rFonts w:ascii="Cambria Math" w:hAnsi="Cambria Math" w:hint="cs"/>
                </w:rPr>
                <m:t>(s)</m:t>
              </m:r>
              <m:sSub>
                <m:sSubPr>
                  <m:ctrlPr>
                    <w:rPr>
                      <w:rFonts w:ascii="Cambria Math" w:hAnsi="Cambria Math" w:hint="cs"/>
                      <w:iCs/>
                      <w:lang w:eastAsia="zh-CN"/>
                    </w:rPr>
                  </m:ctrlPr>
                </m:sSubPr>
                <m:e>
                  <m:r>
                    <m:rPr>
                      <m:sty m:val="p"/>
                    </m:rPr>
                    <w:rPr>
                      <w:rFonts w:ascii="Cambria Math" w:hAnsi="Cambria Math" w:hint="cs"/>
                    </w:rPr>
                    <m:t>F</m:t>
                  </m:r>
                </m:e>
                <m:sub>
                  <m:r>
                    <m:rPr>
                      <m:sty m:val="p"/>
                    </m:rPr>
                    <w:rPr>
                      <w:rFonts w:ascii="Cambria Math" w:hAnsi="Cambria Math" w:hint="cs"/>
                    </w:rPr>
                    <m:t>DFA,2</m:t>
                  </m:r>
                </m:sub>
              </m:sSub>
              <m:r>
                <m:rPr>
                  <m:sty m:val="p"/>
                </m:rPr>
                <w:rPr>
                  <w:rFonts w:ascii="Cambria Math" w:hAnsi="Cambria Math" w:hint="cs"/>
                </w:rPr>
                <m:t>(s)</m:t>
              </m:r>
            </m:den>
          </m:f>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ρ</m:t>
              </m:r>
            </m:e>
            <m:sub>
              <m:r>
                <m:rPr>
                  <m:sty m:val="p"/>
                </m:rPr>
                <w:rPr>
                  <w:rFonts w:ascii="Cambria Math" w:hAnsi="Cambria Math" w:hint="cs"/>
                </w:rPr>
                <m:t>DCCA</m:t>
              </m:r>
            </m:sub>
          </m:sSub>
          <m:r>
            <m:rPr>
              <m:sty m:val="p"/>
            </m:rPr>
            <w:rPr>
              <w:rFonts w:ascii="Cambria Math" w:hAnsi="Cambria Math" w:hint="cs"/>
            </w:rPr>
            <m:t>(s)∈[-1,1],</m:t>
          </m:r>
        </m:oMath>
      </m:oMathPara>
      <w:r>
        <w:t xml:space="preserve"> (6)</w:t>
      </w:r>
    </w:p>
    <w:p w14:paraId="45A2760B" w14:textId="77777777" w:rsidR="000019C6" w:rsidRPr="00756D2A" w:rsidRDefault="000019C6" w:rsidP="00756D2A">
      <w:pPr>
        <w:spacing w:line="300" w:lineRule="auto"/>
        <w:jc w:val="both"/>
      </w:pPr>
      <w:r w:rsidRPr="00756D2A">
        <w:rPr>
          <w:rFonts w:hint="cs"/>
        </w:rPr>
        <w:t xml:space="preserve">where </w:t>
      </w: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DFA,i</m:t>
            </m:r>
          </m:sub>
        </m:sSub>
        <m:r>
          <m:rPr>
            <m:sty m:val="p"/>
          </m:rPr>
          <w:rPr>
            <w:rFonts w:ascii="Cambria Math" w:hAnsi="Cambria Math" w:hint="cs"/>
          </w:rPr>
          <m:t>(s)=</m:t>
        </m:r>
        <m:rad>
          <m:radPr>
            <m:degHide m:val="1"/>
            <m:ctrlPr>
              <w:rPr>
                <w:rFonts w:ascii="Cambria Math" w:hAnsi="Cambria Math" w:hint="cs"/>
                <w:lang w:eastAsia="zh-CN"/>
              </w:rPr>
            </m:ctrlPr>
          </m:radPr>
          <m:deg/>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DFA,i</m:t>
                </m:r>
              </m:sub>
              <m:sup>
                <m:r>
                  <m:rPr>
                    <m:sty m:val="p"/>
                  </m:rPr>
                  <w:rPr>
                    <w:rFonts w:ascii="Cambria Math" w:hAnsi="Cambria Math" w:hint="cs"/>
                  </w:rPr>
                  <m:t>2</m:t>
                </m:r>
              </m:sup>
            </m:sSubSup>
            <m:r>
              <m:rPr>
                <m:sty m:val="p"/>
              </m:rPr>
              <w:rPr>
                <w:rFonts w:ascii="Cambria Math" w:hAnsi="Cambria Math" w:hint="cs"/>
              </w:rPr>
              <m:t>(s)</m:t>
            </m:r>
          </m:e>
        </m:rad>
      </m:oMath>
      <w:r w:rsidRPr="00756D2A">
        <w:rPr>
          <w:rFonts w:hint="cs"/>
        </w:rPr>
        <w:t xml:space="preserve"> denotes the univariate root-mean-square fluctuation function.</w:t>
      </w:r>
    </w:p>
    <w:p w14:paraId="1AD948EE" w14:textId="77777777" w:rsidR="000019C6" w:rsidRPr="00756D2A" w:rsidRDefault="000019C6" w:rsidP="00756D2A">
      <w:pPr>
        <w:jc w:val="both"/>
        <w:rPr>
          <w:lang w:val="vi-VN"/>
        </w:rPr>
      </w:pPr>
    </w:p>
    <w:p w14:paraId="1CCF9779" w14:textId="77777777" w:rsidR="000019C6" w:rsidRPr="00756D2A" w:rsidRDefault="000019C6" w:rsidP="00756D2A">
      <w:pPr>
        <w:jc w:val="both"/>
      </w:pPr>
      <w:r>
        <w:rPr>
          <w:rFonts w:hint="cs"/>
        </w:rPr>
        <w:t xml:space="preserve">Because VN30 is embedded within VN100, an auxiliary regression of VN100 returns on VN30 returns produces an R</w:t>
      </w:r>
      <w:r>
        <w:rPr>
          <w:rFonts w:hint="cs"/>
          <w:vertAlign w:val="superscript"/>
        </w:rPr>
        <w:t xml:space="preserve">2</w:t>
      </w:r>
      <w:r>
        <w:rPr>
          <w:rFonts w:hint="cs"/>
        </w:rPr>
        <w:t xml:space="preserve"> of 0.973–0.977 and a slope of 0.968–0.975 across the four frequencies (daily estimates shown):</w:t>
      </w:r>
    </w:p>
    <w:p w14:paraId="62F2BB98"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, </m:t>
          </m:r>
          <m:sSub>
            <m:sSubPr>
              <m:ctrlPr>
                <w:rPr>
                  <w:rFonts w:ascii="Cambria Math" w:hAnsi="Cambria Math" w:hint="cs"/>
                  <w:iCs/>
                  <w:lang w:eastAsia="zh-CN"/>
                </w:rPr>
              </m:ctrlPr>
            </m:sSubPr>
            <m:e>
              <m:r>
                <m:rPr>
                  <m:sty m:val="p"/>
                </m:rPr>
                <w:rPr>
                  <w:rFonts w:ascii="Cambria Math" w:hAnsi="Cambria Math" w:hint="cs"/>
                </w:rPr>
                <m:t>β</m:t>
              </m:r>
            </m:e>
            <m:sub>
              <m:r>
                <m:rPr>
                  <m:sty m:val="p"/>
                </m:rPr>
                <w:rPr>
                  <w:rFonts w:ascii="Cambria Math" w:hAnsi="Cambria Math" w:hint="cs"/>
                </w:rPr>
                <m:t>OLS</m:t>
              </m:r>
            </m:sub>
          </m:sSub>
          <m:r>
            <m:rPr>
              <m:sty m:val="p"/>
            </m:rPr>
            <w:rPr>
              <w:rFonts w:ascii="Cambria Math" w:hAnsi="Cambria Math" w:hint="cs"/>
            </w:rPr>
            <m:t>=0.971, </m:t>
          </m:r>
          <m:sSub>
            <m:sSubPr>
              <m:ctrlPr>
                <w:rPr>
                  <w:rFonts w:ascii="Cambria Math" w:hAnsi="Cambria Math" w:hint="cs"/>
                  <w:iCs/>
                  <w:lang w:eastAsia="zh-CN"/>
                </w:rPr>
              </m:ctrlPr>
            </m:sSubPr>
            <m:e>
              <m:r>
                <m:rPr>
                  <m:sty m:val="p"/>
                </m:rPr>
                <w:rPr>
                  <w:rFonts w:ascii="Cambria Math" w:hAnsi="Cambria Math" w:hint="cs"/>
                </w:rPr>
                <m:t>α</m:t>
              </m:r>
            </m:e>
            <m:sub>
              <m:r>
                <m:rPr>
                  <m:sty m:val="p"/>
                </m:rPr>
                <w:rPr>
                  <w:rFonts w:ascii="Cambria Math" w:hAnsi="Cambria Math" w:hint="cs"/>
                </w:rPr>
                <m:t>OLS</m:t>
              </m:r>
            </m:sub>
          </m:sSub>
          <m:r>
            <m:rPr>
              <m:sty m:val="p"/>
            </m:rPr>
            <w:rPr>
              <w:rFonts w:ascii="Cambria Math" w:hAnsi="Cambria Math" w:hint="cs"/>
            </w:rPr>
            <m:t>=0.000.</m:t>
          </m:r>
        </m:oMath>
      </m:oMathPara>
      <w:r>
        <w:t xml:space="preserve"> (7)</w:t>
      </w:r>
    </w:p>
    <w:p w14:paraId="1513B0BB" w14:textId="73D24286" w:rsidR="000019C6" w:rsidRPr="00756D2A" w:rsidRDefault="000019C6" w:rsidP="00756D2A">
      <w:pPr>
        <w:jc w:val="both"/>
      </w:pPr>
      <w:r w:rsidRPr="00756D2A">
        <w:rPr>
          <w:rFonts w:hint="cs"/>
        </w:rPr>
        <w:t>To isolate the non-overlapping mid-cap return component, we evaluate four candidate proxy formulations.</w:t>
      </w:r>
    </w:p>
    <w:p w14:paraId="2F6FA8BC" w14:textId="75B35CAF" w:rsidR="000019C6" w:rsidRPr="00756D2A" w:rsidRDefault="000019C6" w:rsidP="00756D2A">
      <w:pPr>
        <w:spacing w:line="300" w:lineRule="auto"/>
        <w:jc w:val="both"/>
        <w:rPr>
          <w:lang w:val="vi-VN"/>
        </w:rPr>
      </w:pPr>
      <w:r w:rsidRPr="00756D2A">
        <w:rPr>
          <w:rFonts w:hint="cs"/>
        </w:rPr>
        <w:t xml:space="preserve">First, we define a capitalization-weighted proxy (</w:t>
      </w:r>
      <m:oMath>
        <m:sSub>
          <m:sSubPr>
            <m:ctrlPr>
              <w:rPr>
                <w:rFonts w:ascii="Cambria Math" w:hAnsi="Cambria Math" w:hint="cs"/>
                <w:lang w:eastAsia="zh-CN"/>
              </w:rPr>
            </m:ctrlPr>
          </m:sSubPr>
          <m:e>
            <m:r>
              <w:rPr>
                <w:rFonts w:ascii="Cambria Math" w:hAnsi="Cambria Math" w:hint="cs"/>
              </w:rPr>
              <m:t>P</m:t>
            </m:r>
          </m:e>
          <m:sub>
            <m:r>
              <w:rPr>
                <w:rFonts w:ascii="Cambria Math" w:hAnsi="Cambria Math" w:hint="cs"/>
              </w:rPr>
              <m:t>cap</m:t>
            </m:r>
          </m:sub>
        </m:sSub>
      </m:oMath>
      <w:r w:rsidRPr="00756D2A">
        <w:rPr>
          <w:rFonts w:hint="cs"/>
        </w:rPr>
        <w:t xml:space="preserve">) based on </w:t>
      </w:r>
      <w:r w:rsidR="00EE4387">
        <w:t>the</w:t>
      </w:r>
      <w:r w:rsidR="00EE4387">
        <w:rPr>
          <w:lang w:val="vi-VN"/>
        </w:rPr>
        <w:t xml:space="preserve"> </w:t>
      </w:r>
      <w:r w:rsidRPr="00756D2A">
        <w:rPr>
          <w:rFonts w:hint="cs"/>
        </w:rPr>
        <w:t>constituent free-float market capitalization:</w:t>
      </w:r>
    </w:p>
    <w:p w14:paraId="69A913FA" w14:textId="77777777" w:rsidR="000019C6" w:rsidRPr="00756D2A" w:rsidRDefault="00000000" w:rsidP="00756D2A">
      <w:pPr>
        <w:spacing w:line="300" w:lineRule="auto"/>
        <w:jc w:val="both"/>
        <w:rPr>
          <w:iCs/>
        </w:rPr>
      </w:pPr>
      <m:oMathPara>
        <m:oMathParaPr>
          <m:jc m:val="center"/>
        </m:oMathParaPr>
        <m:oMath>
          <m:sSub>
            <m:sSubPr>
              <m:ctrlPr>
                <w:rPr>
                  <w:rFonts w:ascii="Cambria Math" w:hAnsi="Cambria Math" w:hint="cs"/>
                  <w:iCs/>
                  <w:lang w:eastAsia="zh-CN"/>
                </w:rPr>
              </m:ctrlPr>
            </m:sSubPr>
            <m:e>
              <m:r>
                <m:rPr>
                  <m:sty m:val="p"/>
                </m:rPr>
                <w:rPr>
                  <w:rFonts w:ascii="Cambria Math" w:hAnsi="Cambria Math" w:hint="cs"/>
                </w:rPr>
                <m:t>P</m:t>
              </m:r>
            </m:e>
            <m:sub>
              <m:r>
                <m:rPr>
                  <m:sty m:val="p"/>
                </m:rPr>
                <w:rPr>
                  <w:rFonts w:ascii="Cambria Math" w:hAnsi="Cambria Math" w:hint="cs"/>
                </w:rPr>
                <m:t>cap,t</m:t>
              </m:r>
            </m:sub>
          </m:sSub>
          <m:r>
            <m:rPr>
              <m:sty m:val="p"/>
            </m:rPr>
            <w:rPr>
              <w:rFonts w:ascii="Cambria Math" w:hAnsi="Cambria Math" w:hint="cs"/>
            </w:rPr>
            <m:t>=</m:t>
          </m:r>
          <m:f>
            <m:fPr>
              <m:ctrlPr>
                <w:rPr>
                  <w:rFonts w:ascii="Cambria Math" w:hAnsi="Cambria Math" w:hint="cs"/>
                  <w:iCs/>
                  <w:lang w:eastAsia="zh-CN"/>
                </w:rPr>
              </m:ctrlPr>
            </m:fPr>
            <m:num>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100,t</m:t>
                  </m:r>
                </m:sub>
              </m:sSub>
              <m:r>
                <m:rPr>
                  <m:sty m:val="p"/>
                </m:rPr>
                <w:rPr>
                  <w:rFonts w:ascii="Cambria Math" w:hAnsi="Cambria Math" w:hint="cs"/>
                </w:rPr>
                <m:t>-</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sSub>
                <m:sSubPr>
                  <m:ctrlPr>
                    <w:rPr>
                      <w:rFonts w:ascii="Cambria Math" w:hAnsi="Cambria Math" w:hint="cs"/>
                      <w:iCs/>
                      <w:lang w:eastAsia="zh-CN"/>
                    </w:rPr>
                  </m:ctrlPr>
                </m:sSubPr>
                <m:e>
                  <m:r>
                    <m:rPr>
                      <m:sty m:val="p"/>
                    </m:rPr>
                    <w:rPr>
                      <w:rFonts w:ascii="Cambria Math" w:hAnsi="Cambria Math" w:hint="cs"/>
                    </w:rPr>
                    <m:t>R</m:t>
                  </m:r>
                </m:e>
                <m:sub>
                  <m:r>
                    <m:rPr>
                      <m:sty m:val="p"/>
                    </m:rPr>
                    <w:rPr>
                      <w:rFonts w:ascii="Cambria Math" w:hAnsi="Cambria Math" w:hint="cs"/>
                    </w:rPr>
                    <m:t>30,t</m:t>
                  </m:r>
                </m:sub>
              </m:sSub>
            </m:num>
            <m:den>
              <m:r>
                <m:rPr>
                  <m:sty m:val="p"/>
                </m:rPr>
                <w:rPr>
                  <w:rFonts w:ascii="Cambria Math" w:hAnsi="Cambria Math" w:hint="cs"/>
                </w:rPr>
                <m:t>1-</m:t>
              </m:r>
              <m:sSub>
                <m:sSubPr>
                  <m:ctrlPr>
                    <w:rPr>
                      <w:rFonts w:ascii="Cambria Math" w:hAnsi="Cambria Math" w:hint="cs"/>
                      <w:iCs/>
                      <w:lang w:eastAsia="zh-CN"/>
                    </w:rPr>
                  </m:ctrlPr>
                </m:sSubPr>
                <m:e>
                  <m:r>
                    <m:rPr>
                      <m:sty m:val="p"/>
                    </m:rPr>
                    <w:rPr>
                      <w:rFonts w:ascii="Cambria Math" w:hAnsi="Cambria Math" w:hint="cs"/>
                    </w:rPr>
                    <m:t>w</m:t>
                  </m:r>
                </m:e>
                <m:sub>
                  <m:r>
                    <m:rPr>
                      <m:sty m:val="p"/>
                    </m:rPr>
                    <w:rPr>
                      <w:rFonts w:ascii="Cambria Math" w:hAnsi="Cambria Math" w:hint="cs"/>
                    </w:rPr>
                    <m:t>30</m:t>
                  </m:r>
                </m:sub>
              </m:sSub>
            </m:den>
          </m:f>
          <m:r>
            <m:rPr>
              <m:sty m:val="p"/>
            </m:rPr>
            <w:rPr>
              <w:rFonts w:ascii="Cambria Math" w:hAnsi="Cambria Math" w:hint="cs"/>
            </w:rPr>
            <m:t>,</m:t>
          </m:r>
        </m:oMath>
      </m:oMathPara>
      <w:r>
        <w:t xml:space="preserve"> (8)</w:t>
      </w:r>
    </w:p>
    <w:p w14:paraId="16705C4D" w14:textId="77777777" w:rsidR="000019C6" w:rsidRPr="00756D2A" w:rsidRDefault="000019C6" w:rsidP="00756D2A">
      <w:pPr>
        <w:spacing w:line="300" w:lineRule="auto"/>
        <w:jc w:val="both"/>
      </w:pPr>
      <w:r>
        <w:rPr>
          <w:rFonts w:hint="cs"/>
        </w:rPr>
        <w:t xml:space="preserve">where w</w:t>
      </w:r>
      <w:r>
        <w:rPr>
          <w:rFonts w:hint="cs"/>
          <w:vertAlign w:val="subscript"/>
        </w:rPr>
        <w:t xml:space="preserve">30</w:t>
      </w:r>
      <w:r>
        <w:rPr>
          <w:rFonts w:hint="cs"/>
        </w:rPr>
        <w:t xml:space="preserve"> = 0.6826 is the free-float market-capitalization weight of VN30 within VN100 computed from the HOSE factsheet of May 31, 2024 (VND 1,316,288 billion and VND 1,928,303 billion, respectively), implying a scaling factor of 3.151. Because the decomposition is applied to logarithmic rather than arithmetic returns, it carries a small Jensen-inequality term; at the daily frequency this term is 3.6 × 10</w:t>
      </w:r>
      <w:r>
        <w:rPr>
          <w:rFonts w:hint="cs"/>
          <w:vertAlign w:val="superscript"/>
        </w:rPr>
        <w:t xml:space="preserve">−6</w:t>
      </w:r>
      <w:r>
        <w:rPr>
          <w:rFonts w:hint="cs"/>
        </w:rPr>
        <w:t xml:space="preserve"> per day and, accumulated over the reliable daily horizons (up to 50 days), remains below 2.5% of the corresponding cumulative return variance, so its effect on the DCCA estimates is negligible.</w:t>
      </w:r>
    </w:p>
    <w:p w14:paraId="6F91C0D3" w14:textId="3A5D174F" w:rsidR="000019C6" w:rsidRPr="00756D2A" w:rsidRDefault="000019C6" w:rsidP="00756D2A">
      <w:pPr>
        <w:spacing w:line="300" w:lineRule="auto"/>
        <w:jc w:val="both"/>
      </w:pPr>
      <w:r>
        <w:rPr>
          <w:rFonts w:hint="cs"/>
        </w:rPr>
        <w:t xml:space="preserve">For comparison, we examine a statistically weighted proxy (P</w:t>
      </w:r>
      <w:r>
        <w:rPr>
          <w:rFonts w:hint="cs"/>
          <w:vertAlign w:val="subscript"/>
        </w:rPr>
        <w:t xml:space="preserve">heur</w:t>
      </w:r>
      <w:r>
        <w:rPr>
          <w:rFonts w:hint="cs"/>
        </w:rPr>
        <w:t xml:space="preserve">) that replaces the capitalization weight with the volatility-scaled OLS slope:</w:t>
      </w:r>
    </w:p>
    <w:p w14:paraId="459F4A19" w14:textId="77777777" w:rsidR="000019C6" w:rsidRPr="00756D2A" w:rsidRDefault="00000000" w:rsidP="00756D2A">
      <w:pPr>
        <w:spacing w:line="300" w:lineRule="auto"/>
        <w:jc w:val="center"/>
        <w:rPr>
          <w:iCs/>
        </w:rPr>
      </w:pPr>
      <w:r>
        <w:t xml:space="preserve">P</w:t>
      </w:r>
      <w:r>
        <w:rPr>
          <w:vertAlign w:val="subscript"/>
        </w:rPr>
        <w:t xml:space="preserve">heur,t</w:t>
      </w:r>
      <w:r>
        <w:t xml:space="preserve"> = (R</w:t>
      </w:r>
      <w:r>
        <w:rPr>
          <w:vertAlign w:val="subscript"/>
        </w:rPr>
        <w:t xml:space="preserve">100,t</w:t>
      </w:r>
      <w:r>
        <w:t xml:space="preserve"> − w</w:t>
      </w:r>
      <w:r>
        <w:rPr>
          <w:vertAlign w:val="subscript"/>
        </w:rPr>
        <w:t xml:space="preserve">heur</w:t>
      </w:r>
      <w:r>
        <w:t xml:space="preserve">R</w:t>
      </w:r>
      <w:r>
        <w:rPr>
          <w:vertAlign w:val="subscript"/>
        </w:rPr>
        <w:t xml:space="preserve">30,t</w:t>
      </w:r>
      <w:r>
        <w:t xml:space="preserve">) / (1 − w</w:t>
      </w:r>
      <w:r>
        <w:rPr>
          <w:vertAlign w:val="subscript"/>
        </w:rPr>
        <w:t xml:space="preserve">heur</w:t>
      </w:r>
      <w:r>
        <w:t xml:space="preserve">),   w</w:t>
      </w:r>
      <w:r>
        <w:rPr>
          <w:vertAlign w:val="subscript"/>
        </w:rPr>
        <w:t xml:space="preserve">heur</w:t>
      </w:r>
      <w:r>
        <w:t xml:space="preserve"> = β</w:t>
      </w:r>
      <w:r>
        <w:rPr>
          <w:vertAlign w:val="subscript"/>
        </w:rPr>
        <w:t xml:space="preserve">OLS</w:t>
      </w:r>
      <w:r>
        <w:t xml:space="preserve">σ</w:t>
      </w:r>
      <w:r>
        <w:rPr>
          <w:vertAlign w:val="subscript"/>
        </w:rPr>
        <w:t xml:space="preserve">30</w:t>
      </w:r>
      <w:r>
        <w:t xml:space="preserve">/σ</w:t>
      </w:r>
      <w:r>
        <w:rPr>
          <w:vertAlign w:val="subscript"/>
        </w:rPr>
        <w:t xml:space="preserve">100</w:t>
      </w:r>
      <w:r>
        <w:t xml:space="preserve"> = Corr(R</w:t>
      </w:r>
      <w:r>
        <w:rPr>
          <w:vertAlign w:val="subscript"/>
        </w:rPr>
        <w:t xml:space="preserve">30</w:t>
      </w:r>
      <w:r>
        <w:t xml:space="preserve">, R</w:t>
      </w:r>
      <w:r>
        <w:rPr>
          <w:vertAlign w:val="subscript"/>
        </w:rPr>
        <w:t xml:space="preserve">100</w:t>
      </w:r>
      <w:r>
        <w:t xml:space="preserve">).</w:t>
      </w:r>
      <w:r>
        <w:t xml:space="preserve"> (9)</w:t>
      </w:r>
    </w:p>
    <w:p w14:paraId="0AEA8D0F" w14:textId="6B515892" w:rsidR="000019C6" w:rsidRPr="00756D2A" w:rsidRDefault="000019C6" w:rsidP="00756D2A">
      <w:pPr>
        <w:jc w:val="both"/>
      </w:pPr>
      <w:r>
        <w:rPr>
          <w:rFonts w:hint="cs"/>
        </w:rPr>
        <w:t xml:space="preserve">Because the correlation between VN30 and VN100 returns approaches unity (0.9865–0.9885 across frequencies), the denominator collapses toward zero (0.0115–0.0135), amplifying the numerator by a factor of 74 to 87. P</w:t>
      </w:r>
      <w:r>
        <w:rPr>
          <w:rFonts w:hint="cs"/>
          <w:vertAlign w:val="subscript"/>
        </w:rPr>
        <w:t xml:space="preserve">heur</w:t>
      </w:r>
      <w:r>
        <w:rPr>
          <w:rFonts w:hint="cs"/>
        </w:rPr>
        <w:t xml:space="preserve"> therefore behaves as an amplified residual rather than an economic asset proxy: its daily standard deviation is 0.1576, compared with 0.0124 for P</w:t>
      </w:r>
      <w:r>
        <w:rPr>
          <w:rFonts w:hint="cs"/>
          <w:vertAlign w:val="subscript"/>
        </w:rPr>
        <w:t xml:space="preserve">cap</w:t>
      </w:r>
      <w:r>
        <w:rPr>
          <w:rFonts w:hint="cs"/>
        </w:rPr>
        <w:t xml:space="preserve">. In this nested system, statistical weights are a poor substitute for capitalization weights.</w:t>
      </w:r>
    </w:p>
    <w:p w14:paraId="6332221C" w14:textId="7CAAA509" w:rsidR="000019C6" w:rsidRPr="00756D2A" w:rsidRDefault="000019C6" w:rsidP="00756D2A">
      <w:pPr>
        <w:spacing w:line="300" w:lineRule="auto"/>
        <w:jc w:val="both"/>
        <w:rPr>
          <w:lang w:val="vi-VN"/>
        </w:rPr>
      </w:pPr>
      <w:r>
        <w:rPr>
          <w:rFonts w:hint="cs"/>
        </w:rPr>
        <w:t xml:space="preserve">Finally, we construct two baseline statistical proxies for completeness: the ratio-spread proxy (P</w:t>
      </w:r>
      <w:r>
        <w:rPr>
          <w:rFonts w:hint="cs"/>
          <w:vertAlign w:val="subscript"/>
        </w:rPr>
        <w:t xml:space="preserve">ratio</w:t>
      </w:r>
      <w:r>
        <w:rPr>
          <w:rFonts w:hint="cs"/>
        </w:rPr>
        <w:t xml:space="preserve">), defined as the change in the log ratio of VN100 to VN30 and therefore equal to the VN100 return minus the VN30 return, and the orthogonal residual proxy (P</w:t>
      </w:r>
      <w:r>
        <w:rPr>
          <w:rFonts w:hint="cs"/>
          <w:vertAlign w:val="subscript"/>
        </w:rPr>
        <w:t xml:space="preserve">res</w:t>
      </w:r>
      <w:r>
        <w:rPr>
          <w:rFonts w:hint="cs"/>
        </w:rPr>
        <w:t xml:space="preserve">), defined as the residual of the auxiliary regression above. The three statistical proxies are almost perfectly correlated with one another (0.980–0.997).</w:t>
      </w:r>
    </w:p>
    <w:p w14:paraId="155365B7" w14:textId="5102DBDB" w:rsidR="000019C6" w:rsidRPr="00756D2A" w:rsidRDefault="000019C6" w:rsidP="00756D2A">
      <w:pPr>
        <w:spacing w:line="300" w:lineRule="auto"/>
        <w:jc w:val="both"/>
      </w:pPr>
      <w:r>
        <w:rPr>
          <w:rFonts w:hint="cs"/>
        </w:rPr>
        <w:t xml:space="preserve">Because synthesizing P</w:t>
      </w:r>
      <w:r>
        <w:rPr>
          <w:rFonts w:hint="cs"/>
          <w:vertAlign w:val="subscript"/>
        </w:rPr>
        <w:t xml:space="preserve">cap</w:t>
      </w:r>
      <w:r>
        <w:rPr>
          <w:rFonts w:hint="cs"/>
        </w:rPr>
        <w:t xml:space="preserve"> requires a long position of 315% in VN100 and a short position of 215% in VN30, the proxy cannot be executed in cash portfolios under the short-sale prohibition. We therefore treat P</w:t>
      </w:r>
      <w:r>
        <w:rPr>
          <w:rFonts w:hint="cs"/>
          <w:vertAlign w:val="subscript"/>
        </w:rPr>
        <w:t xml:space="preserve">cap</w:t>
      </w:r>
      <w:r>
        <w:rPr>
          <w:rFonts w:hint="cs"/>
        </w:rPr>
        <w:t xml:space="preserve"> as an analytical shadow benchmark that isolates inter-tier economic dependence for risk budgeting.</w:t>
      </w:r>
    </w:p>
    <w:p w14:paraId="3B71D348" w14:textId="77777777" w:rsidR="000019C6" w:rsidRPr="00756D2A" w:rsidRDefault="000019C6" w:rsidP="00756D2A">
      <w:pPr>
        <w:pStyle w:val="heading20"/>
        <w:tabs>
          <w:tab w:val="clear" w:pos="567"/>
          <w:tab w:val="left" w:pos="720"/>
        </w:tabs>
        <w:spacing w:line="300" w:lineRule="auto"/>
        <w:ind w:left="0" w:firstLine="0"/>
        <w:rPr>
          <w:sz w:val="24"/>
          <w:szCs w:val="24"/>
          <w:lang w:val="vi-VN"/>
        </w:rPr>
      </w:pPr>
      <w:r>
        <w:rPr>
          <w:rFonts w:hint="cs"/>
          <w:sz w:val="24"/>
          <w:szCs w:val="24"/>
        </w:rPr>
        <w:t xml:space="preserve">2.3 Rebalancing and Weight Dynamics</w:t>
      </w:r>
    </w:p>
    <w:p w14:paraId="18C334AB" w14:textId="5F6CC570" w:rsidR="000019C6" w:rsidRPr="00756D2A" w:rsidRDefault="000019C6" w:rsidP="00756D2A">
      <w:pPr>
        <w:jc w:val="both"/>
        <w:rPr>
          <w:lang w:val="vi-VN"/>
        </w:rPr>
      </w:pPr>
      <w:r w:rsidRPr="00756D2A">
        <w:rPr>
          <w:rFonts w:hint="cs"/>
        </w:rPr>
        <w:t xml:space="preserve">A key question for the capitalization-weighted proxy </w:t>
      </w:r>
      <w:proofErr w:type="spellStart"/>
      <w:r w:rsidRPr="00756D2A">
        <w:rPr>
          <w:rFonts w:hint="cs"/>
          <w:i/>
        </w:rPr>
        <w:t>P</w:t>
      </w:r>
      <w:r w:rsidRPr="00756D2A">
        <w:rPr>
          <w:rFonts w:hint="cs"/>
          <w:vertAlign w:val="subscript"/>
        </w:rPr>
        <w:t>cap</w:t>
      </w:r>
      <w:proofErr w:type="spellEnd"/>
      <w:r w:rsidRPr="00756D2A">
        <w:rPr>
          <w:rFonts w:hint="cs"/>
        </w:rPr>
        <w:t xml:space="preserve"> is the stability of the constituent free-float market weight </w:t>
      </w:r>
      <w:r w:rsidRPr="00756D2A">
        <w:rPr>
          <w:rFonts w:hint="cs"/>
          <w:i/>
        </w:rPr>
        <w:t>w</w:t>
      </w:r>
      <w:r w:rsidRPr="00756D2A">
        <w:rPr>
          <w:rFonts w:hint="cs"/>
          <w:vertAlign w:val="subscript"/>
        </w:rPr>
        <w:t>30</w:t>
      </w:r>
      <w:r w:rsidRPr="00756D2A">
        <w:rPr>
          <w:rFonts w:hint="cs"/>
        </w:rPr>
        <w:t xml:space="preserve"> over the 2014–2025 sample. </w:t>
      </w:r>
      <w:r w:rsidR="0061428F">
        <w:t xml:space="preserve"/>
      </w:r>
      <w:r w:rsidR="0061428F">
        <w:rPr>
          <w:lang w:val="vi-VN"/>
        </w:rPr>
        <w:t xml:space="preserve"/>
      </w:r>
      <w:r w:rsidRPr="00756D2A">
        <w:rPr>
          <w:rFonts w:hint="cs"/>
        </w:rPr>
        <w:t xml:space="preserve">The HOSE conducts semi-annual constituent reviews. During these reviews, constituent memberships are refreshed, free-float factors (</w:t>
      </w:r>
      <m:oMath>
        <m:r>
          <m:rPr>
            <m:sty m:val="p"/>
          </m:rPr>
          <w:rPr>
            <w:rFonts w:ascii="Cambria Math" w:hAnsi="Cambria Math" w:hint="cs"/>
          </w:rPr>
          <m:t>f</m:t>
        </m:r>
      </m:oMath>
      <w:r w:rsidRPr="00756D2A">
        <w:rPr>
          <w:rFonts w:hint="cs"/>
        </w:rPr>
        <w:t>) are recalibrated, and individual stock weights are adjusted to enforce</w:t>
      </w:r>
      <w:r w:rsidR="005927ED">
        <w:rPr>
          <w:lang w:val="vi-VN"/>
        </w:rPr>
        <w:t xml:space="preserve"> the</w:t>
      </w:r>
      <w:r w:rsidRPr="00756D2A">
        <w:rPr>
          <w:rFonts w:hint="cs"/>
        </w:rPr>
        <w:t xml:space="preserve"> index capping rules. Between these discrete </w:t>
      </w:r>
      <w:r w:rsidRPr="00756D2A">
        <w:rPr>
          <w:rFonts w:hint="cs"/>
        </w:rPr>
        <w:lastRenderedPageBreak/>
        <w:t xml:space="preserve">semi-annual rebalancing dates, constituent market capitalizations drift with relative price movements.</w:t>
      </w:r>
    </w:p>
    <w:p w14:paraId="13C850DA" w14:textId="77777777" w:rsidR="000019C6" w:rsidRPr="00756D2A" w:rsidRDefault="000019C6" w:rsidP="00756D2A">
      <w:pPr>
        <w:jc w:val="both"/>
        <w:rPr>
          <w:lang w:val="vi-VN"/>
        </w:rPr>
      </w:pPr>
      <w:r w:rsidRPr="00756D2A">
        <w:rPr>
          <w:rFonts w:hint="cs"/>
        </w:rPr>
        <w:t xml:space="preserve">When the true historical large-cap weight </w:t>
      </w:r>
      <m:oMath>
        <m:sSub>
          <m:sSubPr>
            <m:ctrlPr>
              <w:rPr>
                <w:rFonts w:ascii="Cambria Math" w:hAnsi="Cambria Math" w:hint="cs"/>
                <w:lang w:eastAsia="zh-CN"/>
              </w:rPr>
            </m:ctrlPr>
          </m:sSubPr>
          <m:e>
            <m:r>
              <w:rPr>
                <w:rFonts w:ascii="Cambria Math" w:hAnsi="Cambria Math" w:hint="cs"/>
              </w:rPr>
              <m:t>w</m:t>
            </m:r>
          </m:e>
          <m:sub>
            <m:r>
              <w:rPr>
                <w:rFonts w:ascii="Cambria Math" w:hAnsi="Cambria Math" w:hint="cs"/>
              </w:rPr>
              <m:t>30</m:t>
            </m:r>
            <m:r>
              <m:rPr>
                <m:sty m:val="p"/>
              </m:rPr>
              <w:rPr>
                <w:rFonts w:ascii="Cambria Math" w:hAnsi="Cambria Math" w:hint="cs"/>
              </w:rPr>
              <m:t>,</m:t>
            </m:r>
            <m:r>
              <w:rPr>
                <w:rFonts w:ascii="Cambria Math" w:hAnsi="Cambria Math" w:hint="cs"/>
              </w:rPr>
              <m:t>t</m:t>
            </m:r>
          </m:sub>
        </m:sSub>
      </m:oMath>
      <w:r w:rsidRPr="00756D2A">
        <w:rPr>
          <w:rFonts w:hint="cs"/>
        </w:rPr>
        <w:t xml:space="preserve"> drifts from the static baseline benchmark </w:t>
      </w:r>
      <m:oMath>
        <m:sSup>
          <m:sSupPr>
            <m:ctrlPr>
              <w:rPr>
                <w:rFonts w:ascii="Cambria Math" w:hAnsi="Cambria Math" w:hint="cs"/>
                <w:lang w:eastAsia="zh-CN"/>
              </w:rPr>
            </m:ctrlPr>
          </m:sSupPr>
          <m:e>
            <m:r>
              <w:rPr>
                <w:rFonts w:ascii="Cambria Math" w:hAnsi="Cambria Math" w:hint="cs"/>
              </w:rPr>
              <m:t>w</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0.6826</m:t>
        </m:r>
      </m:oMath>
      <w:r w:rsidRPr="00756D2A">
        <w:rPr>
          <w:rFonts w:hint="cs"/>
        </w:rPr>
        <w:t>, the return on the proxy extracted using fixed weights satisfies:</w:t>
      </w:r>
    </w:p>
    <w:p w14:paraId="06D26EAD" w14:textId="77777777" w:rsidR="000019C6" w:rsidRPr="00756D2A" w:rsidRDefault="00000000" w:rsidP="00756D2A">
      <w:pPr>
        <w:spacing w:line="300" w:lineRule="auto"/>
        <w:jc w:val="both"/>
      </w:pPr>
      <m:oMathPara>
        <m:oMathParaPr>
          <m:jc m:val="center"/>
        </m:oMathParaPr>
        <m:oMath>
          <m:sSub>
            <m:sSubPr>
              <m:ctrlPr>
                <w:rPr>
                  <w:rFonts w:ascii="Cambria Math" w:hAnsi="Cambria Math" w:hint="cs"/>
                  <w:lang w:eastAsia="zh-CN"/>
                </w:rPr>
              </m:ctrlPr>
            </m:sSubPr>
            <m:e>
              <m:acc>
                <m:accPr>
                  <m:ctrlPr>
                    <w:rPr>
                      <w:rFonts w:ascii="Cambria Math" w:hAnsi="Cambria Math" w:hint="cs"/>
                      <w:lang w:eastAsia="zh-CN"/>
                    </w:rPr>
                  </m:ctrlPr>
                </m:accPr>
                <m:e>
                  <m:r>
                    <m:rPr>
                      <m:sty m:val="p"/>
                    </m:rPr>
                    <w:rPr>
                      <w:rFonts w:ascii="Cambria Math" w:hAnsi="Cambria Math" w:hint="cs"/>
                    </w:rPr>
                    <m:t>R</m:t>
                  </m:r>
                </m:e>
              </m:acc>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mid,t</m:t>
              </m:r>
            </m:sub>
          </m:sSub>
          <m:r>
            <m:rPr>
              <m:sty m:val="p"/>
            </m:rPr>
            <w:rPr>
              <w:rFonts w:ascii="Cambria Math" w:hAnsi="Cambria Math" w:hint="cs"/>
            </w:rPr>
            <m:t>+</m:t>
          </m:r>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30,t</m:t>
                      </m:r>
                    </m:sub>
                  </m:sSub>
                  <m:r>
                    <m:rPr>
                      <m:sty m:val="p"/>
                    </m:rPr>
                    <w:rPr>
                      <w:rFonts w:ascii="Cambria Math" w:hAnsi="Cambria Math" w:hint="cs"/>
                    </w:rPr>
                    <m:t>-</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num>
                <m:den>
                  <m:r>
                    <m:rPr>
                      <m:sty m:val="p"/>
                    </m:rPr>
                    <w:rPr>
                      <w:rFonts w:ascii="Cambria Math" w:hAnsi="Cambria Math" w:hint="cs"/>
                    </w:rPr>
                    <m:t>1-</m:t>
                  </m:r>
                  <m:sSup>
                    <m:sSupPr>
                      <m:ctrlPr>
                        <w:rPr>
                          <w:rFonts w:ascii="Cambria Math" w:hAnsi="Cambria Math" w:hint="cs"/>
                          <w:lang w:eastAsia="zh-CN"/>
                        </w:rPr>
                      </m:ctrlPr>
                    </m:sSupPr>
                    <m:e>
                      <m:r>
                        <m:rPr>
                          <m:sty m:val="p"/>
                        </m:rPr>
                        <w:rPr>
                          <w:rFonts w:ascii="Cambria Math" w:hAnsi="Cambria Math" w:hint="cs"/>
                        </w:rPr>
                        <m:t>w</m:t>
                      </m:r>
                    </m:e>
                    <m:sup>
                      <m:r>
                        <m:rPr>
                          <m:sty m:val="p"/>
                        </m:rPr>
                        <w:rPr>
                          <w:rFonts w:ascii="Cambria Math" w:hAnsi="Cambria Math" w:hint="cs"/>
                        </w:rPr>
                        <m:t>*</m:t>
                      </m:r>
                    </m:sup>
                  </m:sSup>
                </m:den>
              </m:f>
            </m:e>
          </m:d>
          <m:sSub>
            <m:sSubPr>
              <m:ctrlPr>
                <w:rPr>
                  <w:rFonts w:ascii="Cambria Math" w:hAnsi="Cambria Math" w:hint="cs"/>
                  <w:lang w:eastAsia="zh-CN"/>
                </w:rPr>
              </m:ctrlPr>
            </m:sSubPr>
            <m:e>
              <m:r>
                <m:rPr>
                  <m:sty m:val="p"/>
                </m:rPr>
                <w:rPr>
                  <w:rFonts w:ascii="Cambria Math" w:hAnsi="Cambria Math" w:hint="cs"/>
                </w:rPr>
                <m:t>R</m:t>
              </m:r>
            </m:e>
            <m:sub>
              <m:r>
                <m:rPr>
                  <m:sty m:val="p"/>
                </m:rPr>
                <w:rPr>
                  <w:rFonts w:ascii="Cambria Math" w:hAnsi="Cambria Math" w:hint="cs"/>
                </w:rPr>
                <m:t>30,t</m:t>
              </m:r>
            </m:sub>
          </m:sSub>
          <m:r>
            <m:rPr>
              <m:sty m:val="p"/>
            </m:rPr>
            <w:rPr>
              <w:rFonts w:ascii="Cambria Math" w:hAnsi="Cambria Math" w:hint="cs"/>
            </w:rPr>
            <m:t>,</m:t>
          </m:r>
        </m:oMath>
      </m:oMathPara>
      <w:r>
        <w:t xml:space="preserve"> (10)</w:t>
      </w:r>
    </w:p>
    <w:p w14:paraId="51EC8E28" w14:textId="77777777" w:rsidR="000019C6" w:rsidRPr="00756D2A" w:rsidRDefault="000019C6" w:rsidP="00756D2A">
      <w:pPr>
        <w:jc w:val="both"/>
      </w:pPr>
      <w:r>
        <w:rPr>
          <w:rFonts w:hint="cs"/>
        </w:rPr>
        <w:t xml:space="preserve">which introduces a time-varying leakage of large-cap returns into the proxy, proportional to the gap between the true and the baseline weight. Because only one factsheet snapshot of free-float weights is available, we do not reconstruct the historical weight path; instead, Section 3.8.2 re-estimates the key statistics for weights between 0.60 and 0.75, a range that brackets plausible drift around the baseline.</w:t>
      </w:r>
    </w:p>
    <w:p w14:paraId="2827DD1F"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2.4 The Forbes–Rigobon Volatility Conditioning Framework</w:t>
      </w:r>
    </w:p>
    <w:p w14:paraId="1C5ABA3E" w14:textId="77777777" w:rsidR="000019C6" w:rsidRPr="00756D2A" w:rsidRDefault="000019C6" w:rsidP="00756D2A">
      <w:pPr>
        <w:jc w:val="both"/>
      </w:pPr>
      <w:r>
        <w:rPr>
          <w:rFonts w:hint="cs"/>
        </w:rPr>
        <w:t xml:space="preserve">To test whether the rise in cross-correlation during turbulent periods reflects a structural change or volatility expansion, we apply the conditioning framework of Forbes and Rigobon (2002).</w:t>
      </w:r>
    </w:p>
    <w:p w14:paraId="5FA7970A" w14:textId="77777777" w:rsidR="000019C6" w:rsidRPr="00756D2A" w:rsidRDefault="000019C6" w:rsidP="00756D2A">
      <w:pPr>
        <w:jc w:val="both"/>
      </w:pPr>
      <w:r w:rsidRPr="00756D2A">
        <w:rPr>
          <w:rFonts w:hint="cs"/>
        </w:rPr>
        <w:t xml:space="preserve">Let asset returns follow </w:t>
      </w:r>
      <m:oMath>
        <m:sSub>
          <m:sSubPr>
            <m:ctrlPr>
              <w:rPr>
                <w:rFonts w:ascii="Cambria Math" w:hAnsi="Cambria Math" w:hint="cs"/>
                <w:lang w:eastAsia="zh-CN"/>
              </w:rPr>
            </m:ctrlPr>
          </m:sSubPr>
          <m:e>
            <m:r>
              <m:rPr>
                <m:sty m:val="p"/>
              </m:rPr>
              <w:rPr>
                <w:rFonts w:ascii="Cambria Math" w:hAnsi="Cambria Math" w:hint="cs"/>
              </w:rPr>
              <m:t>y</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α</m:t>
            </m:r>
          </m:e>
          <m:sub>
            <m:r>
              <m:rPr>
                <m:sty m:val="p"/>
              </m:rPr>
              <w:rPr>
                <w:rFonts w:ascii="Cambria Math" w:hAnsi="Cambria Math" w:hint="cs"/>
              </w:rPr>
              <m:t>FR</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x</m:t>
            </m:r>
          </m:e>
          <m:sub>
            <m:r>
              <m:rPr>
                <m:sty m:val="p"/>
              </m:rPr>
              <w:rPr>
                <w:rFonts w:ascii="Cambria Math" w:hAnsi="Cambria Math" w:hint="cs"/>
              </w:rPr>
              <m:t>t</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oMath>
      <w:r w:rsidRPr="00756D2A">
        <w:rPr>
          <w:rFonts w:hint="cs"/>
        </w:rPr>
        <w:t xml:space="preserve">, with </w:t>
      </w:r>
      <m:oMath>
        <m:r>
          <m:rPr>
            <m:nor/>
          </m:rPr>
          <w:rPr>
            <w:rFonts w:hint="cs"/>
          </w:rPr>
          <m:t>Var</m:t>
        </m:r>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ε</m:t>
            </m:r>
          </m:e>
          <m:sub>
            <m:r>
              <m:rPr>
                <m:sty m:val="p"/>
              </m:rPr>
              <w:rPr>
                <w:rFonts w:ascii="Cambria Math" w:hAnsi="Cambria Math" w:hint="cs"/>
              </w:rPr>
              <m:t>t</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oMath>
      <w:r w:rsidRPr="00756D2A">
        <w:rPr>
          <w:rFonts w:hint="cs"/>
        </w:rPr>
        <w:t xml:space="preserve"> and cross-market variance </w:t>
      </w: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oMath>
      <w:r w:rsidRPr="00756D2A">
        <w:rPr>
          <w:rFonts w:hint="cs"/>
        </w:rPr>
        <w:t>. The unadjusted sample correlation is:</w:t>
      </w:r>
    </w:p>
    <w:p w14:paraId="3B5A5584" w14:textId="77777777" w:rsidR="000019C6" w:rsidRPr="00756D2A" w:rsidRDefault="000019C6" w:rsidP="00756D2A">
      <w:pPr>
        <w:jc w:val="both"/>
      </w:pPr>
      <m:oMathPara>
        <m:oMathParaPr>
          <m:jc m:val="center"/>
        </m:oMathParaPr>
        <m:oMath>
          <m:r>
            <m:rPr>
              <m:sty m:val="p"/>
            </m:rPr>
            <w:rPr>
              <w:rFonts w:ascii="Cambria Math" w:hAnsi="Cambria Math" w:hint="cs"/>
            </w:rPr>
            <m:t>ρ=</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β</m:t>
                  </m:r>
                </m:e>
                <m:sub>
                  <m:r>
                    <m:rPr>
                      <m:sty m:val="p"/>
                    </m:rPr>
                    <w:rPr>
                      <w:rFonts w:ascii="Cambria Math" w:hAnsi="Cambria Math" w:hint="cs"/>
                    </w:rPr>
                    <m:t>FR</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x</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y</m:t>
                  </m:r>
                </m:sub>
              </m:sSub>
            </m:den>
          </m:f>
          <m:r>
            <m:rPr>
              <m:sty m:val="p"/>
            </m:rPr>
            <w:rPr>
              <w:rFonts w:ascii="Cambria Math" w:hAnsi="Cambria Math" w:hint="cs"/>
            </w:rPr>
            <m:t>=</m:t>
          </m:r>
          <m:f>
            <m:fPr>
              <m:ctrlPr>
                <w:rPr>
                  <w:rFonts w:ascii="Cambria Math" w:hAnsi="Cambria Math" w:hint="cs"/>
                  <w:lang w:eastAsia="zh-CN"/>
                </w:rPr>
              </m:ctrlPr>
            </m:fPr>
            <m:num>
              <m:r>
                <m:rPr>
                  <m:sty m:val="p"/>
                </m:rPr>
                <w:rPr>
                  <w:rFonts w:ascii="Cambria Math" w:hAnsi="Cambria Math" w:hint="cs"/>
                </w:rPr>
                <m:t>1</m:t>
              </m:r>
            </m:num>
            <m:den>
              <m:rad>
                <m:radPr>
                  <m:degHide m:val="1"/>
                  <m:ctrlPr>
                    <w:rPr>
                      <w:rFonts w:ascii="Cambria Math" w:hAnsi="Cambria Math" w:hint="cs"/>
                      <w:lang w:eastAsia="zh-CN"/>
                    </w:rPr>
                  </m:ctrlPr>
                </m:radPr>
                <m:deg/>
                <m:e>
                  <m:r>
                    <m:rPr>
                      <m:sty m:val="p"/>
                    </m:rPr>
                    <w:rPr>
                      <w:rFonts w:ascii="Cambria Math" w:hAnsi="Cambria Math" w:hint="cs"/>
                    </w:rPr>
                    <m:t>1+</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ε</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β</m:t>
                          </m:r>
                        </m:e>
                        <m:sub>
                          <m:r>
                            <m:rPr>
                              <m:sty m:val="p"/>
                            </m:rPr>
                            <w:rPr>
                              <w:rFonts w:ascii="Cambria Math" w:hAnsi="Cambria Math" w:hint="cs"/>
                            </w:rPr>
                            <m:t>FR</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m:t>
                          </m:r>
                        </m:sub>
                        <m:sup>
                          <m:r>
                            <m:rPr>
                              <m:sty m:val="p"/>
                            </m:rPr>
                            <w:rPr>
                              <w:rFonts w:ascii="Cambria Math" w:hAnsi="Cambria Math" w:hint="cs"/>
                            </w:rPr>
                            <m:t>2</m:t>
                          </m:r>
                        </m:sup>
                      </m:sSubSup>
                    </m:den>
                  </m:f>
                </m:e>
              </m:rad>
            </m:den>
          </m:f>
          <m:r>
            <m:rPr>
              <m:sty m:val="p"/>
            </m:rPr>
            <w:rPr>
              <w:rFonts w:ascii="Cambria Math" w:hAnsi="Cambria Math" w:hint="cs"/>
            </w:rPr>
            <m:t>.</m:t>
          </m:r>
        </m:oMath>
      </m:oMathPara>
      <w:r>
        <w:t xml:space="preserve"> (11)</w:t>
      </w:r>
    </w:p>
    <w:p w14:paraId="138F7E99" w14:textId="77777777" w:rsidR="000019C6" w:rsidRPr="00756D2A" w:rsidRDefault="000019C6" w:rsidP="00756D2A">
      <w:pPr>
        <w:jc w:val="both"/>
      </w:pPr>
      <w:r>
        <w:rPr>
          <w:rFonts w:hint="cs"/>
        </w:rPr>
        <w:t xml:space="preserve">As market volatility rises from a calm to a crisis regime, the unadjusted correlation moves toward one because the variance of the conditioning market rises, even when the structural slope and residual variance remain constant.</w:t>
      </w:r>
    </w:p>
    <w:p w14:paraId="02F87EAA" w14:textId="1A36D853" w:rsidR="000019C6" w:rsidRPr="00756D2A" w:rsidRDefault="000019C6" w:rsidP="00756D2A">
      <w:pPr>
        <w:jc w:val="both"/>
      </w:pPr>
      <w:r w:rsidRPr="00756D2A">
        <w:rPr>
          <w:rFonts w:hint="cs"/>
        </w:rPr>
        <w:t xml:space="preserve">To eliminate this conditioning bias, Forbes and </w:t>
      </w:r>
      <w:proofErr w:type="spellStart"/>
      <w:r w:rsidRPr="00756D2A">
        <w:rPr>
          <w:rFonts w:hint="cs"/>
        </w:rPr>
        <w:t>Rigobon</w:t>
      </w:r>
      <w:proofErr w:type="spellEnd"/>
      <w:r w:rsidRPr="00756D2A">
        <w:rPr>
          <w:rFonts w:hint="cs"/>
        </w:rPr>
        <w:t xml:space="preserve"> define the unconditional correlation</w:t>
      </w:r>
      <w:r w:rsidR="00596D20">
        <w:rPr>
          <w:lang w:val="vi-VN"/>
        </w:rPr>
        <w:t xml:space="preserve"> as follows</w:t>
      </w:r>
      <w:r w:rsidRPr="00756D2A">
        <w:rPr>
          <w:rFonts w:hint="cs"/>
        </w:rPr>
        <w:t>:</w:t>
      </w:r>
    </w:p>
    <w:p w14:paraId="121FF363" w14:textId="77777777" w:rsidR="000019C6" w:rsidRPr="00756D2A" w:rsidRDefault="00000000" w:rsidP="00756D2A">
      <w:pPr>
        <w:jc w:val="both"/>
      </w:pPr>
      <m:oMathPara>
        <m:oMathParaPr>
          <m:jc m:val="center"/>
        </m:oMathParaPr>
        <m:oMath>
          <m:sSup>
            <m:sSupPr>
              <m:ctrlPr>
                <w:rPr>
                  <w:rFonts w:ascii="Cambria Math" w:hAnsi="Cambria Math" w:hint="cs"/>
                  <w:lang w:eastAsia="zh-CN"/>
                </w:rPr>
              </m:ctrlPr>
            </m:sSupPr>
            <m:e>
              <m:r>
                <m:rPr>
                  <m:sty m:val="p"/>
                </m:rPr>
                <w:rPr>
                  <w:rFonts w:ascii="Cambria Math" w:hAnsi="Cambria Math" w:hint="cs"/>
                </w:rPr>
                <m:t>ρ</m:t>
              </m:r>
            </m:e>
            <m:sup>
              <m:r>
                <m:rPr>
                  <m:sty m:val="p"/>
                </m:rPr>
                <w:rPr>
                  <w:rFonts w:ascii="Cambria Math" w:hAnsi="Cambria Math" w:hint="cs"/>
                </w:rPr>
                <m:t>*</m:t>
              </m:r>
            </m:sup>
          </m:sSup>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high</m:t>
                  </m:r>
                </m:sub>
              </m:sSub>
            </m:num>
            <m:den>
              <m:rad>
                <m:radPr>
                  <m:degHide m:val="1"/>
                  <m:ctrlPr>
                    <w:rPr>
                      <w:rFonts w:ascii="Cambria Math" w:hAnsi="Cambria Math" w:hint="cs"/>
                      <w:lang w:eastAsia="zh-CN"/>
                    </w:rPr>
                  </m:ctrlPr>
                </m:radPr>
                <m:deg/>
                <m:e>
                  <m:r>
                    <m:rPr>
                      <m:sty m:val="p"/>
                    </m:rPr>
                    <w:rPr>
                      <w:rFonts w:ascii="Cambria Math" w:hAnsi="Cambria Math" w:hint="cs"/>
                    </w:rPr>
                    <m:t>1+δ</m:t>
                  </m:r>
                  <m:d>
                    <m:dPr>
                      <m:ctrlPr>
                        <w:rPr>
                          <w:rFonts w:ascii="Cambria Math" w:hAnsi="Cambria Math" w:hint="cs"/>
                          <w:lang w:eastAsia="zh-CN"/>
                        </w:rPr>
                      </m:ctrlPr>
                    </m:dPr>
                    <m:e>
                      <m:r>
                        <m:rPr>
                          <m:sty m:val="p"/>
                        </m:rPr>
                        <w:rPr>
                          <w:rFonts w:ascii="Cambria Math" w:hAnsi="Cambria Math" w:hint="cs"/>
                        </w:rPr>
                        <m:t>1-</m:t>
                      </m:r>
                      <m:sSubSup>
                        <m:sSubSupPr>
                          <m:ctrlPr>
                            <w:rPr>
                              <w:rFonts w:ascii="Cambria Math" w:hAnsi="Cambria Math" w:hint="cs"/>
                              <w:lang w:eastAsia="zh-CN"/>
                            </w:rPr>
                          </m:ctrlPr>
                        </m:sSubSupPr>
                        <m:e>
                          <m:r>
                            <m:rPr>
                              <m:sty m:val="p"/>
                            </m:rPr>
                            <w:rPr>
                              <w:rFonts w:ascii="Cambria Math" w:hAnsi="Cambria Math" w:hint="cs"/>
                            </w:rPr>
                            <m:t>ρ</m:t>
                          </m:r>
                        </m:e>
                        <m:sub>
                          <m:r>
                            <m:rPr>
                              <m:sty m:val="p"/>
                            </m:rPr>
                            <w:rPr>
                              <w:rFonts w:ascii="Cambria Math" w:hAnsi="Cambria Math" w:hint="cs"/>
                            </w:rPr>
                            <m:t>high</m:t>
                          </m:r>
                        </m:sub>
                        <m:sup>
                          <m:r>
                            <m:rPr>
                              <m:sty m:val="p"/>
                            </m:rPr>
                            <w:rPr>
                              <w:rFonts w:ascii="Cambria Math" w:hAnsi="Cambria Math" w:hint="cs"/>
                            </w:rPr>
                            <m:t>2</m:t>
                          </m:r>
                        </m:sup>
                      </m:sSubSup>
                    </m:e>
                  </m:d>
                </m:e>
              </m:rad>
            </m:den>
          </m:f>
          <m:r>
            <m:rPr>
              <m:sty m:val="p"/>
            </m:rPr>
            <w:rPr>
              <w:rFonts w:ascii="Cambria Math" w:hAnsi="Cambria Math" w:hint="cs"/>
            </w:rPr>
            <m:t>, </m:t>
          </m:r>
          <m:r>
            <m:rPr>
              <m:nor/>
            </m:rPr>
            <w:rPr>
              <w:rFonts w:hint="cs"/>
            </w:rPr>
            <m:t xml:space="preserve">where </m:t>
          </m:r>
          <m:r>
            <m:rPr>
              <m:sty m:val="p"/>
            </m:rPr>
            <w:rPr>
              <w:rFonts w:ascii="Cambria Math" w:hAnsi="Cambria Math" w:hint="cs"/>
            </w:rPr>
            <m:t>δ=</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x,high</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x,low</m:t>
                  </m:r>
                </m:sub>
                <m:sup>
                  <m:r>
                    <m:rPr>
                      <m:sty m:val="p"/>
                    </m:rPr>
                    <w:rPr>
                      <w:rFonts w:ascii="Cambria Math" w:hAnsi="Cambria Math" w:hint="cs"/>
                    </w:rPr>
                    <m:t>2</m:t>
                  </m:r>
                </m:sup>
              </m:sSubSup>
            </m:den>
          </m:f>
          <m:r>
            <m:rPr>
              <m:sty m:val="p"/>
            </m:rPr>
            <w:rPr>
              <w:rFonts w:ascii="Cambria Math" w:hAnsi="Cambria Math" w:hint="cs"/>
            </w:rPr>
            <m:t>.</m:t>
          </m:r>
        </m:oMath>
      </m:oMathPara>
      <w:r>
        <w:t xml:space="preserve"> (12)</w:t>
      </w:r>
    </w:p>
    <w:p w14:paraId="6EC8D636" w14:textId="51170F41" w:rsidR="000019C6" w:rsidRPr="00756D2A" w:rsidRDefault="000019C6" w:rsidP="00756D2A">
      <w:pPr>
        <w:jc w:val="both"/>
      </w:pPr>
      <w:r>
        <w:rPr>
          <w:rFonts w:hint="cs"/>
        </w:rPr>
        <w:t xml:space="preserve">The Forbes–Rigobon identifying assumptions require that the conditioning benchmark be exogenous, with no contemporaneous feedback from the dependent series. This condition is plausible for the disjoint pair P</w:t>
      </w:r>
      <w:r>
        <w:rPr>
          <w:rFonts w:hint="cs"/>
          <w:vertAlign w:val="subscript"/>
        </w:rPr>
        <w:t xml:space="preserve">cap</w:t>
      </w:r>
      <w:r>
        <w:rPr>
          <w:rFonts w:hint="cs"/>
        </w:rPr>
        <w:t xml:space="preserve">–VN30, in which large-cap returns serve as the market benchmark and the purged mid-cap component shares no constituents with VN30. For nested pairs (VN30–VN100, VN30–VNINDEX and VN100–VNINDEX), the assumption is violated by construction because VN30 accounts for over two-thirds of VN100 capitalization, so conditioning formulas yield unidentified parameters. Regime correlations are Pearson correlations of daily returns within each regime, and δ is the relative increase in the variance of VN30 returns, so that the correction and the correlation refer to the same measure. We restrict the formal test of a structural correlation increase to the P</w:t>
      </w:r>
      <w:r>
        <w:rPr>
          <w:rFonts w:hint="cs"/>
          <w:vertAlign w:val="subscript"/>
        </w:rPr>
        <w:t xml:space="preserve">cap</w:t>
      </w:r>
      <w:r>
        <w:rPr>
          <w:rFonts w:hint="cs"/>
        </w:rPr>
        <w:t xml:space="preserve">–VN30 pair.</w:t>
      </w:r>
    </w:p>
    <w:p w14:paraId="29CEBDC5" w14:textId="093FC2FE" w:rsidR="000019C6" w:rsidRPr="00756D2A" w:rsidRDefault="00EE4F44" w:rsidP="00756D2A">
      <w:pPr>
        <w:jc w:val="both"/>
      </w:pPr>
      <w:r>
        <w:t xml:space="preserve">The framework has an identification limit under acute stress. Severe downturns on the HOSE can trigger retail margin calls and synchronized liquidations across large-cap and mid-cap stocks. This two-way selling pressure weakens the exogeneity condition, so we interpret the adjusted correlation as cross-tier dependence under liquidity-constrained stress, not as one-way shock transmission from large caps to mid-caps.</w:t>
      </w:r>
    </w:p>
    <w:p w14:paraId="45E02960" w14:textId="77777777" w:rsidR="00EE4F44" w:rsidRDefault="000019C6" w:rsidP="00756D2A">
      <w:pPr>
        <w:jc w:val="both"/>
        <w:rPr/>
      </w:pPr>
      <w:r>
        <w:t xml:space="preserve">Inference uses a stationary block bootstrap (mean block length 20 trading days) applied separately within each regime; each of 1,999 replications recomputes the calm and crisis correlations and δ. We report a percentile 95% interval for the difference between the adjusted crisis correlation and the calm correlation, a one-sided bootstrap p-value for the null of no increase, and the power to detect an increase of 0.05.</w:t>
      </w:r>
    </w:p>
    <w:p w14:paraId="7DCA4FB1"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2.5 Log-Linear Scale Regressions and the Epps Effect</w:t>
      </w:r>
    </w:p>
    <w:p w14:paraId="55603B73" w14:textId="50F2B480" w:rsidR="000019C6" w:rsidRPr="00756D2A" w:rsidRDefault="000019C6" w:rsidP="00756D2A">
      <w:pPr>
        <w:jc w:val="both"/>
      </w:pPr>
      <w:r>
        <w:rPr>
          <w:rFonts w:hint="cs"/>
        </w:rPr>
        <w:t xml:space="preserve">To evaluate how cross-correlation scales with the investment horizon, we regress the DCCA coefficient of each index pair at each trading frequency on the logarithm of the timescale; the slope coefficient is the multiscale scaling slope:</w:t>
      </w:r>
    </w:p>
    <w:p w14:paraId="67D5983F"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w:rPr>
                  <w:rFonts w:ascii="Cambria Math" w:hAnsi="Cambria Math" w:hint="cs"/>
                </w:rPr>
                <m:t>ρ</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α</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β</m:t>
              </m:r>
            </m:e>
            <m:sub>
              <m:r>
                <w:rPr>
                  <w:rFonts w:ascii="Cambria Math" w:hAnsi="Cambria Math" w:hint="cs"/>
                </w:rPr>
                <m:t>scale</m:t>
              </m:r>
              <m:r>
                <m:rPr>
                  <m:sty m:val="p"/>
                </m:rPr>
                <w:rPr>
                  <w:rFonts w:ascii="Cambria Math" w:hAnsi="Cambria Math" w:hint="cs"/>
                </w:rPr>
                <m:t>,</m:t>
              </m:r>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ln(</m:t>
          </m:r>
          <m:r>
            <w:rPr>
              <w:rFonts w:ascii="Cambria Math" w:hAnsi="Cambria Math" w:hint="cs"/>
            </w:rPr>
            <m:t>s</m:t>
          </m:r>
          <m:r>
            <m:rPr>
              <m:sty m:val="p"/>
            </m:rPr>
            <w:rPr>
              <w:rFonts w:ascii="Cambria Math" w:hAnsi="Cambria Math" w:hint="cs"/>
            </w:rPr>
            <m:t>)+</m:t>
          </m:r>
          <m:sSub>
            <m:sSubPr>
              <m:ctrlPr>
                <w:rPr>
                  <w:rFonts w:ascii="Cambria Math" w:hAnsi="Cambria Math" w:hint="cs"/>
                  <w:lang w:eastAsia="zh-CN"/>
                </w:rPr>
              </m:ctrlPr>
            </m:sSubPr>
            <m:e>
              <m:r>
                <w:rPr>
                  <w:rFonts w:ascii="Cambria Math" w:hAnsi="Cambria Math" w:hint="cs"/>
                </w:rPr>
                <m:t>ε</m:t>
              </m:r>
            </m:e>
            <m:sub>
              <m:r>
                <w:rPr>
                  <w:rFonts w:ascii="Cambria Math" w:hAnsi="Cambria Math" w:hint="cs"/>
                </w:rPr>
                <m:t>i</m:t>
              </m:r>
              <m:r>
                <m:rPr>
                  <m:sty m:val="p"/>
                </m:rPr>
                <w:rPr>
                  <w:rFonts w:ascii="Cambria Math" w:hAnsi="Cambria Math" w:hint="cs"/>
                </w:rPr>
                <m:t>,</m:t>
              </m:r>
              <m:r>
                <w:rPr>
                  <w:rFonts w:ascii="Cambria Math" w:hAnsi="Cambria Math" w:hint="cs"/>
                </w:rPr>
                <m:t>j</m:t>
              </m:r>
              <m:r>
                <m:rPr>
                  <m:sty m:val="p"/>
                </m:rPr>
                <w:rPr>
                  <w:rFonts w:ascii="Cambria Math" w:hAnsi="Cambria Math" w:hint="cs"/>
                </w:rPr>
                <m:t>,</m:t>
              </m:r>
              <m:r>
                <w:rPr>
                  <w:rFonts w:ascii="Cambria Math" w:hAnsi="Cambria Math" w:hint="cs"/>
                </w:rPr>
                <m:t>f</m:t>
              </m:r>
            </m:sub>
          </m:sSub>
          <m:r>
            <m:rPr>
              <m:sty m:val="p"/>
            </m:rPr>
            <w:rPr>
              <w:rFonts w:ascii="Cambria Math" w:hAnsi="Cambria Math" w:hint="cs"/>
            </w:rPr>
            <m:t>(</m:t>
          </m:r>
          <m:r>
            <w:rPr>
              <w:rFonts w:ascii="Cambria Math" w:hAnsi="Cambria Math" w:hint="cs"/>
            </w:rPr>
            <m:t>s</m:t>
          </m:r>
          <m:r>
            <m:rPr>
              <m:sty m:val="p"/>
            </m:rPr>
            <w:rPr>
              <w:rFonts w:ascii="Cambria Math" w:hAnsi="Cambria Math" w:hint="cs"/>
            </w:rPr>
            <m:t>),</m:t>
          </m:r>
        </m:oMath>
      </m:oMathPara>
      <w:r>
        <w:t xml:space="preserve"> (13)</w:t>
      </w:r>
    </w:p>
    <w:p w14:paraId="083E9131" w14:textId="77777777" w:rsidR="000019C6" w:rsidRPr="00756D2A" w:rsidRDefault="000019C6" w:rsidP="00756D2A">
      <w:pPr>
        <w:jc w:val="both"/>
      </w:pPr>
      <w:r>
        <w:rPr>
          <w:rFonts w:hint="cs"/>
        </w:rPr>
        <w:t xml:space="preserve">with the timescale evaluated on 30 logarithmically spaced points between 5 bars and one quarter of the sample length (5 to 5,485 bars at M30), and separately on the reliable range of Section 3.3. Because the DCCA coefficients at different scales are functionals of the same two series, the regression residuals are not independent across scales. Inference therefore resamples the data rather than the scales: a stationary block bootstrap of the bivariate return series (499 replications, mean block length of about 20 trading days) recomputes the whole DCCA curve and its slope in each replicate, and we report percentile 95% intervals. The same bootstrap provides the intervals for the average correlations in Table 2.</w:t>
      </w:r>
    </w:p>
    <w:p w14:paraId="6354B248" w14:textId="7A83FCA1" w:rsidR="000019C6" w:rsidRPr="00756D2A" w:rsidRDefault="000019C6" w:rsidP="00756D2A">
      <w:pPr>
        <w:jc w:val="both"/>
      </w:pPr>
      <w:r>
        <w:rPr>
          <w:rFonts w:hint="cs"/>
        </w:rPr>
        <w:t xml:space="preserve">We also account for the Epps (1979) effect: at high frequencies (M30, H1), non-synchronous transactions between liquid VN30 large caps and less liquid mid-caps depress the correlation at small timescales (roughly ten bars or fewer). As the timescale increases, aggregation synchronizes price discovery and can produce a positive scaling slope; gradual information diffusion (Hong and Stein 1999) can have the same effect. Section 3.7 tests whether such slopes are present.</w:t>
      </w:r>
    </w:p>
    <w:bookmarkEnd w:id="77"/>
    <w:p w14:paraId="434857D0"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2.6 The MF-DCCA Extension</w:t>
      </w:r>
    </w:p>
    <w:p w14:paraId="495D905E" w14:textId="5CC11F3A" w:rsidR="000019C6" w:rsidRPr="00756D2A" w:rsidRDefault="000019C6" w:rsidP="00756D2A">
      <w:pPr>
        <w:jc w:val="both"/>
      </w:pPr>
      <w:r>
        <w:rPr>
          <w:rFonts w:hint="cs"/>
        </w:rPr>
        <w:t xml:space="preserve">To capture multifractal heterogeneity across fluctuation magnitudes, we implement the MF-DCCA of Zhou (2008) using absolute local covariances to avoid complex-valued moments, an issue discussed by Oświęcimka et al. (2014), incorporating bivariate moving-average formalisms (Jiang and Zhou 2011). The q-th order fluctuation function is:</w:t>
      </w:r>
    </w:p>
    <w:p w14:paraId="25783CC4" w14:textId="77777777" w:rsidR="000019C6" w:rsidRPr="00756D2A" w:rsidRDefault="000019C6" w:rsidP="00756D2A">
      <w:pPr>
        <w:jc w:val="both"/>
      </w:pPr>
    </w:p>
    <w:p w14:paraId="10C00425" w14:textId="77777777" w:rsidR="000019C6" w:rsidRPr="00756D2A" w:rsidRDefault="00000000" w:rsidP="00756D2A">
      <w:pPr>
        <w:jc w:val="both"/>
      </w:pPr>
      <m:oMathPara>
        <m:oMathParaPr>
          <m:jc m:val="center"/>
        </m:oMathParaPr>
        <m:oMath>
          <m:sSub>
            <m:sSubPr>
              <m:ctrlPr>
                <w:rPr>
                  <w:rFonts w:ascii="Cambria Math" w:hAnsi="Cambria Math" w:hint="cs"/>
                  <w:lang w:eastAsia="zh-CN"/>
                </w:rPr>
              </m:ctrlPr>
            </m:sSubPr>
            <m:e>
              <m:r>
                <m:rPr>
                  <m:sty m:val="p"/>
                </m:rPr>
                <w:rPr>
                  <w:rFonts w:ascii="Cambria Math" w:hAnsi="Cambria Math" w:hint="cs"/>
                </w:rPr>
                <m:t>F</m:t>
              </m:r>
            </m:e>
            <m:sub>
              <m:r>
                <m:rPr>
                  <m:sty m:val="p"/>
                </m:rPr>
                <w:rPr>
                  <w:rFonts w:ascii="Cambria Math" w:hAnsi="Cambria Math" w:hint="cs"/>
                </w:rPr>
                <m:t>q</m:t>
              </m:r>
            </m:sub>
          </m:sSub>
          <m:r>
            <m:rPr>
              <m:sty m:val="p"/>
            </m:rPr>
            <w:rPr>
              <w:rFonts w:ascii="Cambria Math" w:hAnsi="Cambria Math" w:hint="cs"/>
            </w:rPr>
            <m:t>(s)≡</m:t>
          </m:r>
          <m:sSup>
            <m:sSupPr>
              <m:ctrlPr>
                <w:rPr>
                  <w:rFonts w:ascii="Cambria Math" w:hAnsi="Cambria Math" w:hint="cs"/>
                  <w:lang w:eastAsia="zh-CN"/>
                </w:rPr>
              </m:ctrlPr>
            </m:sSupPr>
            <m:e>
              <m:d>
                <m:dPr>
                  <m:ctrlPr>
                    <w:rPr>
                      <w:rFonts w:ascii="Cambria Math" w:hAnsi="Cambria Math" w:hint="cs"/>
                      <w:lang w:eastAsia="zh-CN"/>
                    </w:rPr>
                  </m:ctrlPr>
                </m:dPr>
                <m:e>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den>
                  </m:f>
                  <m:nary>
                    <m:naryPr>
                      <m:chr m:val="∑"/>
                      <m:limLoc m:val="undOvr"/>
                      <m:ctrlPr>
                        <w:rPr>
                          <w:rFonts w:ascii="Cambria Math" w:hAnsi="Cambria Math" w:hint="cs"/>
                          <w:lang w:eastAsia="zh-CN"/>
                        </w:rPr>
                      </m:ctrlPr>
                    </m:naryPr>
                    <m:sub>
                      <m:r>
                        <m:rPr>
                          <m:sty m:val="p"/>
                        </m:rPr>
                        <w:rPr>
                          <w:rFonts w:ascii="Cambria Math" w:hAnsi="Cambria Math" w:hint="cs"/>
                        </w:rPr>
                        <m:t>ν=1</m:t>
                      </m:r>
                    </m:sub>
                    <m: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N</m:t>
                          </m:r>
                        </m:e>
                        <m:sub>
                          <m:r>
                            <m:rPr>
                              <m:sty m:val="p"/>
                            </m:rPr>
                            <w:rPr>
                              <w:rFonts w:ascii="Cambria Math" w:hAnsi="Cambria Math" w:hint="cs"/>
                            </w:rPr>
                            <m:t>s</m:t>
                          </m:r>
                        </m:sub>
                      </m:sSub>
                    </m:sup>
                    <m:e>
                      <m:sSup>
                        <m:sSupPr>
                          <m:ctrlPr>
                            <w:rPr>
                              <w:rFonts w:ascii="Cambria Math" w:hAnsi="Cambria Math" w:hint="cs"/>
                              <w:lang w:eastAsia="zh-CN"/>
                            </w:rPr>
                          </m:ctrlPr>
                        </m:sSupPr>
                        <m:e>
                          <m:d>
                            <m:dPr>
                              <m:begChr m:val="|"/>
                              <m:endChr m:val="|"/>
                              <m:ctrlPr>
                                <w:rPr>
                                  <w:rFonts w:ascii="Cambria Math" w:hAnsi="Cambria Math" w:hint="cs"/>
                                  <w:lang w:eastAsia="zh-CN"/>
                                </w:rPr>
                              </m:ctrlPr>
                            </m:dPr>
                            <m:e>
                              <m:sSubSup>
                                <m:sSubSupPr>
                                  <m:ctrlPr>
                                    <w:rPr>
                                      <w:rFonts w:ascii="Cambria Math" w:hAnsi="Cambria Math" w:hint="cs"/>
                                      <w:lang w:eastAsia="zh-CN"/>
                                    </w:rPr>
                                  </m:ctrlPr>
                                </m:sSubSupPr>
                                <m:e>
                                  <m:r>
                                    <m:rPr>
                                      <m:sty m:val="p"/>
                                    </m:rPr>
                                    <w:rPr>
                                      <w:rFonts w:ascii="Cambria Math" w:hAnsi="Cambria Math" w:hint="cs"/>
                                    </w:rPr>
                                    <m:t>f</m:t>
                                  </m:r>
                                </m:e>
                                <m:sub>
                                  <m:r>
                                    <m:rPr>
                                      <m:sty m:val="p"/>
                                    </m:rPr>
                                    <w:rPr>
                                      <w:rFonts w:ascii="Cambria Math" w:hAnsi="Cambria Math" w:hint="cs"/>
                                    </w:rPr>
                                    <m:t>DCCA</m:t>
                                  </m:r>
                                </m:sub>
                                <m:sup>
                                  <m:r>
                                    <m:rPr>
                                      <m:sty m:val="p"/>
                                    </m:rPr>
                                    <w:rPr>
                                      <w:rFonts w:ascii="Cambria Math" w:hAnsi="Cambria Math" w:hint="cs"/>
                                    </w:rPr>
                                    <m:t>2</m:t>
                                  </m:r>
                                </m:sup>
                              </m:sSubSup>
                              <m:r>
                                <m:rPr>
                                  <m:sty m:val="p"/>
                                </m:rPr>
                                <w:rPr>
                                  <w:rFonts w:ascii="Cambria Math" w:hAnsi="Cambria Math" w:hint="cs"/>
                                </w:rPr>
                                <m:t>(s,ν)</m:t>
                              </m:r>
                            </m:e>
                          </m:d>
                        </m:e>
                        <m:sup>
                          <m:r>
                            <m:rPr>
                              <m:sty m:val="p"/>
                            </m:rPr>
                            <w:rPr>
                              <w:rFonts w:ascii="Cambria Math" w:hAnsi="Cambria Math" w:hint="cs"/>
                            </w:rPr>
                            <m:t>q/2</m:t>
                          </m:r>
                        </m:sup>
                      </m:sSup>
                    </m:e>
                  </m:nary>
                </m:e>
              </m:d>
            </m:e>
            <m:sup>
              <m:r>
                <m:rPr>
                  <m:sty m:val="p"/>
                </m:rPr>
                <w:rPr>
                  <w:rFonts w:ascii="Cambria Math" w:hAnsi="Cambria Math" w:hint="cs"/>
                </w:rPr>
                <m:t>1/q</m:t>
              </m:r>
            </m:sup>
          </m:sSup>
          <m:r>
            <m:rPr>
              <m:sty m:val="p"/>
            </m:rPr>
            <w:rPr>
              <w:rFonts w:ascii="Cambria Math" w:hAnsi="Cambria Math" w:hint="cs"/>
            </w:rPr>
            <m:t>, q∈[-5,5]\{0}.</m:t>
          </m:r>
        </m:oMath>
      </m:oMathPara>
      <w:r>
        <w:t xml:space="preserve"> (14)</w:t>
      </w:r>
    </w:p>
    <w:p w14:paraId="316BCA39" w14:textId="0CBDA958" w:rsidR="000019C6" w:rsidRPr="00756D2A" w:rsidRDefault="000019C6" w:rsidP="00756D2A">
      <w:pPr>
        <w:jc w:val="both"/>
      </w:pPr>
      <w:r>
        <w:rPr>
          <w:rFonts w:hint="cs"/>
        </w:rPr>
        <w:t xml:space="preserve">Because q = 0 is excluded from the grid, no logarithmic limit is required; segments with zero local covariance are discarded. The generalized cross-correlation exponent h(q) is the slope of the log fluctuation function against the log timescale over 24 logarithmically spaced scales. Through the Legendre transform, the singularity strength α and the spectrum f(α) are:</w:t>
      </w:r>
    </w:p>
    <w:p w14:paraId="6E75C13F" w14:textId="77777777" w:rsidR="000019C6" w:rsidRPr="00756D2A" w:rsidRDefault="000019C6" w:rsidP="00756D2A">
      <w:pPr>
        <w:jc w:val="both"/>
      </w:pPr>
      <m:oMathPara>
        <m:oMathParaPr>
          <m:jc m:val="center"/>
        </m:oMathParaPr>
        <m:oMath>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q</m:t>
          </m:r>
          <m:sSup>
            <m:sSupPr>
              <m:ctrlPr>
                <w:rPr>
                  <w:rFonts w:ascii="Cambria Math" w:hAnsi="Cambria Math" w:hint="cs"/>
                  <w:lang w:eastAsia="zh-CN"/>
                </w:rPr>
              </m:ctrlPr>
            </m:sSupPr>
            <m:e>
              <m:r>
                <w:rPr>
                  <w:rFonts w:ascii="Cambria Math" w:hAnsi="Cambria Math" w:hint="cs"/>
                </w:rPr>
                <m:t>h</m:t>
              </m:r>
            </m:e>
            <m:sup>
              <m:r>
                <m:rPr>
                  <m:sty m:val="p"/>
                </m:rPr>
                <w:rPr>
                  <w:rFonts w:ascii="Cambria Math" w:hAnsi="Cambria Math" w:hint="cs"/>
                </w:rPr>
                <m:t>'</m:t>
              </m:r>
            </m:sup>
          </m:sSup>
          <m:r>
            <m:rPr>
              <m:sty m:val="p"/>
            </m:rPr>
            <w:rPr>
              <w:rFonts w:ascii="Cambria Math" w:hAnsi="Cambria Math" w:hint="cs"/>
            </w:rPr>
            <m:t>(</m:t>
          </m:r>
          <m:r>
            <w:rPr>
              <w:rFonts w:ascii="Cambria Math" w:hAnsi="Cambria Math" w:hint="cs"/>
            </w:rPr>
            <m:t>q</m:t>
          </m:r>
          <m:r>
            <m:rPr>
              <m:sty m:val="p"/>
            </m:rPr>
            <w:rPr>
              <w:rFonts w:ascii="Cambria Math" w:hAnsi="Cambria Math" w:hint="cs"/>
            </w:rPr>
            <m:t>), </m:t>
          </m:r>
          <m:r>
            <w:rPr>
              <w:rFonts w:ascii="Cambria Math" w:hAnsi="Cambria Math" w:hint="cs"/>
            </w:rPr>
            <m:t>f</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q</m:t>
          </m:r>
          <m:r>
            <m:rPr>
              <m:sty m:val="p"/>
            </m:rPr>
            <w:rPr>
              <w:rFonts w:ascii="Cambria Math" w:hAnsi="Cambria Math" w:hint="cs"/>
            </w:rPr>
            <m:t>(</m:t>
          </m:r>
          <m:r>
            <w:rPr>
              <w:rFonts w:ascii="Cambria Math" w:hAnsi="Cambria Math" w:hint="cs"/>
            </w:rPr>
            <m:t>α</m:t>
          </m:r>
          <m:r>
            <m:rPr>
              <m:sty m:val="p"/>
            </m:rPr>
            <w:rPr>
              <w:rFonts w:ascii="Cambria Math" w:hAnsi="Cambria Math" w:hint="cs"/>
            </w:rPr>
            <m:t>-</m:t>
          </m:r>
          <m:r>
            <w:rPr>
              <w:rFonts w:ascii="Cambria Math" w:hAnsi="Cambria Math" w:hint="cs"/>
            </w:rPr>
            <m:t>h</m:t>
          </m:r>
          <m:r>
            <m:rPr>
              <m:sty m:val="p"/>
            </m:rPr>
            <w:rPr>
              <w:rFonts w:ascii="Cambria Math" w:hAnsi="Cambria Math" w:hint="cs"/>
            </w:rPr>
            <m:t>(</m:t>
          </m:r>
          <m:r>
            <w:rPr>
              <w:rFonts w:ascii="Cambria Math" w:hAnsi="Cambria Math" w:hint="cs"/>
            </w:rPr>
            <m:t>q</m:t>
          </m:r>
          <m:r>
            <m:rPr>
              <m:sty m:val="p"/>
            </m:rPr>
            <w:rPr>
              <w:rFonts w:ascii="Cambria Math" w:hAnsi="Cambria Math" w:hint="cs"/>
            </w:rPr>
            <m:t>))+1.</m:t>
          </m:r>
        </m:oMath>
      </m:oMathPara>
      <w:r>
        <w:t xml:space="preserve"> (15)</w:t>
      </w:r>
    </w:p>
    <w:p w14:paraId="36839150" w14:textId="77777777" w:rsidR="000019C6" w:rsidRPr="00756D2A" w:rsidRDefault="000019C6" w:rsidP="00756D2A">
      <w:pPr>
        <w:jc w:val="both"/>
      </w:pPr>
      <w:r>
        <w:rPr>
          <w:rFonts w:hint="cs"/>
        </w:rPr>
        <w:t xml:space="preserve">The range of generalized exponents, Δh = h(−5) − h(5), measures how strongly the scaling differs between small and large fluctuations. Because fat tails alone widen this range, we compare each observed range with 100 surrogates in which the paired returns are jointly shuffled, which preserves the return distributions and their contemporaneous correlation but destroys temporal structure.</w:t>
      </w:r>
    </w:p>
    <w:p w14:paraId="706A747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3 Results</w:t>
      </w:r>
    </w:p>
    <w:p w14:paraId="3F02E13B"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3.1 Summary Statistics</w:t>
      </w:r>
    </w:p>
    <w:p w14:paraId="6C8772C4" w14:textId="77777777" w:rsidR="000019C6" w:rsidRPr="00756D2A" w:rsidRDefault="000019C6" w:rsidP="00756D2A">
      <w:pPr>
        <w:jc w:val="both"/>
      </w:pPr>
      <w:r w:rsidRPr="00756D2A">
        <w:rPr>
          <w:rFonts w:hint="cs"/>
        </w:rPr>
        <w:t>Table 1 presents the descriptive statistics for the index log returns across the four trading frequencies (2014–2025).</w:t>
      </w:r>
    </w:p>
    <w:p w14:paraId="234ABD58" w14:textId="77777777" w:rsidR="000019C6" w:rsidRPr="00756D2A" w:rsidRDefault="000019C6" w:rsidP="00756D2A">
      <w:pPr>
        <w:pStyle w:val="tablecaption0"/>
        <w:spacing w:line="300" w:lineRule="auto"/>
        <w:jc w:val="both"/>
        <w:rPr>
          <w:sz w:val="24"/>
          <w:szCs w:val="24"/>
          <w:lang w:val="vi-VN"/>
        </w:rPr>
      </w:pPr>
      <w:r>
        <w:rPr>
          <w:rFonts w:hint="cs"/>
          <w:b/>
          <w:sz w:val="24"/>
          <w:szCs w:val="24"/>
        </w:rPr>
        <w:t xml:space="preserve">Table 1 </w:t>
      </w:r>
      <w:r>
        <w:rPr>
          <w:rFonts w:hint="cs"/>
          <w:sz w:val="24"/>
          <w:szCs w:val="24"/>
        </w:rPr>
        <w:t xml:space="preserve">Descriptive statistics of log returns at the four trading frequencies</w:t>
      </w:r>
    </w:p>
    <w:tbl>
      <w:tblPr>
        <w:tblStyle w:val="TableGrid"/>
        <w:tblW w:w="0" w:type="auto"/>
        <w:tblLook w:val="04A0" w:firstRow="1" w:lastRow="0" w:firstColumn="1" w:lastColumn="0" w:noHBand="0" w:noVBand="1"/>
      </w:tblPr>
      <w:tblGrid>
        <w:gridCol w:w="2064"/>
        <w:gridCol w:w="874"/>
        <w:gridCol w:w="954"/>
        <w:gridCol w:w="954"/>
        <w:gridCol w:w="1101"/>
        <w:gridCol w:w="915"/>
        <w:gridCol w:w="884"/>
        <w:gridCol w:w="1584"/>
      </w:tblGrid>
      <w:tr w:rsidR="000019C6" w:rsidRPr="00EF3885" w14:paraId="0801BE48" w14:textId="77777777" w:rsidTr="00E3465A">
        <w:trPr>
          <w:trHeight w:val="560"/>
        </w:trPr>
        <w:tc>
          <w:tcPr>
            <w:tcW w:w="0" w:type="auto"/>
            <w:hideMark/>
          </w:tcPr>
          <w:p w14:paraId="054EA147" w14:textId="77777777" w:rsidR="000019C6" w:rsidRPr="00EF3885" w:rsidRDefault="000019C6" w:rsidP="00756D2A">
            <w:pPr>
              <w:jc w:val="both"/>
              <w:rPr>
                <w:b/>
                <w:bCs/>
                <w:sz w:val="18"/>
                <w:szCs w:val="18"/>
                <w:lang w:bidi="hi-IN"/>
              </w:rPr>
            </w:pPr>
            <w:r w:rsidRPr="00EF3885">
              <w:rPr>
                <w:rFonts w:hint="cs"/>
                <w:b/>
                <w:bCs/>
                <w:sz w:val="18"/>
                <w:szCs w:val="18"/>
                <w:lang w:bidi="hi-IN"/>
              </w:rPr>
              <w:t>Index</w:t>
            </w:r>
          </w:p>
        </w:tc>
        <w:tc>
          <w:tcPr>
            <w:tcW w:w="0" w:type="auto"/>
            <w:hideMark/>
          </w:tcPr>
          <w:p w14:paraId="348DDF22" w14:textId="77777777" w:rsidR="000019C6" w:rsidRPr="00EF3885" w:rsidRDefault="000019C6" w:rsidP="00756D2A">
            <w:pPr>
              <w:jc w:val="both"/>
              <w:rPr>
                <w:b/>
                <w:bCs/>
                <w:sz w:val="18"/>
                <w:szCs w:val="18"/>
                <w:lang w:bidi="hi-IN"/>
              </w:rPr>
            </w:pPr>
            <w:r w:rsidRPr="00EF3885">
              <w:rPr>
                <w:rFonts w:hint="cs"/>
                <w:b/>
                <w:bCs/>
                <w:sz w:val="18"/>
                <w:szCs w:val="18"/>
                <w:lang w:bidi="hi-IN"/>
              </w:rPr>
              <w:t>Freq.</w:t>
            </w:r>
          </w:p>
        </w:tc>
        <w:tc>
          <w:tcPr>
            <w:tcW w:w="0" w:type="auto"/>
            <w:hideMark/>
          </w:tcPr>
          <w:p w14:paraId="41B5F9FC" w14:textId="77777777" w:rsidR="000019C6" w:rsidRPr="00EF3885" w:rsidRDefault="000019C6" w:rsidP="00756D2A">
            <w:pPr>
              <w:jc w:val="both"/>
              <w:rPr>
                <w:b/>
                <w:bCs/>
                <w:sz w:val="18"/>
                <w:szCs w:val="18"/>
                <w:lang w:bidi="hi-IN"/>
              </w:rPr>
            </w:pPr>
            <w:r w:rsidRPr="00EF3885">
              <w:rPr>
                <w:rFonts w:hint="cs"/>
                <w:b/>
                <w:bCs/>
                <w:sz w:val="18"/>
                <w:szCs w:val="18"/>
                <w:lang w:bidi="hi-IN"/>
              </w:rPr>
              <w:t>N</w:t>
            </w:r>
          </w:p>
        </w:tc>
        <w:tc>
          <w:tcPr>
            <w:tcW w:w="0" w:type="auto"/>
            <w:hideMark/>
          </w:tcPr>
          <w:p w14:paraId="7D442231" w14:textId="77777777" w:rsidR="000019C6" w:rsidRPr="00EF3885" w:rsidRDefault="000019C6" w:rsidP="00756D2A">
            <w:pPr>
              <w:jc w:val="both"/>
              <w:rPr>
                <w:b/>
                <w:bCs/>
                <w:sz w:val="18"/>
                <w:szCs w:val="18"/>
                <w:lang w:bidi="hi-IN"/>
              </w:rPr>
            </w:pPr>
            <w:r w:rsidRPr="00EF3885">
              <w:rPr>
                <w:rFonts w:hint="cs"/>
                <w:b/>
                <w:bCs/>
                <w:sz w:val="18"/>
                <w:szCs w:val="18"/>
                <w:lang w:bidi="hi-IN"/>
              </w:rPr>
              <w:t>Mean</w:t>
            </w:r>
          </w:p>
        </w:tc>
        <w:tc>
          <w:tcPr>
            <w:tcW w:w="0" w:type="auto"/>
            <w:hideMark/>
          </w:tcPr>
          <w:p w14:paraId="7CC05A9B" w14:textId="77777777" w:rsidR="000019C6" w:rsidRPr="00EF3885" w:rsidRDefault="000019C6" w:rsidP="00756D2A">
            <w:pPr>
              <w:jc w:val="both"/>
              <w:rPr>
                <w:b/>
                <w:bCs/>
                <w:sz w:val="18"/>
                <w:szCs w:val="18"/>
                <w:lang w:bidi="hi-IN"/>
              </w:rPr>
            </w:pPr>
            <w:r w:rsidRPr="00EF3885">
              <w:rPr>
                <w:rFonts w:hint="cs"/>
                <w:b/>
                <w:bCs/>
                <w:sz w:val="18"/>
                <w:szCs w:val="18"/>
                <w:lang w:bidi="hi-IN"/>
              </w:rPr>
              <w:t>Std. Dev.</w:t>
            </w:r>
          </w:p>
        </w:tc>
        <w:tc>
          <w:tcPr>
            <w:tcW w:w="0" w:type="auto"/>
            <w:hideMark/>
          </w:tcPr>
          <w:p w14:paraId="24C12432" w14:textId="77777777" w:rsidR="000019C6" w:rsidRPr="00EF3885" w:rsidRDefault="000019C6" w:rsidP="00756D2A">
            <w:pPr>
              <w:jc w:val="both"/>
              <w:rPr>
                <w:b/>
                <w:bCs/>
                <w:sz w:val="18"/>
                <w:szCs w:val="18"/>
                <w:lang w:bidi="hi-IN"/>
              </w:rPr>
            </w:pPr>
            <w:r w:rsidRPr="00EF3885">
              <w:rPr>
                <w:rFonts w:hint="cs"/>
                <w:b/>
                <w:bCs/>
                <w:sz w:val="18"/>
                <w:szCs w:val="18"/>
                <w:lang w:bidi="hi-IN"/>
              </w:rPr>
              <w:t>Skew.</w:t>
            </w:r>
          </w:p>
        </w:tc>
        <w:tc>
          <w:tcPr>
            <w:tcW w:w="0" w:type="auto"/>
            <w:hideMark/>
          </w:tcPr>
          <w:p w14:paraId="20965BD2" w14:textId="77777777" w:rsidR="000019C6" w:rsidRPr="00EF3885" w:rsidRDefault="000019C6" w:rsidP="00756D2A">
            <w:pPr>
              <w:jc w:val="both"/>
              <w:rPr>
                <w:b/>
                <w:bCs/>
                <w:sz w:val="18"/>
                <w:szCs w:val="18"/>
                <w:lang w:bidi="hi-IN"/>
              </w:rPr>
            </w:pPr>
            <w:r w:rsidRPr="00EF3885">
              <w:rPr>
                <w:rFonts w:hint="cs"/>
                <w:b/>
                <w:bCs/>
                <w:sz w:val="18"/>
                <w:szCs w:val="18"/>
                <w:lang w:bidi="hi-IN"/>
              </w:rPr>
              <w:t>Kurt.</w:t>
            </w:r>
          </w:p>
        </w:tc>
        <w:tc>
          <w:tcPr>
            <w:tcW w:w="0" w:type="auto"/>
            <w:hideMark/>
          </w:tcPr>
          <w:p w14:paraId="434D4FF8" w14:textId="77777777" w:rsidR="000019C6" w:rsidRPr="00EF3885" w:rsidRDefault="000019C6" w:rsidP="00756D2A">
            <w:pPr>
              <w:jc w:val="both"/>
              <w:rPr>
                <w:b/>
                <w:bCs/>
                <w:sz w:val="18"/>
                <w:szCs w:val="18"/>
                <w:lang w:bidi="hi-IN"/>
              </w:rPr>
            </w:pPr>
            <w:r w:rsidRPr="00EF3885">
              <w:rPr>
                <w:rFonts w:hint="cs"/>
                <w:b/>
                <w:bCs/>
                <w:sz w:val="18"/>
                <w:szCs w:val="18"/>
                <w:lang w:bidi="hi-IN"/>
              </w:rPr>
              <w:t>Jarque–Bera</w:t>
            </w:r>
          </w:p>
        </w:tc>
      </w:tr>
      <w:tr w:rsidR="000019C6" w:rsidRPr="00EF3885" w14:paraId="6B5EF9D2" w14:textId="77777777" w:rsidTr="00E3465A">
        <w:trPr>
          <w:trHeight w:val="400"/>
        </w:trPr>
        <w:tc>
          <w:tcPr>
            <w:tcW w:w="0" w:type="auto"/>
            <w:noWrap/>
            <w:hideMark/>
          </w:tcPr>
          <w:p w14:paraId="45ED73D2"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41812AD0"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13543A24"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214742FC"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74BCA4B8" w14:textId="77777777" w:rsidR="000019C6" w:rsidRPr="00EF3885" w:rsidRDefault="000019C6" w:rsidP="00756D2A">
            <w:pPr>
              <w:jc w:val="both"/>
              <w:rPr>
                <w:sz w:val="18"/>
                <w:szCs w:val="18"/>
                <w:lang w:bidi="hi-IN"/>
              </w:rPr>
            </w:pPr>
            <w:r>
              <w:rPr>
                <w:rFonts w:hint="cs"/>
                <w:sz w:val="18"/>
                <w:szCs w:val="18"/>
              </w:rPr>
              <w:t xml:space="preserve">0.0121</w:t>
            </w:r>
          </w:p>
        </w:tc>
        <w:tc>
          <w:tcPr>
            <w:tcW w:w="0" w:type="auto"/>
            <w:noWrap/>
            <w:hideMark/>
          </w:tcPr>
          <w:p w14:paraId="1C3BD5F8" w14:textId="77777777" w:rsidR="000019C6" w:rsidRPr="00EF3885" w:rsidRDefault="000019C6" w:rsidP="00756D2A">
            <w:pPr>
              <w:jc w:val="both"/>
              <w:rPr>
                <w:sz w:val="18"/>
                <w:szCs w:val="18"/>
                <w:lang w:bidi="hi-IN"/>
              </w:rPr>
            </w:pPr>
            <w:r>
              <w:rPr>
                <w:rFonts w:hint="cs"/>
                <w:sz w:val="18"/>
                <w:szCs w:val="18"/>
              </w:rPr>
              <w:t xml:space="preserve">−0.83</w:t>
            </w:r>
          </w:p>
        </w:tc>
        <w:tc>
          <w:tcPr>
            <w:tcW w:w="0" w:type="auto"/>
            <w:noWrap/>
            <w:hideMark/>
          </w:tcPr>
          <w:p w14:paraId="3E8C4277" w14:textId="77777777" w:rsidR="000019C6" w:rsidRPr="00EF3885" w:rsidRDefault="000019C6" w:rsidP="00756D2A">
            <w:pPr>
              <w:jc w:val="both"/>
              <w:rPr>
                <w:sz w:val="18"/>
                <w:szCs w:val="18"/>
                <w:lang w:bidi="hi-IN"/>
              </w:rPr>
            </w:pPr>
            <w:r>
              <w:rPr>
                <w:rFonts w:hint="cs"/>
                <w:sz w:val="18"/>
                <w:szCs w:val="18"/>
              </w:rPr>
              <w:t xml:space="preserve">7.81</w:t>
            </w:r>
          </w:p>
        </w:tc>
        <w:tc>
          <w:tcPr>
            <w:tcW w:w="0" w:type="auto"/>
            <w:noWrap/>
            <w:hideMark/>
          </w:tcPr>
          <w:p w14:paraId="25DEB1FD" w14:textId="77777777" w:rsidR="000019C6" w:rsidRPr="00EF3885" w:rsidRDefault="000019C6" w:rsidP="00756D2A">
            <w:pPr>
              <w:jc w:val="both"/>
              <w:rPr>
                <w:sz w:val="18"/>
                <w:szCs w:val="18"/>
                <w:lang w:bidi="hi-IN"/>
              </w:rPr>
            </w:pPr>
            <w:r>
              <w:rPr>
                <w:rFonts w:hint="cs"/>
                <w:sz w:val="18"/>
                <w:szCs w:val="18"/>
              </w:rPr>
              <w:t xml:space="preserve">3,202***</w:t>
            </w:r>
          </w:p>
        </w:tc>
      </w:tr>
      <w:tr w:rsidR="000019C6" w:rsidRPr="00EF3885" w14:paraId="5A29986F" w14:textId="77777777" w:rsidTr="00E3465A">
        <w:trPr>
          <w:trHeight w:val="400"/>
        </w:trPr>
        <w:tc>
          <w:tcPr>
            <w:tcW w:w="0" w:type="auto"/>
            <w:noWrap/>
            <w:hideMark/>
          </w:tcPr>
          <w:p w14:paraId="35A2CEFF"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41EBE115"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1126B14F"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146CCC8A"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7AA9FBBA" w14:textId="77777777" w:rsidR="000019C6" w:rsidRPr="00EF3885" w:rsidRDefault="000019C6" w:rsidP="00756D2A">
            <w:pPr>
              <w:jc w:val="both"/>
              <w:rPr>
                <w:sz w:val="18"/>
                <w:szCs w:val="18"/>
                <w:lang w:bidi="hi-IN"/>
              </w:rPr>
            </w:pPr>
            <w:r>
              <w:rPr>
                <w:rFonts w:hint="cs"/>
                <w:sz w:val="18"/>
                <w:szCs w:val="18"/>
              </w:rPr>
              <w:t xml:space="preserve">0.0039</w:t>
            </w:r>
          </w:p>
        </w:tc>
        <w:tc>
          <w:tcPr>
            <w:tcW w:w="0" w:type="auto"/>
            <w:noWrap/>
            <w:hideMark/>
          </w:tcPr>
          <w:p w14:paraId="390118F3" w14:textId="77777777" w:rsidR="000019C6" w:rsidRPr="00EF3885" w:rsidRDefault="000019C6" w:rsidP="00756D2A">
            <w:pPr>
              <w:jc w:val="both"/>
              <w:rPr>
                <w:sz w:val="18"/>
                <w:szCs w:val="18"/>
                <w:lang w:bidi="hi-IN"/>
              </w:rPr>
            </w:pPr>
            <w:r>
              <w:rPr>
                <w:rFonts w:hint="cs"/>
                <w:sz w:val="18"/>
                <w:szCs w:val="18"/>
              </w:rPr>
              <w:t xml:space="preserve">−1.62</w:t>
            </w:r>
          </w:p>
        </w:tc>
        <w:tc>
          <w:tcPr>
            <w:tcW w:w="0" w:type="auto"/>
            <w:noWrap/>
            <w:hideMark/>
          </w:tcPr>
          <w:p w14:paraId="7A2705B4" w14:textId="77777777" w:rsidR="000019C6" w:rsidRPr="00EF3885" w:rsidRDefault="000019C6" w:rsidP="00756D2A">
            <w:pPr>
              <w:jc w:val="both"/>
              <w:rPr>
                <w:sz w:val="18"/>
                <w:szCs w:val="18"/>
                <w:lang w:bidi="hi-IN"/>
              </w:rPr>
            </w:pPr>
            <w:r>
              <w:rPr>
                <w:rFonts w:hint="cs"/>
                <w:sz w:val="18"/>
                <w:szCs w:val="18"/>
              </w:rPr>
              <w:t xml:space="preserve">36.16</w:t>
            </w:r>
          </w:p>
        </w:tc>
        <w:tc>
          <w:tcPr>
            <w:tcW w:w="0" w:type="auto"/>
            <w:noWrap/>
            <w:hideMark/>
          </w:tcPr>
          <w:p w14:paraId="4612CC04" w14:textId="77777777" w:rsidR="000019C6" w:rsidRPr="00EF3885" w:rsidRDefault="000019C6" w:rsidP="00756D2A">
            <w:pPr>
              <w:jc w:val="both"/>
              <w:rPr>
                <w:sz w:val="18"/>
                <w:szCs w:val="18"/>
                <w:lang w:bidi="hi-IN"/>
              </w:rPr>
            </w:pPr>
            <w:r>
              <w:rPr>
                <w:rFonts w:hint="cs"/>
                <w:sz w:val="18"/>
                <w:szCs w:val="18"/>
              </w:rPr>
              <w:t xml:space="preserve">1,014,769***</w:t>
            </w:r>
          </w:p>
        </w:tc>
      </w:tr>
      <w:tr w:rsidR="000019C6" w:rsidRPr="00EF3885" w14:paraId="3FA95120" w14:textId="77777777" w:rsidTr="00E3465A">
        <w:trPr>
          <w:trHeight w:val="400"/>
        </w:trPr>
        <w:tc>
          <w:tcPr>
            <w:tcW w:w="0" w:type="auto"/>
            <w:noWrap/>
            <w:hideMark/>
          </w:tcPr>
          <w:p w14:paraId="08C9B225"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3CC3E46C"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421ED8CD"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34701AF2"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1C29896B" w14:textId="77777777" w:rsidR="000019C6" w:rsidRPr="00EF3885" w:rsidRDefault="000019C6" w:rsidP="00756D2A">
            <w:pPr>
              <w:jc w:val="both"/>
              <w:rPr>
                <w:sz w:val="18"/>
                <w:szCs w:val="18"/>
                <w:lang w:bidi="hi-IN"/>
              </w:rPr>
            </w:pPr>
            <w:r>
              <w:rPr>
                <w:rFonts w:hint="cs"/>
                <w:sz w:val="18"/>
                <w:szCs w:val="18"/>
              </w:rPr>
              <w:t xml:space="preserve">0.0051</w:t>
            </w:r>
          </w:p>
        </w:tc>
        <w:tc>
          <w:tcPr>
            <w:tcW w:w="0" w:type="auto"/>
            <w:noWrap/>
            <w:hideMark/>
          </w:tcPr>
          <w:p w14:paraId="4BB6464C" w14:textId="77777777" w:rsidR="000019C6" w:rsidRPr="00EF3885" w:rsidRDefault="000019C6" w:rsidP="00756D2A">
            <w:pPr>
              <w:jc w:val="both"/>
              <w:rPr>
                <w:sz w:val="18"/>
                <w:szCs w:val="18"/>
                <w:lang w:bidi="hi-IN"/>
              </w:rPr>
            </w:pPr>
            <w:r>
              <w:rPr>
                <w:rFonts w:hint="cs"/>
                <w:sz w:val="18"/>
                <w:szCs w:val="18"/>
              </w:rPr>
              <w:t xml:space="preserve">−1.33</w:t>
            </w:r>
          </w:p>
        </w:tc>
        <w:tc>
          <w:tcPr>
            <w:tcW w:w="0" w:type="auto"/>
            <w:noWrap/>
            <w:hideMark/>
          </w:tcPr>
          <w:p w14:paraId="2AB3B7D0" w14:textId="77777777" w:rsidR="000019C6" w:rsidRPr="00EF3885" w:rsidRDefault="000019C6" w:rsidP="00756D2A">
            <w:pPr>
              <w:jc w:val="both"/>
              <w:rPr>
                <w:sz w:val="18"/>
                <w:szCs w:val="18"/>
                <w:lang w:bidi="hi-IN"/>
              </w:rPr>
            </w:pPr>
            <w:r>
              <w:rPr>
                <w:rFonts w:hint="cs"/>
                <w:sz w:val="18"/>
                <w:szCs w:val="18"/>
              </w:rPr>
              <w:t xml:space="preserve">18.20</w:t>
            </w:r>
          </w:p>
        </w:tc>
        <w:tc>
          <w:tcPr>
            <w:tcW w:w="0" w:type="auto"/>
            <w:noWrap/>
            <w:hideMark/>
          </w:tcPr>
          <w:p w14:paraId="4B9F771C" w14:textId="77777777" w:rsidR="000019C6" w:rsidRPr="00EF3885" w:rsidRDefault="000019C6" w:rsidP="00756D2A">
            <w:pPr>
              <w:jc w:val="both"/>
              <w:rPr>
                <w:sz w:val="18"/>
                <w:szCs w:val="18"/>
                <w:lang w:bidi="hi-IN"/>
              </w:rPr>
            </w:pPr>
            <w:r>
              <w:rPr>
                <w:rFonts w:hint="cs"/>
                <w:sz w:val="18"/>
                <w:szCs w:val="18"/>
              </w:rPr>
              <w:t xml:space="preserve">134,167***</w:t>
            </w:r>
          </w:p>
        </w:tc>
      </w:tr>
      <w:tr w:rsidR="000019C6" w:rsidRPr="00EF3885" w14:paraId="7ED45958" w14:textId="77777777" w:rsidTr="00E3465A">
        <w:trPr>
          <w:trHeight w:val="400"/>
        </w:trPr>
        <w:tc>
          <w:tcPr>
            <w:tcW w:w="0" w:type="auto"/>
            <w:noWrap/>
            <w:hideMark/>
          </w:tcPr>
          <w:p w14:paraId="5D9A1E4D" w14:textId="77777777" w:rsidR="000019C6" w:rsidRPr="00EF3885" w:rsidRDefault="000019C6" w:rsidP="00756D2A">
            <w:pPr>
              <w:suppressAutoHyphens/>
              <w:jc w:val="both"/>
              <w:rPr>
                <w:b/>
                <w:bCs/>
                <w:sz w:val="18"/>
                <w:szCs w:val="18"/>
                <w:lang w:bidi="hi-IN"/>
              </w:rPr>
            </w:pPr>
            <w:r>
              <w:rPr>
                <w:rFonts w:hint="cs"/>
                <w:sz w:val="18"/>
                <w:szCs w:val="18"/>
              </w:rPr>
              <w:t xml:space="preserve">VN30</w:t>
            </w:r>
          </w:p>
        </w:tc>
        <w:tc>
          <w:tcPr>
            <w:tcW w:w="0" w:type="auto"/>
            <w:noWrap/>
            <w:hideMark/>
          </w:tcPr>
          <w:p w14:paraId="7C895C77"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3CAD4208"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5DCB1009"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0BD42649" w14:textId="77777777" w:rsidR="000019C6" w:rsidRPr="00EF3885" w:rsidRDefault="000019C6" w:rsidP="00756D2A">
            <w:pPr>
              <w:jc w:val="both"/>
              <w:rPr>
                <w:sz w:val="18"/>
                <w:szCs w:val="18"/>
                <w:lang w:bidi="hi-IN"/>
              </w:rPr>
            </w:pPr>
            <w:r>
              <w:rPr>
                <w:rFonts w:hint="cs"/>
                <w:sz w:val="18"/>
                <w:szCs w:val="18"/>
              </w:rPr>
              <w:t xml:space="preserve">0.0084</w:t>
            </w:r>
          </w:p>
        </w:tc>
        <w:tc>
          <w:tcPr>
            <w:tcW w:w="0" w:type="auto"/>
            <w:noWrap/>
            <w:hideMark/>
          </w:tcPr>
          <w:p w14:paraId="719FE03A" w14:textId="77777777" w:rsidR="000019C6" w:rsidRPr="00EF3885" w:rsidRDefault="000019C6" w:rsidP="00756D2A">
            <w:pPr>
              <w:jc w:val="both"/>
              <w:rPr>
                <w:sz w:val="18"/>
                <w:szCs w:val="18"/>
                <w:lang w:bidi="hi-IN"/>
              </w:rPr>
            </w:pPr>
            <w:r>
              <w:rPr>
                <w:rFonts w:hint="cs"/>
                <w:sz w:val="18"/>
                <w:szCs w:val="18"/>
              </w:rPr>
              <w:t xml:space="preserve">−1.17</w:t>
            </w:r>
          </w:p>
        </w:tc>
        <w:tc>
          <w:tcPr>
            <w:tcW w:w="0" w:type="auto"/>
            <w:noWrap/>
            <w:hideMark/>
          </w:tcPr>
          <w:p w14:paraId="1D69F40E" w14:textId="77777777" w:rsidR="000019C6" w:rsidRPr="00EF3885" w:rsidRDefault="000019C6" w:rsidP="00756D2A">
            <w:pPr>
              <w:jc w:val="both"/>
              <w:rPr>
                <w:sz w:val="18"/>
                <w:szCs w:val="18"/>
                <w:lang w:bidi="hi-IN"/>
              </w:rPr>
            </w:pPr>
            <w:r>
              <w:rPr>
                <w:rFonts w:hint="cs"/>
                <w:sz w:val="18"/>
                <w:szCs w:val="18"/>
              </w:rPr>
              <w:t xml:space="preserve">11.23</w:t>
            </w:r>
          </w:p>
        </w:tc>
        <w:tc>
          <w:tcPr>
            <w:tcW w:w="0" w:type="auto"/>
            <w:noWrap/>
            <w:hideMark/>
          </w:tcPr>
          <w:p w14:paraId="04C46E9E" w14:textId="77777777" w:rsidR="000019C6" w:rsidRPr="00EF3885" w:rsidRDefault="000019C6" w:rsidP="00756D2A">
            <w:pPr>
              <w:jc w:val="both"/>
              <w:rPr>
                <w:sz w:val="18"/>
                <w:szCs w:val="18"/>
                <w:lang w:bidi="hi-IN"/>
              </w:rPr>
            </w:pPr>
            <w:r>
              <w:rPr>
                <w:rFonts w:hint="cs"/>
                <w:sz w:val="18"/>
                <w:szCs w:val="18"/>
              </w:rPr>
              <w:t xml:space="preserve">16,490***</w:t>
            </w:r>
          </w:p>
        </w:tc>
      </w:tr>
      <w:tr w:rsidR="000019C6" w:rsidRPr="00EF3885" w14:paraId="3C239F17" w14:textId="77777777" w:rsidTr="00E3465A">
        <w:trPr>
          <w:trHeight w:val="400"/>
        </w:trPr>
        <w:tc>
          <w:tcPr>
            <w:tcW w:w="0" w:type="auto"/>
            <w:noWrap/>
            <w:hideMark/>
          </w:tcPr>
          <w:p w14:paraId="33747CC8"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16E3C938"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3BAB248A"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2FA588A4"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1BD32097" w14:textId="77777777" w:rsidR="000019C6" w:rsidRPr="00EF3885" w:rsidRDefault="000019C6" w:rsidP="00756D2A">
            <w:pPr>
              <w:jc w:val="both"/>
              <w:rPr>
                <w:sz w:val="18"/>
                <w:szCs w:val="18"/>
                <w:lang w:bidi="hi-IN"/>
              </w:rPr>
            </w:pPr>
            <w:r>
              <w:rPr>
                <w:rFonts w:hint="cs"/>
                <w:sz w:val="18"/>
                <w:szCs w:val="18"/>
              </w:rPr>
              <w:t xml:space="preserve">0.0119</w:t>
            </w:r>
          </w:p>
        </w:tc>
        <w:tc>
          <w:tcPr>
            <w:tcW w:w="0" w:type="auto"/>
            <w:noWrap/>
            <w:hideMark/>
          </w:tcPr>
          <w:p w14:paraId="4BAD328D" w14:textId="77777777" w:rsidR="000019C6" w:rsidRPr="00EF3885" w:rsidRDefault="000019C6" w:rsidP="00756D2A">
            <w:pPr>
              <w:jc w:val="both"/>
              <w:rPr>
                <w:sz w:val="18"/>
                <w:szCs w:val="18"/>
                <w:lang w:bidi="hi-IN"/>
              </w:rPr>
            </w:pPr>
            <w:r>
              <w:rPr>
                <w:rFonts w:hint="cs"/>
                <w:sz w:val="18"/>
                <w:szCs w:val="18"/>
              </w:rPr>
              <w:t xml:space="preserve">−0.96</w:t>
            </w:r>
          </w:p>
        </w:tc>
        <w:tc>
          <w:tcPr>
            <w:tcW w:w="0" w:type="auto"/>
            <w:noWrap/>
            <w:hideMark/>
          </w:tcPr>
          <w:p w14:paraId="4E793BEA" w14:textId="77777777" w:rsidR="000019C6" w:rsidRPr="00EF3885" w:rsidRDefault="000019C6" w:rsidP="00756D2A">
            <w:pPr>
              <w:jc w:val="both"/>
              <w:rPr>
                <w:sz w:val="18"/>
                <w:szCs w:val="18"/>
                <w:lang w:bidi="hi-IN"/>
              </w:rPr>
            </w:pPr>
            <w:r>
              <w:rPr>
                <w:rFonts w:hint="cs"/>
                <w:sz w:val="18"/>
                <w:szCs w:val="18"/>
              </w:rPr>
              <w:t xml:space="preserve">8.21</w:t>
            </w:r>
          </w:p>
        </w:tc>
        <w:tc>
          <w:tcPr>
            <w:tcW w:w="0" w:type="auto"/>
            <w:noWrap/>
            <w:hideMark/>
          </w:tcPr>
          <w:p w14:paraId="1BFC610B" w14:textId="77777777" w:rsidR="000019C6" w:rsidRPr="00EF3885" w:rsidRDefault="000019C6" w:rsidP="00756D2A">
            <w:pPr>
              <w:jc w:val="both"/>
              <w:rPr>
                <w:sz w:val="18"/>
                <w:szCs w:val="18"/>
                <w:lang w:bidi="hi-IN"/>
              </w:rPr>
            </w:pPr>
            <w:r>
              <w:rPr>
                <w:rFonts w:hint="cs"/>
                <w:sz w:val="18"/>
                <w:szCs w:val="18"/>
              </w:rPr>
              <w:t xml:space="preserve">3,804***</w:t>
            </w:r>
          </w:p>
        </w:tc>
      </w:tr>
      <w:tr w:rsidR="000019C6" w:rsidRPr="00EF3885" w14:paraId="6095F3A1" w14:textId="77777777" w:rsidTr="00E3465A">
        <w:trPr>
          <w:trHeight w:val="400"/>
        </w:trPr>
        <w:tc>
          <w:tcPr>
            <w:tcW w:w="0" w:type="auto"/>
            <w:noWrap/>
            <w:hideMark/>
          </w:tcPr>
          <w:p w14:paraId="3D9B02C2"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7EC5984D"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7D70BB47"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68CD95FE"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4707A596" w14:textId="77777777" w:rsidR="000019C6" w:rsidRPr="00EF3885" w:rsidRDefault="000019C6" w:rsidP="00756D2A">
            <w:pPr>
              <w:jc w:val="both"/>
              <w:rPr>
                <w:sz w:val="18"/>
                <w:szCs w:val="18"/>
                <w:lang w:bidi="hi-IN"/>
              </w:rPr>
            </w:pPr>
            <w:r>
              <w:rPr>
                <w:rFonts w:hint="cs"/>
                <w:sz w:val="18"/>
                <w:szCs w:val="18"/>
              </w:rPr>
              <w:t xml:space="preserve">0.0038</w:t>
            </w:r>
          </w:p>
        </w:tc>
        <w:tc>
          <w:tcPr>
            <w:tcW w:w="0" w:type="auto"/>
            <w:noWrap/>
            <w:hideMark/>
          </w:tcPr>
          <w:p w14:paraId="5A8D9AB4" w14:textId="77777777" w:rsidR="000019C6" w:rsidRPr="00EF3885" w:rsidRDefault="000019C6" w:rsidP="00756D2A">
            <w:pPr>
              <w:jc w:val="both"/>
              <w:rPr>
                <w:sz w:val="18"/>
                <w:szCs w:val="18"/>
                <w:lang w:bidi="hi-IN"/>
              </w:rPr>
            </w:pPr>
            <w:r>
              <w:rPr>
                <w:rFonts w:hint="cs"/>
                <w:sz w:val="18"/>
                <w:szCs w:val="18"/>
              </w:rPr>
              <w:t xml:space="preserve">−1.83</w:t>
            </w:r>
          </w:p>
        </w:tc>
        <w:tc>
          <w:tcPr>
            <w:tcW w:w="0" w:type="auto"/>
            <w:noWrap/>
            <w:hideMark/>
          </w:tcPr>
          <w:p w14:paraId="0574DC3D" w14:textId="77777777" w:rsidR="000019C6" w:rsidRPr="00EF3885" w:rsidRDefault="000019C6" w:rsidP="00756D2A">
            <w:pPr>
              <w:jc w:val="both"/>
              <w:rPr>
                <w:sz w:val="18"/>
                <w:szCs w:val="18"/>
                <w:lang w:bidi="hi-IN"/>
              </w:rPr>
            </w:pPr>
            <w:r>
              <w:rPr>
                <w:rFonts w:hint="cs"/>
                <w:sz w:val="18"/>
                <w:szCs w:val="18"/>
              </w:rPr>
              <w:t xml:space="preserve">37.63</w:t>
            </w:r>
          </w:p>
        </w:tc>
        <w:tc>
          <w:tcPr>
            <w:tcW w:w="0" w:type="auto"/>
            <w:noWrap/>
            <w:hideMark/>
          </w:tcPr>
          <w:p w14:paraId="6F31B266" w14:textId="77777777" w:rsidR="000019C6" w:rsidRPr="00EF3885" w:rsidRDefault="000019C6" w:rsidP="00756D2A">
            <w:pPr>
              <w:jc w:val="both"/>
              <w:rPr>
                <w:sz w:val="18"/>
                <w:szCs w:val="18"/>
                <w:lang w:bidi="hi-IN"/>
              </w:rPr>
            </w:pPr>
            <w:r>
              <w:rPr>
                <w:rFonts w:hint="cs"/>
                <w:sz w:val="18"/>
                <w:szCs w:val="18"/>
              </w:rPr>
              <w:t xml:space="preserve">1,108,959***</w:t>
            </w:r>
          </w:p>
        </w:tc>
      </w:tr>
      <w:tr w:rsidR="000019C6" w:rsidRPr="00EF3885" w14:paraId="513E5570" w14:textId="77777777" w:rsidTr="00E3465A">
        <w:trPr>
          <w:trHeight w:val="400"/>
        </w:trPr>
        <w:tc>
          <w:tcPr>
            <w:tcW w:w="0" w:type="auto"/>
            <w:noWrap/>
            <w:hideMark/>
          </w:tcPr>
          <w:p w14:paraId="73B05C00"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4FC65726"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070A1CE8"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2A03AA6D"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50CF2A76" w14:textId="77777777" w:rsidR="000019C6" w:rsidRPr="00EF3885" w:rsidRDefault="000019C6" w:rsidP="00756D2A">
            <w:pPr>
              <w:jc w:val="both"/>
              <w:rPr>
                <w:sz w:val="18"/>
                <w:szCs w:val="18"/>
                <w:lang w:bidi="hi-IN"/>
              </w:rPr>
            </w:pPr>
            <w:r>
              <w:rPr>
                <w:rFonts w:hint="cs"/>
                <w:sz w:val="18"/>
                <w:szCs w:val="18"/>
              </w:rPr>
              <w:t xml:space="preserve">0.0050</w:t>
            </w:r>
          </w:p>
        </w:tc>
        <w:tc>
          <w:tcPr>
            <w:tcW w:w="0" w:type="auto"/>
            <w:noWrap/>
            <w:hideMark/>
          </w:tcPr>
          <w:p w14:paraId="2A664A48" w14:textId="77777777" w:rsidR="000019C6" w:rsidRPr="00EF3885" w:rsidRDefault="000019C6" w:rsidP="00756D2A">
            <w:pPr>
              <w:jc w:val="both"/>
              <w:rPr>
                <w:sz w:val="18"/>
                <w:szCs w:val="18"/>
                <w:lang w:bidi="hi-IN"/>
              </w:rPr>
            </w:pPr>
            <w:r>
              <w:rPr>
                <w:rFonts w:hint="cs"/>
                <w:sz w:val="18"/>
                <w:szCs w:val="18"/>
              </w:rPr>
              <w:t xml:space="preserve">−1.50</w:t>
            </w:r>
          </w:p>
        </w:tc>
        <w:tc>
          <w:tcPr>
            <w:tcW w:w="0" w:type="auto"/>
            <w:noWrap/>
            <w:hideMark/>
          </w:tcPr>
          <w:p w14:paraId="313C73F0" w14:textId="77777777" w:rsidR="000019C6" w:rsidRPr="00EF3885" w:rsidRDefault="000019C6" w:rsidP="00756D2A">
            <w:pPr>
              <w:jc w:val="both"/>
              <w:rPr>
                <w:sz w:val="18"/>
                <w:szCs w:val="18"/>
                <w:lang w:bidi="hi-IN"/>
              </w:rPr>
            </w:pPr>
            <w:r>
              <w:rPr>
                <w:rFonts w:hint="cs"/>
                <w:sz w:val="18"/>
                <w:szCs w:val="18"/>
              </w:rPr>
              <w:t xml:space="preserve">19.36</w:t>
            </w:r>
          </w:p>
        </w:tc>
        <w:tc>
          <w:tcPr>
            <w:tcW w:w="0" w:type="auto"/>
            <w:noWrap/>
            <w:hideMark/>
          </w:tcPr>
          <w:p w14:paraId="77389879" w14:textId="77777777" w:rsidR="000019C6" w:rsidRPr="00EF3885" w:rsidRDefault="000019C6" w:rsidP="00756D2A">
            <w:pPr>
              <w:jc w:val="both"/>
              <w:rPr>
                <w:sz w:val="18"/>
                <w:szCs w:val="18"/>
                <w:lang w:bidi="hi-IN"/>
              </w:rPr>
            </w:pPr>
            <w:r>
              <w:rPr>
                <w:rFonts w:hint="cs"/>
                <w:sz w:val="18"/>
                <w:szCs w:val="18"/>
              </w:rPr>
              <w:t xml:space="preserve">155,896***</w:t>
            </w:r>
          </w:p>
        </w:tc>
      </w:tr>
      <w:tr w:rsidR="000019C6" w:rsidRPr="00EF3885" w14:paraId="785DE429" w14:textId="77777777" w:rsidTr="00E3465A">
        <w:trPr>
          <w:trHeight w:val="400"/>
        </w:trPr>
        <w:tc>
          <w:tcPr>
            <w:tcW w:w="0" w:type="auto"/>
            <w:noWrap/>
            <w:hideMark/>
          </w:tcPr>
          <w:p w14:paraId="5F6090B6" w14:textId="77777777" w:rsidR="000019C6" w:rsidRPr="00EF3885" w:rsidRDefault="000019C6" w:rsidP="00756D2A">
            <w:pPr>
              <w:suppressAutoHyphens/>
              <w:jc w:val="both"/>
              <w:rPr>
                <w:b/>
                <w:bCs/>
                <w:sz w:val="18"/>
                <w:szCs w:val="18"/>
                <w:lang w:bidi="hi-IN"/>
              </w:rPr>
            </w:pPr>
            <w:r>
              <w:rPr>
                <w:rFonts w:hint="cs"/>
                <w:sz w:val="18"/>
                <w:szCs w:val="18"/>
              </w:rPr>
              <w:t xml:space="preserve">VN100</w:t>
            </w:r>
          </w:p>
        </w:tc>
        <w:tc>
          <w:tcPr>
            <w:tcW w:w="0" w:type="auto"/>
            <w:noWrap/>
            <w:hideMark/>
          </w:tcPr>
          <w:p w14:paraId="169C8CF5"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0ED849A1"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1A8D68ED"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7D5CDC84" w14:textId="77777777" w:rsidR="000019C6" w:rsidRPr="00EF3885" w:rsidRDefault="000019C6" w:rsidP="00756D2A">
            <w:pPr>
              <w:jc w:val="both"/>
              <w:rPr>
                <w:sz w:val="18"/>
                <w:szCs w:val="18"/>
                <w:lang w:bidi="hi-IN"/>
              </w:rPr>
            </w:pPr>
            <w:r>
              <w:rPr>
                <w:rFonts w:hint="cs"/>
                <w:sz w:val="18"/>
                <w:szCs w:val="18"/>
              </w:rPr>
              <w:t xml:space="preserve">0.0082</w:t>
            </w:r>
          </w:p>
        </w:tc>
        <w:tc>
          <w:tcPr>
            <w:tcW w:w="0" w:type="auto"/>
            <w:noWrap/>
            <w:hideMark/>
          </w:tcPr>
          <w:p w14:paraId="2B8740B1" w14:textId="77777777" w:rsidR="000019C6" w:rsidRPr="00EF3885" w:rsidRDefault="000019C6" w:rsidP="00756D2A">
            <w:pPr>
              <w:jc w:val="both"/>
              <w:rPr>
                <w:sz w:val="18"/>
                <w:szCs w:val="18"/>
                <w:lang w:bidi="hi-IN"/>
              </w:rPr>
            </w:pPr>
            <w:r>
              <w:rPr>
                <w:rFonts w:hint="cs"/>
                <w:sz w:val="18"/>
                <w:szCs w:val="18"/>
              </w:rPr>
              <w:t xml:space="preserve">−1.30</w:t>
            </w:r>
          </w:p>
        </w:tc>
        <w:tc>
          <w:tcPr>
            <w:tcW w:w="0" w:type="auto"/>
            <w:noWrap/>
            <w:hideMark/>
          </w:tcPr>
          <w:p w14:paraId="7EC99319" w14:textId="77777777" w:rsidR="000019C6" w:rsidRPr="00EF3885" w:rsidRDefault="000019C6" w:rsidP="00756D2A">
            <w:pPr>
              <w:jc w:val="both"/>
              <w:rPr>
                <w:sz w:val="18"/>
                <w:szCs w:val="18"/>
                <w:lang w:bidi="hi-IN"/>
              </w:rPr>
            </w:pPr>
            <w:r>
              <w:rPr>
                <w:rFonts w:hint="cs"/>
                <w:sz w:val="18"/>
                <w:szCs w:val="18"/>
              </w:rPr>
              <w:t xml:space="preserve">11.76</w:t>
            </w:r>
          </w:p>
        </w:tc>
        <w:tc>
          <w:tcPr>
            <w:tcW w:w="0" w:type="auto"/>
            <w:noWrap/>
            <w:hideMark/>
          </w:tcPr>
          <w:p w14:paraId="161D2D41" w14:textId="77777777" w:rsidR="000019C6" w:rsidRPr="00EF3885" w:rsidRDefault="000019C6" w:rsidP="00756D2A">
            <w:pPr>
              <w:jc w:val="both"/>
              <w:rPr>
                <w:sz w:val="18"/>
                <w:szCs w:val="18"/>
                <w:lang w:bidi="hi-IN"/>
              </w:rPr>
            </w:pPr>
            <w:r>
              <w:rPr>
                <w:rFonts w:hint="cs"/>
                <w:sz w:val="18"/>
                <w:szCs w:val="18"/>
              </w:rPr>
              <w:t xml:space="preserve">18,833***</w:t>
            </w:r>
          </w:p>
        </w:tc>
      </w:tr>
      <w:tr w:rsidR="000019C6" w:rsidRPr="00EF3885" w14:paraId="4C7F47BD" w14:textId="77777777" w:rsidTr="00E3465A">
        <w:trPr>
          <w:trHeight w:val="400"/>
        </w:trPr>
        <w:tc>
          <w:tcPr>
            <w:tcW w:w="0" w:type="auto"/>
            <w:noWrap/>
            <w:hideMark/>
          </w:tcPr>
          <w:p w14:paraId="4506F906"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378C25E2"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16962C9D"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1A3A50E3"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4356AA3E" w14:textId="77777777" w:rsidR="000019C6" w:rsidRPr="00EF3885" w:rsidRDefault="000019C6" w:rsidP="00756D2A">
            <w:pPr>
              <w:jc w:val="both"/>
              <w:rPr>
                <w:sz w:val="18"/>
                <w:szCs w:val="18"/>
                <w:lang w:bidi="hi-IN"/>
              </w:rPr>
            </w:pPr>
            <w:r>
              <w:rPr>
                <w:rFonts w:hint="cs"/>
                <w:sz w:val="18"/>
                <w:szCs w:val="18"/>
              </w:rPr>
              <w:t xml:space="preserve">0.0115</w:t>
            </w:r>
          </w:p>
        </w:tc>
        <w:tc>
          <w:tcPr>
            <w:tcW w:w="0" w:type="auto"/>
            <w:noWrap/>
            <w:hideMark/>
          </w:tcPr>
          <w:p w14:paraId="41EE9F6D" w14:textId="77777777" w:rsidR="000019C6" w:rsidRPr="00EF3885" w:rsidRDefault="000019C6" w:rsidP="00756D2A">
            <w:pPr>
              <w:jc w:val="both"/>
              <w:rPr>
                <w:sz w:val="18"/>
                <w:szCs w:val="18"/>
                <w:lang w:bidi="hi-IN"/>
              </w:rPr>
            </w:pPr>
            <w:r>
              <w:rPr>
                <w:rFonts w:hint="cs"/>
                <w:sz w:val="18"/>
                <w:szCs w:val="18"/>
              </w:rPr>
              <w:t xml:space="preserve">−0.98</w:t>
            </w:r>
          </w:p>
        </w:tc>
        <w:tc>
          <w:tcPr>
            <w:tcW w:w="0" w:type="auto"/>
            <w:noWrap/>
            <w:hideMark/>
          </w:tcPr>
          <w:p w14:paraId="7A66E15A" w14:textId="77777777" w:rsidR="000019C6" w:rsidRPr="00EF3885" w:rsidRDefault="000019C6" w:rsidP="00756D2A">
            <w:pPr>
              <w:jc w:val="both"/>
              <w:rPr>
                <w:sz w:val="18"/>
                <w:szCs w:val="18"/>
                <w:lang w:bidi="hi-IN"/>
              </w:rPr>
            </w:pPr>
            <w:r>
              <w:rPr>
                <w:rFonts w:hint="cs"/>
                <w:sz w:val="18"/>
                <w:szCs w:val="18"/>
              </w:rPr>
              <w:t xml:space="preserve">8.27</w:t>
            </w:r>
          </w:p>
        </w:tc>
        <w:tc>
          <w:tcPr>
            <w:tcW w:w="0" w:type="auto"/>
            <w:noWrap/>
            <w:hideMark/>
          </w:tcPr>
          <w:p w14:paraId="57E021D8" w14:textId="77777777" w:rsidR="000019C6" w:rsidRPr="00EF3885" w:rsidRDefault="000019C6" w:rsidP="00756D2A">
            <w:pPr>
              <w:jc w:val="both"/>
              <w:rPr>
                <w:sz w:val="18"/>
                <w:szCs w:val="18"/>
                <w:lang w:bidi="hi-IN"/>
              </w:rPr>
            </w:pPr>
            <w:r>
              <w:rPr>
                <w:rFonts w:hint="cs"/>
                <w:sz w:val="18"/>
                <w:szCs w:val="18"/>
              </w:rPr>
              <w:t xml:space="preserve">3,898***</w:t>
            </w:r>
          </w:p>
        </w:tc>
      </w:tr>
      <w:tr w:rsidR="000019C6" w:rsidRPr="00EF3885" w14:paraId="51AD0096" w14:textId="77777777" w:rsidTr="00E3465A">
        <w:trPr>
          <w:trHeight w:val="400"/>
        </w:trPr>
        <w:tc>
          <w:tcPr>
            <w:tcW w:w="0" w:type="auto"/>
            <w:noWrap/>
            <w:hideMark/>
          </w:tcPr>
          <w:p w14:paraId="49F0098E"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18AB7C02"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05C11007"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5A9091F7"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6B8B12F4" w14:textId="77777777" w:rsidR="000019C6" w:rsidRPr="00EF3885" w:rsidRDefault="000019C6" w:rsidP="00756D2A">
            <w:pPr>
              <w:jc w:val="both"/>
              <w:rPr>
                <w:sz w:val="18"/>
                <w:szCs w:val="18"/>
                <w:lang w:bidi="hi-IN"/>
              </w:rPr>
            </w:pPr>
            <w:r>
              <w:rPr>
                <w:rFonts w:hint="cs"/>
                <w:sz w:val="18"/>
                <w:szCs w:val="18"/>
              </w:rPr>
              <w:t xml:space="preserve">0.0037</w:t>
            </w:r>
          </w:p>
        </w:tc>
        <w:tc>
          <w:tcPr>
            <w:tcW w:w="0" w:type="auto"/>
            <w:noWrap/>
            <w:hideMark/>
          </w:tcPr>
          <w:p w14:paraId="50070AF6" w14:textId="77777777" w:rsidR="000019C6" w:rsidRPr="00EF3885" w:rsidRDefault="000019C6" w:rsidP="00756D2A">
            <w:pPr>
              <w:jc w:val="both"/>
              <w:rPr>
                <w:sz w:val="18"/>
                <w:szCs w:val="18"/>
                <w:lang w:bidi="hi-IN"/>
              </w:rPr>
            </w:pPr>
            <w:r>
              <w:rPr>
                <w:rFonts w:hint="cs"/>
                <w:sz w:val="18"/>
                <w:szCs w:val="18"/>
              </w:rPr>
              <w:t xml:space="preserve">−2.04</w:t>
            </w:r>
          </w:p>
        </w:tc>
        <w:tc>
          <w:tcPr>
            <w:tcW w:w="0" w:type="auto"/>
            <w:noWrap/>
            <w:hideMark/>
          </w:tcPr>
          <w:p w14:paraId="393C66D8" w14:textId="77777777" w:rsidR="000019C6" w:rsidRPr="00EF3885" w:rsidRDefault="000019C6" w:rsidP="00756D2A">
            <w:pPr>
              <w:jc w:val="both"/>
              <w:rPr>
                <w:sz w:val="18"/>
                <w:szCs w:val="18"/>
                <w:lang w:bidi="hi-IN"/>
              </w:rPr>
            </w:pPr>
            <w:r>
              <w:rPr>
                <w:rFonts w:hint="cs"/>
                <w:sz w:val="18"/>
                <w:szCs w:val="18"/>
              </w:rPr>
              <w:t xml:space="preserve">40.64</w:t>
            </w:r>
          </w:p>
        </w:tc>
        <w:tc>
          <w:tcPr>
            <w:tcW w:w="0" w:type="auto"/>
            <w:noWrap/>
            <w:hideMark/>
          </w:tcPr>
          <w:p w14:paraId="5D424063" w14:textId="77777777" w:rsidR="000019C6" w:rsidRPr="00EF3885" w:rsidRDefault="000019C6" w:rsidP="00756D2A">
            <w:pPr>
              <w:jc w:val="both"/>
              <w:rPr>
                <w:sz w:val="18"/>
                <w:szCs w:val="18"/>
                <w:lang w:bidi="hi-IN"/>
              </w:rPr>
            </w:pPr>
            <w:r>
              <w:rPr>
                <w:rFonts w:hint="cs"/>
                <w:sz w:val="18"/>
                <w:szCs w:val="18"/>
              </w:rPr>
              <w:t xml:space="preserve">1,310,762***</w:t>
            </w:r>
          </w:p>
        </w:tc>
      </w:tr>
      <w:tr w:rsidR="000019C6" w:rsidRPr="00EF3885" w14:paraId="2836BF36" w14:textId="77777777" w:rsidTr="00E3465A">
        <w:trPr>
          <w:trHeight w:val="400"/>
        </w:trPr>
        <w:tc>
          <w:tcPr>
            <w:tcW w:w="0" w:type="auto"/>
            <w:noWrap/>
            <w:hideMark/>
          </w:tcPr>
          <w:p w14:paraId="74FC6689"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11F69321"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3B77081E"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607F4A67"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1C08462B" w14:textId="77777777" w:rsidR="000019C6" w:rsidRPr="00EF3885" w:rsidRDefault="000019C6" w:rsidP="00756D2A">
            <w:pPr>
              <w:jc w:val="both"/>
              <w:rPr>
                <w:sz w:val="18"/>
                <w:szCs w:val="18"/>
                <w:lang w:bidi="hi-IN"/>
              </w:rPr>
            </w:pPr>
            <w:r>
              <w:rPr>
                <w:rFonts w:hint="cs"/>
                <w:sz w:val="18"/>
                <w:szCs w:val="18"/>
              </w:rPr>
              <w:t xml:space="preserve">0.0049</w:t>
            </w:r>
          </w:p>
        </w:tc>
        <w:tc>
          <w:tcPr>
            <w:tcW w:w="0" w:type="auto"/>
            <w:noWrap/>
            <w:hideMark/>
          </w:tcPr>
          <w:p w14:paraId="1FB366E9" w14:textId="77777777" w:rsidR="000019C6" w:rsidRPr="00EF3885" w:rsidRDefault="000019C6" w:rsidP="00756D2A">
            <w:pPr>
              <w:jc w:val="both"/>
              <w:rPr>
                <w:sz w:val="18"/>
                <w:szCs w:val="18"/>
                <w:lang w:bidi="hi-IN"/>
              </w:rPr>
            </w:pPr>
            <w:r>
              <w:rPr>
                <w:rFonts w:hint="cs"/>
                <w:sz w:val="18"/>
                <w:szCs w:val="18"/>
              </w:rPr>
              <w:t xml:space="preserve">−1.56</w:t>
            </w:r>
          </w:p>
        </w:tc>
        <w:tc>
          <w:tcPr>
            <w:tcW w:w="0" w:type="auto"/>
            <w:noWrap/>
            <w:hideMark/>
          </w:tcPr>
          <w:p w14:paraId="407FBEA1" w14:textId="77777777" w:rsidR="000019C6" w:rsidRPr="00EF3885" w:rsidRDefault="000019C6" w:rsidP="00756D2A">
            <w:pPr>
              <w:jc w:val="both"/>
              <w:rPr>
                <w:sz w:val="18"/>
                <w:szCs w:val="18"/>
                <w:lang w:bidi="hi-IN"/>
              </w:rPr>
            </w:pPr>
            <w:r>
              <w:rPr>
                <w:rFonts w:hint="cs"/>
                <w:sz w:val="18"/>
                <w:szCs w:val="18"/>
              </w:rPr>
              <w:t xml:space="preserve">19.54</w:t>
            </w:r>
          </w:p>
        </w:tc>
        <w:tc>
          <w:tcPr>
            <w:tcW w:w="0" w:type="auto"/>
            <w:noWrap/>
            <w:hideMark/>
          </w:tcPr>
          <w:p w14:paraId="7FC0F2FD" w14:textId="77777777" w:rsidR="000019C6" w:rsidRPr="00EF3885" w:rsidRDefault="000019C6" w:rsidP="00756D2A">
            <w:pPr>
              <w:jc w:val="both"/>
              <w:rPr>
                <w:sz w:val="18"/>
                <w:szCs w:val="18"/>
                <w:lang w:bidi="hi-IN"/>
              </w:rPr>
            </w:pPr>
            <w:r>
              <w:rPr>
                <w:rFonts w:hint="cs"/>
                <w:sz w:val="18"/>
                <w:szCs w:val="18"/>
              </w:rPr>
              <w:t xml:space="preserve">159,748***</w:t>
            </w:r>
          </w:p>
        </w:tc>
      </w:tr>
      <w:tr w:rsidR="000019C6" w:rsidRPr="00EF3885" w14:paraId="020D8E97" w14:textId="77777777" w:rsidTr="00E3465A">
        <w:trPr>
          <w:trHeight w:val="400"/>
        </w:trPr>
        <w:tc>
          <w:tcPr>
            <w:tcW w:w="0" w:type="auto"/>
            <w:noWrap/>
            <w:hideMark/>
          </w:tcPr>
          <w:p w14:paraId="5752324A" w14:textId="77777777" w:rsidR="000019C6" w:rsidRPr="00EF3885" w:rsidRDefault="000019C6" w:rsidP="00756D2A">
            <w:pPr>
              <w:suppressAutoHyphens/>
              <w:jc w:val="both"/>
              <w:rPr>
                <w:b/>
                <w:bCs/>
                <w:sz w:val="18"/>
                <w:szCs w:val="18"/>
                <w:lang w:bidi="hi-IN"/>
              </w:rPr>
            </w:pPr>
            <w:r>
              <w:rPr>
                <w:rFonts w:hint="cs"/>
                <w:sz w:val="18"/>
                <w:szCs w:val="18"/>
              </w:rPr>
              <w:t xml:space="preserve">VNINDEX</w:t>
            </w:r>
          </w:p>
        </w:tc>
        <w:tc>
          <w:tcPr>
            <w:tcW w:w="0" w:type="auto"/>
            <w:noWrap/>
            <w:hideMark/>
          </w:tcPr>
          <w:p w14:paraId="07601927"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0CB19F99"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15446D6D"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50F8E3FC" w14:textId="77777777" w:rsidR="000019C6" w:rsidRPr="00EF3885" w:rsidRDefault="000019C6" w:rsidP="00756D2A">
            <w:pPr>
              <w:jc w:val="both"/>
              <w:rPr>
                <w:sz w:val="18"/>
                <w:szCs w:val="18"/>
                <w:lang w:bidi="hi-IN"/>
              </w:rPr>
            </w:pPr>
            <w:r>
              <w:rPr>
                <w:rFonts w:hint="cs"/>
                <w:sz w:val="18"/>
                <w:szCs w:val="18"/>
              </w:rPr>
              <w:t xml:space="preserve">0.0080</w:t>
            </w:r>
          </w:p>
        </w:tc>
        <w:tc>
          <w:tcPr>
            <w:tcW w:w="0" w:type="auto"/>
            <w:noWrap/>
            <w:hideMark/>
          </w:tcPr>
          <w:p w14:paraId="72484632" w14:textId="77777777" w:rsidR="000019C6" w:rsidRPr="00EF3885" w:rsidRDefault="000019C6" w:rsidP="00756D2A">
            <w:pPr>
              <w:jc w:val="both"/>
              <w:rPr>
                <w:sz w:val="18"/>
                <w:szCs w:val="18"/>
                <w:lang w:bidi="hi-IN"/>
              </w:rPr>
            </w:pPr>
            <w:r>
              <w:rPr>
                <w:rFonts w:hint="cs"/>
                <w:sz w:val="18"/>
                <w:szCs w:val="18"/>
              </w:rPr>
              <w:t xml:space="preserve">−1.31</w:t>
            </w:r>
          </w:p>
        </w:tc>
        <w:tc>
          <w:tcPr>
            <w:tcW w:w="0" w:type="auto"/>
            <w:noWrap/>
            <w:hideMark/>
          </w:tcPr>
          <w:p w14:paraId="59B9D104" w14:textId="77777777" w:rsidR="000019C6" w:rsidRPr="00EF3885" w:rsidRDefault="000019C6" w:rsidP="00756D2A">
            <w:pPr>
              <w:jc w:val="both"/>
              <w:rPr>
                <w:sz w:val="18"/>
                <w:szCs w:val="18"/>
                <w:lang w:bidi="hi-IN"/>
              </w:rPr>
            </w:pPr>
            <w:r>
              <w:rPr>
                <w:rFonts w:hint="cs"/>
                <w:sz w:val="18"/>
                <w:szCs w:val="18"/>
              </w:rPr>
              <w:t xml:space="preserve">11.99</w:t>
            </w:r>
          </w:p>
        </w:tc>
        <w:tc>
          <w:tcPr>
            <w:tcW w:w="0" w:type="auto"/>
            <w:noWrap/>
            <w:hideMark/>
          </w:tcPr>
          <w:p w14:paraId="48947306" w14:textId="77777777" w:rsidR="000019C6" w:rsidRPr="00EF3885" w:rsidRDefault="000019C6" w:rsidP="00756D2A">
            <w:pPr>
              <w:jc w:val="both"/>
              <w:rPr>
                <w:sz w:val="18"/>
                <w:szCs w:val="18"/>
                <w:lang w:bidi="hi-IN"/>
              </w:rPr>
            </w:pPr>
            <w:r>
              <w:rPr>
                <w:rFonts w:hint="cs"/>
                <w:sz w:val="18"/>
                <w:szCs w:val="18"/>
              </w:rPr>
              <w:t xml:space="preserve">19,767***</w:t>
            </w:r>
          </w:p>
        </w:tc>
      </w:tr>
      <w:tr w:rsidR="000019C6" w:rsidRPr="00EF3885" w14:paraId="4E79AE69" w14:textId="77777777" w:rsidTr="00E3465A">
        <w:trPr>
          <w:trHeight w:val="400"/>
        </w:trPr>
        <w:tc>
          <w:tcPr>
            <w:tcW w:w="0" w:type="auto"/>
            <w:noWrap/>
            <w:hideMark/>
          </w:tcPr>
          <w:p w14:paraId="5D23EF6D"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46A507C2" w14:textId="77777777" w:rsidR="000019C6" w:rsidRPr="00EF3885" w:rsidRDefault="000019C6" w:rsidP="00756D2A">
            <w:pPr>
              <w:jc w:val="both"/>
              <w:rPr>
                <w:sz w:val="18"/>
                <w:szCs w:val="18"/>
                <w:lang w:bidi="hi-IN"/>
              </w:rPr>
            </w:pPr>
            <w:r>
              <w:rPr>
                <w:rFonts w:hint="cs"/>
                <w:sz w:val="18"/>
                <w:szCs w:val="18"/>
              </w:rPr>
              <w:t xml:space="preserve">Daily</w:t>
            </w:r>
          </w:p>
        </w:tc>
        <w:tc>
          <w:tcPr>
            <w:tcW w:w="0" w:type="auto"/>
            <w:noWrap/>
            <w:hideMark/>
          </w:tcPr>
          <w:p w14:paraId="4427822E" w14:textId="77777777" w:rsidR="000019C6" w:rsidRPr="00EF3885" w:rsidRDefault="000019C6" w:rsidP="00756D2A">
            <w:pPr>
              <w:jc w:val="both"/>
              <w:rPr>
                <w:sz w:val="18"/>
                <w:szCs w:val="18"/>
                <w:lang w:bidi="hi-IN"/>
              </w:rPr>
            </w:pPr>
            <w:r>
              <w:rPr>
                <w:rFonts w:hint="cs"/>
                <w:sz w:val="18"/>
                <w:szCs w:val="18"/>
              </w:rPr>
              <w:t xml:space="preserve">2,963</w:t>
            </w:r>
          </w:p>
        </w:tc>
        <w:tc>
          <w:tcPr>
            <w:tcW w:w="0" w:type="auto"/>
            <w:noWrap/>
            <w:hideMark/>
          </w:tcPr>
          <w:p w14:paraId="3AB9FD59" w14:textId="77777777" w:rsidR="000019C6" w:rsidRPr="00EF3885" w:rsidRDefault="000019C6" w:rsidP="00756D2A">
            <w:pPr>
              <w:jc w:val="both"/>
              <w:rPr>
                <w:sz w:val="18"/>
                <w:szCs w:val="18"/>
                <w:lang w:bidi="hi-IN"/>
              </w:rPr>
            </w:pPr>
            <w:r>
              <w:rPr>
                <w:rFonts w:hint="cs"/>
                <w:sz w:val="18"/>
                <w:szCs w:val="18"/>
              </w:rPr>
              <w:t xml:space="preserve">0.0004</w:t>
            </w:r>
          </w:p>
        </w:tc>
        <w:tc>
          <w:tcPr>
            <w:tcW w:w="0" w:type="auto"/>
            <w:noWrap/>
            <w:hideMark/>
          </w:tcPr>
          <w:p w14:paraId="02264596" w14:textId="77777777" w:rsidR="000019C6" w:rsidRPr="00EF3885" w:rsidRDefault="000019C6" w:rsidP="00756D2A">
            <w:pPr>
              <w:jc w:val="both"/>
              <w:rPr>
                <w:sz w:val="18"/>
                <w:szCs w:val="18"/>
                <w:lang w:bidi="hi-IN"/>
              </w:rPr>
            </w:pPr>
            <w:r>
              <w:rPr>
                <w:rFonts w:hint="cs"/>
                <w:sz w:val="18"/>
                <w:szCs w:val="18"/>
              </w:rPr>
              <w:t xml:space="preserve">0.0124</w:t>
            </w:r>
          </w:p>
        </w:tc>
        <w:tc>
          <w:tcPr>
            <w:tcW w:w="0" w:type="auto"/>
            <w:noWrap/>
            <w:hideMark/>
          </w:tcPr>
          <w:p w14:paraId="24756C8F" w14:textId="77777777" w:rsidR="000019C6" w:rsidRPr="00EF3885" w:rsidRDefault="000019C6" w:rsidP="00756D2A">
            <w:pPr>
              <w:jc w:val="both"/>
              <w:rPr>
                <w:sz w:val="18"/>
                <w:szCs w:val="18"/>
                <w:lang w:bidi="hi-IN"/>
              </w:rPr>
            </w:pPr>
            <w:r>
              <w:rPr>
                <w:rFonts w:hint="cs"/>
                <w:sz w:val="18"/>
                <w:szCs w:val="18"/>
              </w:rPr>
              <w:t xml:space="preserve">−1.07</w:t>
            </w:r>
          </w:p>
        </w:tc>
        <w:tc>
          <w:tcPr>
            <w:tcW w:w="0" w:type="auto"/>
            <w:noWrap/>
            <w:hideMark/>
          </w:tcPr>
          <w:p w14:paraId="47D26032" w14:textId="77777777" w:rsidR="000019C6" w:rsidRPr="00EF3885" w:rsidRDefault="000019C6" w:rsidP="00756D2A">
            <w:pPr>
              <w:jc w:val="both"/>
              <w:rPr>
                <w:sz w:val="18"/>
                <w:szCs w:val="18"/>
                <w:lang w:bidi="hi-IN"/>
              </w:rPr>
            </w:pPr>
            <w:r>
              <w:rPr>
                <w:rFonts w:hint="cs"/>
                <w:sz w:val="18"/>
                <w:szCs w:val="18"/>
              </w:rPr>
              <w:t xml:space="preserve">8.15</w:t>
            </w:r>
          </w:p>
        </w:tc>
        <w:tc>
          <w:tcPr>
            <w:tcW w:w="0" w:type="auto"/>
            <w:noWrap/>
            <w:hideMark/>
          </w:tcPr>
          <w:p w14:paraId="6CC14B7B" w14:textId="77777777" w:rsidR="000019C6" w:rsidRPr="00EF3885" w:rsidRDefault="000019C6" w:rsidP="00756D2A">
            <w:pPr>
              <w:jc w:val="both"/>
              <w:rPr>
                <w:sz w:val="18"/>
                <w:szCs w:val="18"/>
                <w:lang w:bidi="hi-IN"/>
              </w:rPr>
            </w:pPr>
            <w:r>
              <w:rPr>
                <w:rFonts w:hint="cs"/>
                <w:sz w:val="18"/>
                <w:szCs w:val="18"/>
              </w:rPr>
              <w:t xml:space="preserve">3,837***</w:t>
            </w:r>
          </w:p>
        </w:tc>
      </w:tr>
      <w:tr w:rsidR="000019C6" w:rsidRPr="00EF3885" w14:paraId="76CBDD02" w14:textId="77777777" w:rsidTr="00E3465A">
        <w:trPr>
          <w:trHeight w:val="400"/>
        </w:trPr>
        <w:tc>
          <w:tcPr>
            <w:tcW w:w="0" w:type="auto"/>
            <w:noWrap/>
            <w:hideMark/>
          </w:tcPr>
          <w:p w14:paraId="2D24CE3C"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78089056" w14:textId="77777777" w:rsidR="000019C6" w:rsidRPr="00EF3885" w:rsidRDefault="000019C6" w:rsidP="00756D2A">
            <w:pPr>
              <w:jc w:val="both"/>
              <w:rPr>
                <w:sz w:val="18"/>
                <w:szCs w:val="18"/>
                <w:lang w:bidi="hi-IN"/>
              </w:rPr>
            </w:pPr>
            <w:r>
              <w:rPr>
                <w:rFonts w:hint="cs"/>
                <w:sz w:val="18"/>
                <w:szCs w:val="18"/>
              </w:rPr>
              <w:t xml:space="preserve">M30</w:t>
            </w:r>
          </w:p>
        </w:tc>
        <w:tc>
          <w:tcPr>
            <w:tcW w:w="0" w:type="auto"/>
            <w:noWrap/>
            <w:hideMark/>
          </w:tcPr>
          <w:p w14:paraId="7B962A73" w14:textId="77777777" w:rsidR="000019C6" w:rsidRPr="00EF3885" w:rsidRDefault="000019C6" w:rsidP="00756D2A">
            <w:pPr>
              <w:jc w:val="both"/>
              <w:rPr>
                <w:sz w:val="18"/>
                <w:szCs w:val="18"/>
                <w:lang w:bidi="hi-IN"/>
              </w:rPr>
            </w:pPr>
            <w:r>
              <w:rPr>
                <w:rFonts w:hint="cs"/>
                <w:sz w:val="18"/>
                <w:szCs w:val="18"/>
              </w:rPr>
              <w:t xml:space="preserve">21,942</w:t>
            </w:r>
          </w:p>
        </w:tc>
        <w:tc>
          <w:tcPr>
            <w:tcW w:w="0" w:type="auto"/>
            <w:noWrap/>
            <w:hideMark/>
          </w:tcPr>
          <w:p w14:paraId="4AE77DAE" w14:textId="77777777" w:rsidR="000019C6" w:rsidRPr="00EF3885" w:rsidRDefault="000019C6" w:rsidP="00756D2A">
            <w:pPr>
              <w:jc w:val="both"/>
              <w:rPr>
                <w:sz w:val="18"/>
                <w:szCs w:val="18"/>
                <w:lang w:bidi="hi-IN"/>
              </w:rPr>
            </w:pPr>
            <w:r>
              <w:rPr>
                <w:rFonts w:hint="cs"/>
                <w:sz w:val="18"/>
                <w:szCs w:val="18"/>
              </w:rPr>
              <w:t xml:space="preserve">0.0000</w:t>
            </w:r>
          </w:p>
        </w:tc>
        <w:tc>
          <w:tcPr>
            <w:tcW w:w="0" w:type="auto"/>
            <w:noWrap/>
            <w:hideMark/>
          </w:tcPr>
          <w:p w14:paraId="39C6FE42" w14:textId="77777777" w:rsidR="000019C6" w:rsidRPr="00EF3885" w:rsidRDefault="000019C6" w:rsidP="00756D2A">
            <w:pPr>
              <w:jc w:val="both"/>
              <w:rPr>
                <w:sz w:val="18"/>
                <w:szCs w:val="18"/>
                <w:lang w:bidi="hi-IN"/>
              </w:rPr>
            </w:pPr>
            <w:r>
              <w:rPr>
                <w:rFonts w:hint="cs"/>
                <w:sz w:val="18"/>
                <w:szCs w:val="18"/>
              </w:rPr>
              <w:t xml:space="preserve">0.0041</w:t>
            </w:r>
          </w:p>
        </w:tc>
        <w:tc>
          <w:tcPr>
            <w:tcW w:w="0" w:type="auto"/>
            <w:noWrap/>
            <w:hideMark/>
          </w:tcPr>
          <w:p w14:paraId="76D1B61E" w14:textId="77777777" w:rsidR="000019C6" w:rsidRPr="00EF3885" w:rsidRDefault="000019C6" w:rsidP="00756D2A">
            <w:pPr>
              <w:jc w:val="both"/>
              <w:rPr>
                <w:sz w:val="18"/>
                <w:szCs w:val="18"/>
                <w:lang w:bidi="hi-IN"/>
              </w:rPr>
            </w:pPr>
            <w:r>
              <w:rPr>
                <w:rFonts w:hint="cs"/>
                <w:sz w:val="18"/>
                <w:szCs w:val="18"/>
              </w:rPr>
              <w:t xml:space="preserve">−1.87</w:t>
            </w:r>
          </w:p>
        </w:tc>
        <w:tc>
          <w:tcPr>
            <w:tcW w:w="0" w:type="auto"/>
            <w:noWrap/>
            <w:hideMark/>
          </w:tcPr>
          <w:p w14:paraId="6644880B" w14:textId="77777777" w:rsidR="000019C6" w:rsidRPr="00EF3885" w:rsidRDefault="000019C6" w:rsidP="00756D2A">
            <w:pPr>
              <w:jc w:val="both"/>
              <w:rPr>
                <w:sz w:val="18"/>
                <w:szCs w:val="18"/>
                <w:lang w:bidi="hi-IN"/>
              </w:rPr>
            </w:pPr>
            <w:r>
              <w:rPr>
                <w:rFonts w:hint="cs"/>
                <w:sz w:val="18"/>
                <w:szCs w:val="18"/>
              </w:rPr>
              <w:t xml:space="preserve">33.94</w:t>
            </w:r>
          </w:p>
        </w:tc>
        <w:tc>
          <w:tcPr>
            <w:tcW w:w="0" w:type="auto"/>
            <w:noWrap/>
            <w:hideMark/>
          </w:tcPr>
          <w:p w14:paraId="6E240475" w14:textId="77777777" w:rsidR="000019C6" w:rsidRPr="00EF3885" w:rsidRDefault="000019C6" w:rsidP="00756D2A">
            <w:pPr>
              <w:jc w:val="both"/>
              <w:rPr>
                <w:sz w:val="18"/>
                <w:szCs w:val="18"/>
                <w:lang w:bidi="hi-IN"/>
              </w:rPr>
            </w:pPr>
            <w:r>
              <w:rPr>
                <w:rFonts w:hint="cs"/>
                <w:sz w:val="18"/>
                <w:szCs w:val="18"/>
              </w:rPr>
              <w:t xml:space="preserve">887,934***</w:t>
            </w:r>
          </w:p>
        </w:tc>
      </w:tr>
      <w:tr w:rsidR="000019C6" w:rsidRPr="00EF3885" w14:paraId="200E0225" w14:textId="77777777" w:rsidTr="00E3465A">
        <w:trPr>
          <w:trHeight w:val="400"/>
        </w:trPr>
        <w:tc>
          <w:tcPr>
            <w:tcW w:w="0" w:type="auto"/>
            <w:noWrap/>
            <w:hideMark/>
          </w:tcPr>
          <w:p w14:paraId="05EA9422"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1341A051" w14:textId="77777777" w:rsidR="000019C6" w:rsidRPr="00EF3885" w:rsidRDefault="000019C6" w:rsidP="00756D2A">
            <w:pPr>
              <w:jc w:val="both"/>
              <w:rPr>
                <w:sz w:val="18"/>
                <w:szCs w:val="18"/>
                <w:lang w:bidi="hi-IN"/>
              </w:rPr>
            </w:pPr>
            <w:r>
              <w:rPr>
                <w:rFonts w:hint="cs"/>
                <w:sz w:val="18"/>
                <w:szCs w:val="18"/>
              </w:rPr>
              <w:t xml:space="preserve">H1</w:t>
            </w:r>
          </w:p>
        </w:tc>
        <w:tc>
          <w:tcPr>
            <w:tcW w:w="0" w:type="auto"/>
            <w:noWrap/>
            <w:hideMark/>
          </w:tcPr>
          <w:p w14:paraId="57AFED3C" w14:textId="77777777" w:rsidR="000019C6" w:rsidRPr="00EF3885" w:rsidRDefault="000019C6" w:rsidP="00756D2A">
            <w:pPr>
              <w:jc w:val="both"/>
              <w:rPr>
                <w:sz w:val="18"/>
                <w:szCs w:val="18"/>
                <w:lang w:bidi="hi-IN"/>
              </w:rPr>
            </w:pPr>
            <w:r>
              <w:rPr>
                <w:rFonts w:hint="cs"/>
                <w:sz w:val="18"/>
                <w:szCs w:val="18"/>
              </w:rPr>
              <w:t xml:space="preserve">13,523</w:t>
            </w:r>
          </w:p>
        </w:tc>
        <w:tc>
          <w:tcPr>
            <w:tcW w:w="0" w:type="auto"/>
            <w:noWrap/>
            <w:hideMark/>
          </w:tcPr>
          <w:p w14:paraId="132CFE47" w14:textId="77777777" w:rsidR="000019C6" w:rsidRPr="00EF3885" w:rsidRDefault="000019C6" w:rsidP="00756D2A">
            <w:pPr>
              <w:jc w:val="both"/>
              <w:rPr>
                <w:sz w:val="18"/>
                <w:szCs w:val="18"/>
                <w:lang w:bidi="hi-IN"/>
              </w:rPr>
            </w:pPr>
            <w:r>
              <w:rPr>
                <w:rFonts w:hint="cs"/>
                <w:sz w:val="18"/>
                <w:szCs w:val="18"/>
              </w:rPr>
              <w:t xml:space="preserve">0.0001</w:t>
            </w:r>
          </w:p>
        </w:tc>
        <w:tc>
          <w:tcPr>
            <w:tcW w:w="0" w:type="auto"/>
            <w:noWrap/>
            <w:hideMark/>
          </w:tcPr>
          <w:p w14:paraId="30721BF5" w14:textId="77777777" w:rsidR="000019C6" w:rsidRPr="00EF3885" w:rsidRDefault="000019C6" w:rsidP="00756D2A">
            <w:pPr>
              <w:jc w:val="both"/>
              <w:rPr>
                <w:sz w:val="18"/>
                <w:szCs w:val="18"/>
                <w:lang w:bidi="hi-IN"/>
              </w:rPr>
            </w:pPr>
            <w:r>
              <w:rPr>
                <w:rFonts w:hint="cs"/>
                <w:sz w:val="18"/>
                <w:szCs w:val="18"/>
              </w:rPr>
              <w:t xml:space="preserve">0.0052</w:t>
            </w:r>
          </w:p>
        </w:tc>
        <w:tc>
          <w:tcPr>
            <w:tcW w:w="0" w:type="auto"/>
            <w:noWrap/>
            <w:hideMark/>
          </w:tcPr>
          <w:p w14:paraId="092C00E2" w14:textId="77777777" w:rsidR="000019C6" w:rsidRPr="00EF3885" w:rsidRDefault="000019C6" w:rsidP="00756D2A">
            <w:pPr>
              <w:jc w:val="both"/>
              <w:rPr>
                <w:sz w:val="18"/>
                <w:szCs w:val="18"/>
                <w:lang w:bidi="hi-IN"/>
              </w:rPr>
            </w:pPr>
            <w:r>
              <w:rPr>
                <w:rFonts w:hint="cs"/>
                <w:sz w:val="18"/>
                <w:szCs w:val="18"/>
              </w:rPr>
              <w:t xml:space="preserve">−1.51</w:t>
            </w:r>
          </w:p>
        </w:tc>
        <w:tc>
          <w:tcPr>
            <w:tcW w:w="0" w:type="auto"/>
            <w:noWrap/>
            <w:hideMark/>
          </w:tcPr>
          <w:p w14:paraId="782A9446" w14:textId="77777777" w:rsidR="000019C6" w:rsidRPr="00EF3885" w:rsidRDefault="000019C6" w:rsidP="00756D2A">
            <w:pPr>
              <w:jc w:val="both"/>
              <w:rPr>
                <w:sz w:val="18"/>
                <w:szCs w:val="18"/>
                <w:lang w:bidi="hi-IN"/>
              </w:rPr>
            </w:pPr>
            <w:r>
              <w:rPr>
                <w:rFonts w:hint="cs"/>
                <w:sz w:val="18"/>
                <w:szCs w:val="18"/>
              </w:rPr>
              <w:t xml:space="preserve">18.81</w:t>
            </w:r>
          </w:p>
        </w:tc>
        <w:tc>
          <w:tcPr>
            <w:tcW w:w="0" w:type="auto"/>
            <w:noWrap/>
            <w:hideMark/>
          </w:tcPr>
          <w:p w14:paraId="148727C9" w14:textId="77777777" w:rsidR="000019C6" w:rsidRPr="00EF3885" w:rsidRDefault="000019C6" w:rsidP="00756D2A">
            <w:pPr>
              <w:jc w:val="both"/>
              <w:rPr>
                <w:sz w:val="18"/>
                <w:szCs w:val="18"/>
                <w:lang w:bidi="hi-IN"/>
              </w:rPr>
            </w:pPr>
            <w:r>
              <w:rPr>
                <w:rFonts w:hint="cs"/>
                <w:sz w:val="18"/>
                <w:szCs w:val="18"/>
              </w:rPr>
              <w:t xml:space="preserve">145,968***</w:t>
            </w:r>
          </w:p>
        </w:tc>
      </w:tr>
      <w:tr w:rsidR="000019C6" w:rsidRPr="00EF3885" w14:paraId="5A56BF3F" w14:textId="77777777" w:rsidTr="00E3465A">
        <w:trPr>
          <w:trHeight w:val="400"/>
        </w:trPr>
        <w:tc>
          <w:tcPr>
            <w:tcW w:w="0" w:type="auto"/>
            <w:noWrap/>
            <w:hideMark/>
          </w:tcPr>
          <w:p w14:paraId="5474FACA" w14:textId="77777777" w:rsidR="000019C6" w:rsidRPr="00EF3885" w:rsidRDefault="000019C6" w:rsidP="00756D2A">
            <w:pPr>
              <w:suppressAutoHyphens/>
              <w:jc w:val="both"/>
              <w:rPr>
                <w:b/>
                <w:bCs/>
                <w:sz w:val="18"/>
                <w:szCs w:val="18"/>
                <w:lang w:bidi="hi-IN"/>
              </w:rPr>
            </w:pPr>
            <w:r>
              <w:rPr>
                <w:rFonts w:hint="cs"/>
                <w:sz w:val="18"/>
                <w:szCs w:val="18"/>
              </w:rPr>
              <w:t xml:space="preserve">P</w:t>
            </w:r>
            <w:r>
              <w:rPr>
                <w:rFonts w:hint="cs"/>
                <w:sz w:val="18"/>
                <w:szCs w:val="18"/>
                <w:vertAlign w:val="subscript"/>
              </w:rPr>
              <w:t xml:space="preserve">cap</w:t>
            </w:r>
          </w:p>
        </w:tc>
        <w:tc>
          <w:tcPr>
            <w:tcW w:w="0" w:type="auto"/>
            <w:noWrap/>
            <w:hideMark/>
          </w:tcPr>
          <w:p w14:paraId="26C5FDD0" w14:textId="77777777" w:rsidR="000019C6" w:rsidRPr="00EF3885" w:rsidRDefault="000019C6" w:rsidP="00756D2A">
            <w:pPr>
              <w:jc w:val="both"/>
              <w:rPr>
                <w:sz w:val="18"/>
                <w:szCs w:val="18"/>
                <w:lang w:bidi="hi-IN"/>
              </w:rPr>
            </w:pPr>
            <w:r>
              <w:rPr>
                <w:rFonts w:hint="cs"/>
                <w:sz w:val="18"/>
                <w:szCs w:val="18"/>
              </w:rPr>
              <w:t xml:space="preserve">H4</w:t>
            </w:r>
          </w:p>
        </w:tc>
        <w:tc>
          <w:tcPr>
            <w:tcW w:w="0" w:type="auto"/>
            <w:noWrap/>
            <w:hideMark/>
          </w:tcPr>
          <w:p w14:paraId="14A6D3A8" w14:textId="77777777" w:rsidR="000019C6" w:rsidRPr="00EF3885" w:rsidRDefault="000019C6" w:rsidP="00756D2A">
            <w:pPr>
              <w:jc w:val="both"/>
              <w:rPr>
                <w:sz w:val="18"/>
                <w:szCs w:val="18"/>
                <w:lang w:bidi="hi-IN"/>
              </w:rPr>
            </w:pPr>
            <w:r>
              <w:rPr>
                <w:rFonts w:hint="cs"/>
                <w:sz w:val="18"/>
                <w:szCs w:val="18"/>
              </w:rPr>
              <w:t xml:space="preserve">5,410</w:t>
            </w:r>
          </w:p>
        </w:tc>
        <w:tc>
          <w:tcPr>
            <w:tcW w:w="0" w:type="auto"/>
            <w:noWrap/>
            <w:hideMark/>
          </w:tcPr>
          <w:p w14:paraId="5F128542" w14:textId="77777777" w:rsidR="000019C6" w:rsidRPr="00EF3885" w:rsidRDefault="000019C6" w:rsidP="00756D2A">
            <w:pPr>
              <w:jc w:val="both"/>
              <w:rPr>
                <w:sz w:val="18"/>
                <w:szCs w:val="18"/>
                <w:lang w:bidi="hi-IN"/>
              </w:rPr>
            </w:pPr>
            <w:r>
              <w:rPr>
                <w:rFonts w:hint="cs"/>
                <w:sz w:val="18"/>
                <w:szCs w:val="18"/>
              </w:rPr>
              <w:t xml:space="preserve">0.0002</w:t>
            </w:r>
          </w:p>
        </w:tc>
        <w:tc>
          <w:tcPr>
            <w:tcW w:w="0" w:type="auto"/>
            <w:noWrap/>
            <w:hideMark/>
          </w:tcPr>
          <w:p w14:paraId="61298339" w14:textId="77777777" w:rsidR="000019C6" w:rsidRPr="00EF3885" w:rsidRDefault="000019C6" w:rsidP="00756D2A">
            <w:pPr>
              <w:jc w:val="both"/>
              <w:rPr>
                <w:sz w:val="18"/>
                <w:szCs w:val="18"/>
                <w:lang w:bidi="hi-IN"/>
              </w:rPr>
            </w:pPr>
            <w:r>
              <w:rPr>
                <w:rFonts w:hint="cs"/>
                <w:sz w:val="18"/>
                <w:szCs w:val="18"/>
              </w:rPr>
              <w:t xml:space="preserve">0.0086</w:t>
            </w:r>
          </w:p>
        </w:tc>
        <w:tc>
          <w:tcPr>
            <w:tcW w:w="0" w:type="auto"/>
            <w:noWrap/>
            <w:hideMark/>
          </w:tcPr>
          <w:p w14:paraId="1D67092A" w14:textId="77777777" w:rsidR="000019C6" w:rsidRPr="00EF3885" w:rsidRDefault="000019C6" w:rsidP="00756D2A">
            <w:pPr>
              <w:jc w:val="both"/>
              <w:rPr>
                <w:sz w:val="18"/>
                <w:szCs w:val="18"/>
                <w:lang w:bidi="hi-IN"/>
              </w:rPr>
            </w:pPr>
            <w:r>
              <w:rPr>
                <w:rFonts w:hint="cs"/>
                <w:sz w:val="18"/>
                <w:szCs w:val="18"/>
              </w:rPr>
              <w:t xml:space="preserve">−1.33</w:t>
            </w:r>
          </w:p>
        </w:tc>
        <w:tc>
          <w:tcPr>
            <w:tcW w:w="0" w:type="auto"/>
            <w:noWrap/>
            <w:hideMark/>
          </w:tcPr>
          <w:p w14:paraId="14D75F4F" w14:textId="77777777" w:rsidR="000019C6" w:rsidRPr="00EF3885" w:rsidRDefault="000019C6" w:rsidP="00756D2A">
            <w:pPr>
              <w:jc w:val="both"/>
              <w:rPr>
                <w:sz w:val="18"/>
                <w:szCs w:val="18"/>
                <w:lang w:bidi="hi-IN"/>
              </w:rPr>
            </w:pPr>
            <w:r>
              <w:rPr>
                <w:rFonts w:hint="cs"/>
                <w:sz w:val="18"/>
                <w:szCs w:val="18"/>
              </w:rPr>
              <w:t xml:space="preserve">11.69</w:t>
            </w:r>
          </w:p>
        </w:tc>
        <w:tc>
          <w:tcPr>
            <w:tcW w:w="0" w:type="auto"/>
            <w:noWrap/>
            <w:hideMark/>
          </w:tcPr>
          <w:p w14:paraId="25702561" w14:textId="77777777" w:rsidR="000019C6" w:rsidRPr="00EF3885" w:rsidRDefault="000019C6" w:rsidP="00756D2A">
            <w:pPr>
              <w:jc w:val="both"/>
              <w:rPr>
                <w:sz w:val="18"/>
                <w:szCs w:val="18"/>
                <w:lang w:bidi="hi-IN"/>
              </w:rPr>
            </w:pPr>
            <w:r>
              <w:rPr>
                <w:rFonts w:hint="cs"/>
                <w:sz w:val="18"/>
                <w:szCs w:val="18"/>
              </w:rPr>
              <w:t xml:space="preserve">18,632***</w:t>
            </w:r>
          </w:p>
        </w:tc>
      </w:tr>
    </w:tbl>
    <w:p w14:paraId="4CF3B8E4" w14:textId="38E6C41C" w:rsidR="000019C6" w:rsidRPr="00756D2A" w:rsidRDefault="000019C6" w:rsidP="00756D2A">
      <w:pPr>
        <w:spacing w:before="60" w:after="200"/>
        <w:jc w:val="both"/>
        <w:rPr>
          <w:lang w:eastAsia="zh-CN"/>
        </w:rPr>
      </w:pPr>
      <w:r>
        <w:rPr>
          <w:rFonts w:hint="cs"/>
        </w:rPr>
        <w:t xml:space="preserve">Notes: Kurt. is non-excess kurtosis; P</w:t>
      </w:r>
      <w:r>
        <w:rPr>
          <w:rFonts w:hint="cs"/>
          <w:vertAlign w:val="subscript"/>
        </w:rPr>
        <w:t xml:space="preserve">cap</w:t>
      </w:r>
      <w:r>
        <w:rPr>
          <w:rFonts w:hint="cs"/>
        </w:rPr>
        <w:t xml:space="preserve"> is the mid-cap proxy of Section 2.2. *** p &lt; 0.01 (Jarque–Bera). Source: Authors’ calculations based on HOSE index data (TradingView).</w:t>
      </w:r>
    </w:p>
    <w:p w14:paraId="3D08D6F9" w14:textId="469558FB" w:rsidR="000019C6" w:rsidRPr="00756D2A" w:rsidRDefault="000019C6" w:rsidP="00756D2A">
      <w:pPr>
        <w:jc w:val="both"/>
      </w:pPr>
      <w:r>
        <w:rPr>
          <w:rFonts w:hint="cs"/>
        </w:rPr>
        <w:t xml:space="preserve">At the daily frequency, standard deviations are highest for P</w:t>
      </w:r>
      <w:r>
        <w:rPr>
          <w:rFonts w:hint="cs"/>
          <w:vertAlign w:val="subscript"/>
        </w:rPr>
        <w:t xml:space="preserve">cap</w:t>
      </w:r>
      <w:r>
        <w:rPr>
          <w:rFonts w:hint="cs"/>
        </w:rPr>
        <w:t xml:space="preserve"> (0.0124) and VN30 (0.0121) and lowest for VNINDEX (0.0115), consistent with the diversification of the broad index. Across intraday intervals, the standard deviation increases with bar length. All series are negatively skewed, and the Jarque–Bera statistics rise from 3,202–3,898 at 1D to 887,934–1,310,762 at M30, driven by extreme kurtosis (above 33 at M30). This leptokurtosis supports the use of DCCA and MF-DCCA, which do not rely on Gaussian assumptions.</w:t>
      </w:r>
    </w:p>
    <w:p w14:paraId="172BE7A0"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3.2 Average Cross-Correlation Across Trading Frequencies</w:t>
      </w:r>
    </w:p>
    <w:p w14:paraId="0A619E73" w14:textId="31C308F9" w:rsidR="000019C6" w:rsidRPr="00756D2A" w:rsidRDefault="001267EF" w:rsidP="00756D2A">
      <w:pPr>
        <w:jc w:val="both"/>
      </w:pPr>
      <w:r>
        <w:t xml:space="preserve">Table 2 reports the average DCCA cross-correlation coefficients by trading frequency for the nested pairs and for the purged pair.</w:t>
      </w:r>
    </w:p>
    <w:p w14:paraId="5E085387" w14:textId="77777777" w:rsidR="000019C6" w:rsidRPr="00756D2A" w:rsidRDefault="000019C6" w:rsidP="00756D2A">
      <w:pPr>
        <w:pStyle w:val="tablecaption0"/>
        <w:spacing w:line="300" w:lineRule="auto"/>
        <w:jc w:val="both"/>
        <w:rPr>
          <w:sz w:val="24"/>
          <w:szCs w:val="24"/>
          <w:lang w:val="vi-VN"/>
        </w:rPr>
      </w:pPr>
      <w:r>
        <w:rPr>
          <w:rFonts w:hint="cs"/>
          <w:b/>
          <w:sz w:val="24"/>
          <w:szCs w:val="24"/>
        </w:rPr>
        <w:t xml:space="preserve">Table 2 </w:t>
      </w:r>
      <w:r>
        <w:rPr>
          <w:rFonts w:hint="cs"/>
          <w:sz w:val="24"/>
          <w:szCs w:val="24"/>
        </w:rPr>
        <w:t xml:space="preserve">Average DCCA cross-correlation by trading frequency</w:t>
      </w:r>
    </w:p>
    <w:tbl>
      <w:tblPr>
        <w:tblStyle w:val="TableGrid"/>
        <w:tblW w:w="0" w:type="auto"/>
        <w:tblLook w:val="04A0" w:firstRow="1" w:lastRow="0" w:firstColumn="1" w:lastColumn="0" w:noHBand="0" w:noVBand="1"/>
      </w:tblPr>
      <w:tblGrid>
        <w:gridCol w:w="2321"/>
        <w:gridCol w:w="2404"/>
        <w:gridCol w:w="1499"/>
        <w:gridCol w:w="1423"/>
        <w:gridCol w:w="1700"/>
      </w:tblGrid>
      <w:tr w:rsidR="000019C6" w:rsidRPr="007D69CA" w14:paraId="66A1A09A" w14:textId="77777777" w:rsidTr="007D69CA">
        <w:trPr>
          <w:trHeight w:val="560"/>
        </w:trPr>
        <w:tc>
          <w:tcPr>
            <w:tcW w:w="0" w:type="auto"/>
            <w:hideMark/>
          </w:tcPr>
          <w:p w14:paraId="00795344" w14:textId="77777777" w:rsidR="000019C6" w:rsidRPr="007D69CA" w:rsidRDefault="000019C6" w:rsidP="00756D2A">
            <w:pPr>
              <w:jc w:val="both"/>
              <w:rPr>
                <w:lang w:bidi="hi-IN"/>
              </w:rPr>
            </w:pPr>
            <w:r>
              <w:rPr>
                <w:rFonts w:hint="cs"/>
              </w:rPr>
              <w:t xml:space="preserve">Trading frequency</w:t>
            </w:r>
          </w:p>
        </w:tc>
        <w:tc>
          <w:tcPr>
            <w:tcW w:w="0" w:type="auto"/>
            <w:hideMark/>
          </w:tcPr>
          <w:p w14:paraId="497BF66C" w14:textId="77777777" w:rsidR="000019C6" w:rsidRPr="007D69CA" w:rsidRDefault="000019C6" w:rsidP="00756D2A">
            <w:pPr>
              <w:jc w:val="both"/>
              <w:rPr>
                <w:lang w:bidi="hi-IN"/>
              </w:rPr>
            </w:pPr>
            <w:r>
              <w:rPr>
                <w:rFonts w:hint="cs"/>
              </w:rPr>
              <w:t xml:space="preserve">Nested group</w:t>
            </w:r>
          </w:p>
        </w:tc>
        <w:tc>
          <w:tcPr>
            <w:tcW w:w="0" w:type="auto"/>
            <w:hideMark/>
          </w:tcPr>
          <w:p w14:paraId="33A97935" w14:textId="77777777" w:rsidR="000019C6" w:rsidRPr="007D69CA" w:rsidRDefault="00000000" w:rsidP="00756D2A">
            <w:pPr>
              <w:jc w:val="both"/>
              <w:rPr>
                <w:lang w:bidi="hi-IN"/>
              </w:rPr>
            </w:pPr>
            <w:r>
              <w:rPr>
                <w:rFonts w:hint="cs"/>
              </w:rPr>
              <w:t xml:space="preserve">P</w:t>
            </w:r>
            <w:r>
              <w:rPr>
                <w:rFonts w:hint="cs"/>
                <w:vertAlign w:val="subscript"/>
              </w:rPr>
              <w:t xml:space="preserve">cap</w:t>
            </w:r>
            <w:r>
              <w:rPr>
                <w:rFonts w:hint="cs"/>
              </w:rPr>
              <w:t xml:space="preserve">–VN30</w:t>
            </w:r>
          </w:p>
        </w:tc>
        <w:tc>
          <w:tcPr>
            <w:tcW w:w="0" w:type="auto"/>
            <w:hideMark/>
          </w:tcPr>
          <w:p w14:paraId="7D64678B" w14:textId="77777777" w:rsidR="000019C6" w:rsidRPr="007D69CA" w:rsidRDefault="000019C6" w:rsidP="00756D2A">
            <w:pPr>
              <w:jc w:val="both"/>
              <w:rPr>
                <w:lang w:bidi="hi-IN"/>
              </w:rPr>
            </w:pPr>
            <w:r>
              <w:rPr>
                <w:rFonts w:hint="cs"/>
              </w:rPr>
              <w:t xml:space="preserve">Gap</w:t>
            </w:r>
          </w:p>
        </w:tc>
        <w:tc>
          <w:tcPr>
            <w:tcW w:w="0" w:type="auto"/>
            <w:hideMark/>
          </w:tcPr>
          <w:p w14:paraId="0FE53151" w14:textId="77777777" w:rsidR="000019C6" w:rsidRPr="007D69CA" w:rsidRDefault="000019C6" w:rsidP="00756D2A">
            <w:pPr>
              <w:jc w:val="both"/>
              <w:rPr>
                <w:lang w:bidi="hi-IN"/>
              </w:rPr>
            </w:pPr>
            <w:r>
              <w:rPr>
                <w:rFonts w:hint="cs"/>
              </w:rPr>
              <w:t xml:space="preserve">N</w:t>
            </w:r>
          </w:p>
        </w:tc>
      </w:tr>
      <w:tr w:rsidR="000019C6" w:rsidRPr="007D69CA" w14:paraId="18FE950F" w14:textId="77777777" w:rsidTr="007D69CA">
        <w:trPr>
          <w:trHeight w:val="440"/>
        </w:trPr>
        <w:tc>
          <w:tcPr>
            <w:tcW w:w="0" w:type="auto"/>
            <w:gridSpan w:val="5"/>
            <w:noWrap/>
            <w:hideMark/>
          </w:tcPr>
          <w:p w14:paraId="619B2C47" w14:textId="77777777" w:rsidR="000019C6" w:rsidRPr="007D69CA" w:rsidRDefault="000019C6" w:rsidP="00756D2A">
            <w:pPr>
              <w:suppressAutoHyphens/>
              <w:jc w:val="both"/>
              <w:rPr>
                <w:b/>
                <w:bCs/>
                <w:lang w:bidi="hi-IN"/>
              </w:rPr>
            </w:pPr>
            <w:r w:rsidRPr="007D69CA">
              <w:rPr>
                <w:rFonts w:hint="cs"/>
                <w:b/>
                <w:bCs/>
                <w:lang w:bidi="hi-IN"/>
              </w:rPr>
              <w:t>Panel A: Synchronized Common Baseline Window (2017–2024)</w:t>
            </w:r>
          </w:p>
        </w:tc>
      </w:tr>
      <w:tr w:rsidR="000019C6" w:rsidRPr="007D69CA" w14:paraId="086336EC" w14:textId="77777777" w:rsidTr="007D69CA">
        <w:trPr>
          <w:trHeight w:val="400"/>
        </w:trPr>
        <w:tc>
          <w:tcPr>
            <w:tcW w:w="0" w:type="auto"/>
            <w:noWrap/>
            <w:hideMark/>
          </w:tcPr>
          <w:p w14:paraId="79A91E30"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67F80B0D" w14:textId="77777777" w:rsidR="000019C6" w:rsidRPr="007D69CA" w:rsidRDefault="000019C6" w:rsidP="00756D2A">
            <w:pPr>
              <w:jc w:val="both"/>
              <w:rPr>
                <w:lang w:bidi="hi-IN"/>
              </w:rPr>
            </w:pPr>
            <w:r>
              <w:rPr>
                <w:rFonts w:hint="cs"/>
              </w:rPr>
              <w:t xml:space="preserve">0.980</w:t>
            </w:r>
          </w:p>
        </w:tc>
        <w:tc>
          <w:tcPr>
            <w:tcW w:w="0" w:type="auto"/>
            <w:noWrap/>
            <w:hideMark/>
          </w:tcPr>
          <w:p w14:paraId="31CCD60E" w14:textId="77777777" w:rsidR="000019C6" w:rsidRPr="007D69CA" w:rsidRDefault="000019C6" w:rsidP="00756D2A">
            <w:pPr>
              <w:jc w:val="both"/>
              <w:rPr>
                <w:lang w:bidi="hi-IN"/>
              </w:rPr>
            </w:pPr>
            <w:r>
              <w:rPr>
                <w:rFonts w:hint="cs"/>
              </w:rPr>
              <w:t xml:space="preserve">0.890</w:t>
            </w:r>
          </w:p>
        </w:tc>
        <w:tc>
          <w:tcPr>
            <w:tcW w:w="0" w:type="auto"/>
            <w:noWrap/>
            <w:hideMark/>
          </w:tcPr>
          <w:p w14:paraId="20DB99A2" w14:textId="77777777" w:rsidR="000019C6" w:rsidRPr="007D69CA" w:rsidRDefault="000019C6" w:rsidP="00756D2A">
            <w:pPr>
              <w:jc w:val="both"/>
              <w:rPr>
                <w:lang w:bidi="hi-IN"/>
              </w:rPr>
            </w:pPr>
            <w:r>
              <w:rPr>
                <w:rFonts w:hint="cs"/>
              </w:rPr>
              <w:t xml:space="preserve">0.090</w:t>
            </w:r>
          </w:p>
        </w:tc>
        <w:tc>
          <w:tcPr>
            <w:tcW w:w="0" w:type="auto"/>
            <w:noWrap/>
            <w:hideMark/>
          </w:tcPr>
          <w:p w14:paraId="23A191CD" w14:textId="77777777" w:rsidR="000019C6" w:rsidRPr="007D69CA" w:rsidRDefault="000019C6" w:rsidP="00756D2A">
            <w:pPr>
              <w:jc w:val="both"/>
              <w:rPr>
                <w:lang w:bidi="hi-IN"/>
              </w:rPr>
            </w:pPr>
            <w:r>
              <w:rPr>
                <w:rFonts w:hint="cs"/>
              </w:rPr>
              <w:t xml:space="preserve">1,983</w:t>
            </w:r>
          </w:p>
        </w:tc>
      </w:tr>
      <w:tr w:rsidR="000019C6" w:rsidRPr="007D69CA" w14:paraId="4BC26795" w14:textId="77777777" w:rsidTr="007D69CA">
        <w:trPr>
          <w:trHeight w:val="400"/>
        </w:trPr>
        <w:tc>
          <w:tcPr>
            <w:tcW w:w="0" w:type="auto"/>
            <w:noWrap/>
            <w:hideMark/>
          </w:tcPr>
          <w:p w14:paraId="613EC038"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3F60FEEF" w14:textId="77777777" w:rsidR="000019C6" w:rsidRPr="007D69CA" w:rsidRDefault="000019C6" w:rsidP="00756D2A">
            <w:pPr>
              <w:jc w:val="both"/>
              <w:rPr>
                <w:lang w:bidi="hi-IN"/>
              </w:rPr>
            </w:pPr>
            <w:r>
              <w:rPr>
                <w:rFonts w:hint="cs"/>
              </w:rPr>
              <w:t xml:space="preserve">0.979</w:t>
            </w:r>
          </w:p>
        </w:tc>
        <w:tc>
          <w:tcPr>
            <w:tcW w:w="0" w:type="auto"/>
            <w:noWrap/>
            <w:hideMark/>
          </w:tcPr>
          <w:p w14:paraId="0720E175" w14:textId="77777777" w:rsidR="000019C6" w:rsidRPr="007D69CA" w:rsidRDefault="000019C6" w:rsidP="00756D2A">
            <w:pPr>
              <w:jc w:val="both"/>
              <w:rPr>
                <w:lang w:bidi="hi-IN"/>
              </w:rPr>
            </w:pPr>
            <w:r>
              <w:rPr>
                <w:rFonts w:hint="cs"/>
              </w:rPr>
              <w:t xml:space="preserve">0.890</w:t>
            </w:r>
          </w:p>
        </w:tc>
        <w:tc>
          <w:tcPr>
            <w:tcW w:w="0" w:type="auto"/>
            <w:noWrap/>
            <w:hideMark/>
          </w:tcPr>
          <w:p w14:paraId="2F5F0C8C" w14:textId="77777777" w:rsidR="000019C6" w:rsidRPr="007D69CA" w:rsidRDefault="000019C6" w:rsidP="00756D2A">
            <w:pPr>
              <w:jc w:val="both"/>
              <w:rPr>
                <w:lang w:bidi="hi-IN"/>
              </w:rPr>
            </w:pPr>
            <w:r>
              <w:rPr>
                <w:rFonts w:hint="cs"/>
              </w:rPr>
              <w:t xml:space="preserve">0.089</w:t>
            </w:r>
          </w:p>
        </w:tc>
        <w:tc>
          <w:tcPr>
            <w:tcW w:w="0" w:type="auto"/>
            <w:noWrap/>
            <w:hideMark/>
          </w:tcPr>
          <w:p w14:paraId="6C7125C2" w14:textId="77777777" w:rsidR="000019C6" w:rsidRPr="007D69CA" w:rsidRDefault="000019C6" w:rsidP="00756D2A">
            <w:pPr>
              <w:jc w:val="both"/>
              <w:rPr>
                <w:lang w:bidi="hi-IN"/>
              </w:rPr>
            </w:pPr>
            <w:r>
              <w:rPr>
                <w:rFonts w:hint="cs"/>
              </w:rPr>
              <w:t xml:space="preserve">19,463</w:t>
            </w:r>
          </w:p>
        </w:tc>
      </w:tr>
      <w:tr w:rsidR="000019C6" w:rsidRPr="007D69CA" w14:paraId="58915E84" w14:textId="77777777" w:rsidTr="007D69CA">
        <w:trPr>
          <w:trHeight w:val="400"/>
        </w:trPr>
        <w:tc>
          <w:tcPr>
            <w:tcW w:w="0" w:type="auto"/>
            <w:noWrap/>
            <w:hideMark/>
          </w:tcPr>
          <w:p w14:paraId="7C0C8C60"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872497F" w14:textId="77777777" w:rsidR="000019C6" w:rsidRPr="007D69CA" w:rsidRDefault="000019C6" w:rsidP="00756D2A">
            <w:pPr>
              <w:jc w:val="both"/>
              <w:rPr>
                <w:lang w:bidi="hi-IN"/>
              </w:rPr>
            </w:pPr>
            <w:r>
              <w:rPr>
                <w:rFonts w:hint="cs"/>
              </w:rPr>
              <w:t xml:space="preserve">0.979</w:t>
            </w:r>
          </w:p>
        </w:tc>
        <w:tc>
          <w:tcPr>
            <w:tcW w:w="0" w:type="auto"/>
            <w:noWrap/>
            <w:hideMark/>
          </w:tcPr>
          <w:p w14:paraId="237A41F7" w14:textId="77777777" w:rsidR="000019C6" w:rsidRPr="007D69CA" w:rsidRDefault="000019C6" w:rsidP="00756D2A">
            <w:pPr>
              <w:jc w:val="both"/>
              <w:rPr>
                <w:lang w:bidi="hi-IN"/>
              </w:rPr>
            </w:pPr>
            <w:r>
              <w:rPr>
                <w:rFonts w:hint="cs"/>
              </w:rPr>
              <w:t xml:space="preserve">0.891</w:t>
            </w:r>
          </w:p>
        </w:tc>
        <w:tc>
          <w:tcPr>
            <w:tcW w:w="0" w:type="auto"/>
            <w:noWrap/>
            <w:hideMark/>
          </w:tcPr>
          <w:p w14:paraId="799BA32C" w14:textId="77777777" w:rsidR="000019C6" w:rsidRPr="007D69CA" w:rsidRDefault="000019C6" w:rsidP="00756D2A">
            <w:pPr>
              <w:jc w:val="both"/>
              <w:rPr>
                <w:lang w:bidi="hi-IN"/>
              </w:rPr>
            </w:pPr>
            <w:r>
              <w:rPr>
                <w:rFonts w:hint="cs"/>
              </w:rPr>
              <w:t xml:space="preserve">0.089</w:t>
            </w:r>
          </w:p>
        </w:tc>
        <w:tc>
          <w:tcPr>
            <w:tcW w:w="0" w:type="auto"/>
            <w:noWrap/>
            <w:hideMark/>
          </w:tcPr>
          <w:p w14:paraId="62CFCA51" w14:textId="77777777" w:rsidR="000019C6" w:rsidRPr="007D69CA" w:rsidRDefault="000019C6" w:rsidP="00756D2A">
            <w:pPr>
              <w:jc w:val="both"/>
              <w:rPr>
                <w:lang w:bidi="hi-IN"/>
              </w:rPr>
            </w:pPr>
            <w:r>
              <w:rPr>
                <w:rFonts w:hint="cs"/>
              </w:rPr>
              <w:t xml:space="preserve">9,879</w:t>
            </w:r>
          </w:p>
        </w:tc>
      </w:tr>
      <w:tr w:rsidR="000019C6" w:rsidRPr="007D69CA" w14:paraId="11A638C2" w14:textId="77777777" w:rsidTr="007D69CA">
        <w:trPr>
          <w:trHeight w:val="400"/>
        </w:trPr>
        <w:tc>
          <w:tcPr>
            <w:tcW w:w="0" w:type="auto"/>
            <w:noWrap/>
            <w:hideMark/>
          </w:tcPr>
          <w:p w14:paraId="5BE3C6AB"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4C496A5B" w14:textId="77777777" w:rsidR="000019C6" w:rsidRPr="007D69CA" w:rsidRDefault="000019C6" w:rsidP="00756D2A">
            <w:pPr>
              <w:jc w:val="both"/>
              <w:rPr>
                <w:lang w:bidi="hi-IN"/>
              </w:rPr>
            </w:pPr>
            <w:r>
              <w:rPr>
                <w:rFonts w:hint="cs"/>
              </w:rPr>
              <w:t xml:space="preserve">0.980</w:t>
            </w:r>
          </w:p>
        </w:tc>
        <w:tc>
          <w:tcPr>
            <w:tcW w:w="0" w:type="auto"/>
            <w:noWrap/>
            <w:hideMark/>
          </w:tcPr>
          <w:p w14:paraId="378215E7" w14:textId="77777777" w:rsidR="000019C6" w:rsidRPr="007D69CA" w:rsidRDefault="000019C6" w:rsidP="00756D2A">
            <w:pPr>
              <w:jc w:val="both"/>
              <w:rPr>
                <w:lang w:bidi="hi-IN"/>
              </w:rPr>
            </w:pPr>
            <w:r>
              <w:rPr>
                <w:rFonts w:hint="cs"/>
              </w:rPr>
              <w:t xml:space="preserve">0.892</w:t>
            </w:r>
          </w:p>
        </w:tc>
        <w:tc>
          <w:tcPr>
            <w:tcW w:w="0" w:type="auto"/>
            <w:noWrap/>
            <w:hideMark/>
          </w:tcPr>
          <w:p w14:paraId="4E2079E5" w14:textId="77777777" w:rsidR="000019C6" w:rsidRPr="007D69CA" w:rsidRDefault="000019C6" w:rsidP="00756D2A">
            <w:pPr>
              <w:jc w:val="both"/>
              <w:rPr>
                <w:lang w:bidi="hi-IN"/>
              </w:rPr>
            </w:pPr>
            <w:r>
              <w:rPr>
                <w:rFonts w:hint="cs"/>
              </w:rPr>
              <w:t xml:space="preserve">0.089</w:t>
            </w:r>
          </w:p>
        </w:tc>
        <w:tc>
          <w:tcPr>
            <w:tcW w:w="0" w:type="auto"/>
            <w:noWrap/>
            <w:hideMark/>
          </w:tcPr>
          <w:p w14:paraId="4EF11457" w14:textId="77777777" w:rsidR="000019C6" w:rsidRPr="007D69CA" w:rsidRDefault="000019C6" w:rsidP="00756D2A">
            <w:pPr>
              <w:jc w:val="both"/>
              <w:rPr>
                <w:lang w:bidi="hi-IN"/>
              </w:rPr>
            </w:pPr>
            <w:r>
              <w:rPr>
                <w:rFonts w:hint="cs"/>
              </w:rPr>
              <w:t xml:space="preserve">3,953</w:t>
            </w:r>
          </w:p>
        </w:tc>
      </w:tr>
      <w:tr w:rsidR="000019C6" w:rsidRPr="007D69CA" w14:paraId="06003C21" w14:textId="77777777" w:rsidTr="007D69CA">
        <w:trPr>
          <w:trHeight w:val="440"/>
        </w:trPr>
        <w:tc>
          <w:tcPr>
            <w:tcW w:w="0" w:type="auto"/>
            <w:gridSpan w:val="5"/>
            <w:noWrap/>
            <w:hideMark/>
          </w:tcPr>
          <w:p w14:paraId="30DC1436" w14:textId="77777777" w:rsidR="000019C6" w:rsidRPr="007D69CA" w:rsidRDefault="000019C6" w:rsidP="00756D2A">
            <w:pPr>
              <w:suppressAutoHyphens/>
              <w:jc w:val="both"/>
              <w:rPr>
                <w:b/>
                <w:bCs/>
                <w:lang w:bidi="hi-IN"/>
              </w:rPr>
            </w:pPr>
            <w:r w:rsidRPr="007D69CA">
              <w:rPr>
                <w:rFonts w:hint="cs"/>
                <w:b/>
                <w:bCs/>
                <w:lang w:bidi="hi-IN"/>
              </w:rPr>
              <w:t>Panel B: Full Historical Depth Sample (2014–2025)</w:t>
            </w:r>
          </w:p>
        </w:tc>
      </w:tr>
      <w:tr w:rsidR="000019C6" w:rsidRPr="007D69CA" w14:paraId="7866C928" w14:textId="77777777" w:rsidTr="007D69CA">
        <w:trPr>
          <w:trHeight w:val="400"/>
        </w:trPr>
        <w:tc>
          <w:tcPr>
            <w:tcW w:w="0" w:type="auto"/>
            <w:noWrap/>
            <w:hideMark/>
          </w:tcPr>
          <w:p w14:paraId="520F6FAA" w14:textId="77777777" w:rsidR="000019C6" w:rsidRPr="007D69CA" w:rsidRDefault="000019C6" w:rsidP="00756D2A">
            <w:pPr>
              <w:suppressAutoHyphens/>
              <w:jc w:val="both"/>
              <w:rPr>
                <w:lang w:bidi="hi-IN"/>
              </w:rPr>
            </w:pPr>
            <w:r w:rsidRPr="007D69CA">
              <w:rPr>
                <w:rFonts w:hint="cs"/>
                <w:lang w:bidi="hi-IN"/>
              </w:rPr>
              <w:t>1D (Daily)</w:t>
            </w:r>
          </w:p>
        </w:tc>
        <w:tc>
          <w:tcPr>
            <w:tcW w:w="0" w:type="auto"/>
            <w:noWrap/>
            <w:hideMark/>
          </w:tcPr>
          <w:p w14:paraId="353BB702" w14:textId="77777777" w:rsidR="000019C6" w:rsidRPr="007D69CA" w:rsidRDefault="000019C6" w:rsidP="00756D2A">
            <w:pPr>
              <w:jc w:val="both"/>
              <w:rPr>
                <w:lang w:bidi="hi-IN"/>
              </w:rPr>
            </w:pPr>
            <w:r>
              <w:rPr>
                <w:rFonts w:hint="cs"/>
              </w:rPr>
              <w:t xml:space="preserve">0.977</w:t>
            </w:r>
          </w:p>
        </w:tc>
        <w:tc>
          <w:tcPr>
            <w:tcW w:w="0" w:type="auto"/>
            <w:noWrap/>
            <w:hideMark/>
          </w:tcPr>
          <w:p w14:paraId="4EE890EE" w14:textId="77777777" w:rsidR="000019C6" w:rsidRPr="007D69CA" w:rsidRDefault="000019C6" w:rsidP="00756D2A">
            <w:pPr>
              <w:jc w:val="both"/>
              <w:rPr>
                <w:lang w:bidi="hi-IN"/>
              </w:rPr>
            </w:pPr>
            <w:r>
              <w:rPr>
                <w:rFonts w:hint="cs"/>
              </w:rPr>
              <w:t xml:space="preserve">0.884</w:t>
            </w:r>
          </w:p>
        </w:tc>
        <w:tc>
          <w:tcPr>
            <w:tcW w:w="0" w:type="auto"/>
            <w:noWrap/>
            <w:hideMark/>
          </w:tcPr>
          <w:p w14:paraId="48E2A0FE" w14:textId="77777777" w:rsidR="000019C6" w:rsidRPr="007D69CA" w:rsidRDefault="000019C6" w:rsidP="00756D2A">
            <w:pPr>
              <w:jc w:val="both"/>
              <w:rPr>
                <w:lang w:bidi="hi-IN"/>
              </w:rPr>
            </w:pPr>
            <w:r>
              <w:rPr>
                <w:rFonts w:hint="cs"/>
              </w:rPr>
              <w:t xml:space="preserve">0.093 [0.065, 0.124]</w:t>
            </w:r>
          </w:p>
        </w:tc>
        <w:tc>
          <w:tcPr>
            <w:tcW w:w="0" w:type="auto"/>
            <w:noWrap/>
            <w:hideMark/>
          </w:tcPr>
          <w:p w14:paraId="39471E6B" w14:textId="77777777" w:rsidR="000019C6" w:rsidRPr="007D69CA" w:rsidRDefault="000019C6" w:rsidP="00756D2A">
            <w:pPr>
              <w:jc w:val="both"/>
              <w:rPr>
                <w:lang w:bidi="hi-IN"/>
              </w:rPr>
            </w:pPr>
            <w:r>
              <w:rPr>
                <w:rFonts w:hint="cs"/>
              </w:rPr>
              <w:t xml:space="preserve">2,963</w:t>
            </w:r>
          </w:p>
        </w:tc>
      </w:tr>
      <w:tr w:rsidR="000019C6" w:rsidRPr="007D69CA" w14:paraId="35ACDBE0" w14:textId="77777777" w:rsidTr="007D69CA">
        <w:trPr>
          <w:trHeight w:val="400"/>
        </w:trPr>
        <w:tc>
          <w:tcPr>
            <w:tcW w:w="0" w:type="auto"/>
            <w:noWrap/>
            <w:hideMark/>
          </w:tcPr>
          <w:p w14:paraId="1A3FFF04" w14:textId="77777777" w:rsidR="000019C6" w:rsidRPr="007D69CA" w:rsidRDefault="000019C6" w:rsidP="00756D2A">
            <w:pPr>
              <w:suppressAutoHyphens/>
              <w:jc w:val="both"/>
              <w:rPr>
                <w:lang w:bidi="hi-IN"/>
              </w:rPr>
            </w:pPr>
            <w:r w:rsidRPr="007D69CA">
              <w:rPr>
                <w:rFonts w:hint="cs"/>
                <w:lang w:bidi="hi-IN"/>
              </w:rPr>
              <w:t>M30 (30-Minute)</w:t>
            </w:r>
          </w:p>
        </w:tc>
        <w:tc>
          <w:tcPr>
            <w:tcW w:w="0" w:type="auto"/>
            <w:noWrap/>
            <w:hideMark/>
          </w:tcPr>
          <w:p w14:paraId="2426FD1E" w14:textId="77777777" w:rsidR="000019C6" w:rsidRPr="007D69CA" w:rsidRDefault="000019C6" w:rsidP="00756D2A">
            <w:pPr>
              <w:jc w:val="both"/>
              <w:rPr>
                <w:lang w:bidi="hi-IN"/>
              </w:rPr>
            </w:pPr>
            <w:r>
              <w:rPr>
                <w:rFonts w:hint="cs"/>
              </w:rPr>
              <w:t xml:space="preserve">0.979</w:t>
            </w:r>
          </w:p>
        </w:tc>
        <w:tc>
          <w:tcPr>
            <w:tcW w:w="0" w:type="auto"/>
            <w:noWrap/>
            <w:hideMark/>
          </w:tcPr>
          <w:p w14:paraId="06C93860" w14:textId="77777777" w:rsidR="000019C6" w:rsidRPr="007D69CA" w:rsidRDefault="000019C6" w:rsidP="00756D2A">
            <w:pPr>
              <w:jc w:val="both"/>
              <w:rPr>
                <w:lang w:bidi="hi-IN"/>
              </w:rPr>
            </w:pPr>
            <w:r>
              <w:rPr>
                <w:rFonts w:hint="cs"/>
              </w:rPr>
              <w:t xml:space="preserve">0.883</w:t>
            </w:r>
          </w:p>
        </w:tc>
        <w:tc>
          <w:tcPr>
            <w:tcW w:w="0" w:type="auto"/>
            <w:noWrap/>
            <w:hideMark/>
          </w:tcPr>
          <w:p w14:paraId="2402FEF0" w14:textId="77777777" w:rsidR="000019C6" w:rsidRPr="007D69CA" w:rsidRDefault="000019C6" w:rsidP="00756D2A">
            <w:pPr>
              <w:jc w:val="both"/>
              <w:rPr>
                <w:lang w:bidi="hi-IN"/>
              </w:rPr>
            </w:pPr>
            <w:r>
              <w:rPr>
                <w:rFonts w:hint="cs"/>
              </w:rPr>
              <w:t xml:space="preserve">0.096 [0.070, 0.126]</w:t>
            </w:r>
          </w:p>
        </w:tc>
        <w:tc>
          <w:tcPr>
            <w:tcW w:w="0" w:type="auto"/>
            <w:noWrap/>
            <w:hideMark/>
          </w:tcPr>
          <w:p w14:paraId="21FB02F3" w14:textId="77777777" w:rsidR="000019C6" w:rsidRPr="007D69CA" w:rsidRDefault="000019C6" w:rsidP="00756D2A">
            <w:pPr>
              <w:jc w:val="both"/>
              <w:rPr>
                <w:lang w:bidi="hi-IN"/>
              </w:rPr>
            </w:pPr>
            <w:r>
              <w:rPr>
                <w:rFonts w:hint="cs"/>
              </w:rPr>
              <w:t xml:space="preserve">21,942</w:t>
            </w:r>
          </w:p>
        </w:tc>
      </w:tr>
      <w:tr w:rsidR="000019C6" w:rsidRPr="007D69CA" w14:paraId="0348623A" w14:textId="77777777" w:rsidTr="007D69CA">
        <w:trPr>
          <w:trHeight w:val="400"/>
        </w:trPr>
        <w:tc>
          <w:tcPr>
            <w:tcW w:w="0" w:type="auto"/>
            <w:noWrap/>
            <w:hideMark/>
          </w:tcPr>
          <w:p w14:paraId="437BF1AC" w14:textId="77777777" w:rsidR="000019C6" w:rsidRPr="007D69CA" w:rsidRDefault="000019C6" w:rsidP="00756D2A">
            <w:pPr>
              <w:suppressAutoHyphens/>
              <w:jc w:val="both"/>
              <w:rPr>
                <w:lang w:bidi="hi-IN"/>
              </w:rPr>
            </w:pPr>
            <w:r w:rsidRPr="007D69CA">
              <w:rPr>
                <w:rFonts w:hint="cs"/>
                <w:lang w:bidi="hi-IN"/>
              </w:rPr>
              <w:t>H1 (1-Hour)</w:t>
            </w:r>
          </w:p>
        </w:tc>
        <w:tc>
          <w:tcPr>
            <w:tcW w:w="0" w:type="auto"/>
            <w:noWrap/>
            <w:hideMark/>
          </w:tcPr>
          <w:p w14:paraId="04F33066" w14:textId="77777777" w:rsidR="000019C6" w:rsidRPr="007D69CA" w:rsidRDefault="000019C6" w:rsidP="00756D2A">
            <w:pPr>
              <w:jc w:val="both"/>
              <w:rPr>
                <w:lang w:bidi="hi-IN"/>
              </w:rPr>
            </w:pPr>
            <w:r>
              <w:rPr>
                <w:rFonts w:hint="cs"/>
              </w:rPr>
              <w:t xml:space="preserve">0.975</w:t>
            </w:r>
          </w:p>
        </w:tc>
        <w:tc>
          <w:tcPr>
            <w:tcW w:w="0" w:type="auto"/>
            <w:noWrap/>
            <w:hideMark/>
          </w:tcPr>
          <w:p w14:paraId="00947587" w14:textId="77777777" w:rsidR="000019C6" w:rsidRPr="007D69CA" w:rsidRDefault="000019C6" w:rsidP="00756D2A">
            <w:pPr>
              <w:jc w:val="both"/>
              <w:rPr>
                <w:lang w:bidi="hi-IN"/>
              </w:rPr>
            </w:pPr>
            <w:r>
              <w:rPr>
                <w:rFonts w:hint="cs"/>
              </w:rPr>
              <w:t xml:space="preserve">0.889</w:t>
            </w:r>
          </w:p>
        </w:tc>
        <w:tc>
          <w:tcPr>
            <w:tcW w:w="0" w:type="auto"/>
            <w:noWrap/>
            <w:hideMark/>
          </w:tcPr>
          <w:p w14:paraId="30F7CE89" w14:textId="77777777" w:rsidR="000019C6" w:rsidRPr="007D69CA" w:rsidRDefault="000019C6" w:rsidP="00756D2A">
            <w:pPr>
              <w:jc w:val="both"/>
              <w:rPr>
                <w:lang w:bidi="hi-IN"/>
              </w:rPr>
            </w:pPr>
            <w:r>
              <w:rPr>
                <w:rFonts w:hint="cs"/>
              </w:rPr>
              <w:t xml:space="preserve">0.086 [0.060, 0.116]</w:t>
            </w:r>
          </w:p>
        </w:tc>
        <w:tc>
          <w:tcPr>
            <w:tcW w:w="0" w:type="auto"/>
            <w:noWrap/>
            <w:hideMark/>
          </w:tcPr>
          <w:p w14:paraId="2DBB3E0E" w14:textId="77777777" w:rsidR="000019C6" w:rsidRPr="007D69CA" w:rsidRDefault="000019C6" w:rsidP="00756D2A">
            <w:pPr>
              <w:jc w:val="both"/>
              <w:rPr>
                <w:lang w:bidi="hi-IN"/>
              </w:rPr>
            </w:pPr>
            <w:r>
              <w:rPr>
                <w:rFonts w:hint="cs"/>
              </w:rPr>
              <w:t xml:space="preserve">13,523</w:t>
            </w:r>
          </w:p>
        </w:tc>
      </w:tr>
      <w:tr w:rsidR="000019C6" w:rsidRPr="007D69CA" w14:paraId="30F71D82" w14:textId="77777777" w:rsidTr="007D69CA">
        <w:trPr>
          <w:trHeight w:val="400"/>
        </w:trPr>
        <w:tc>
          <w:tcPr>
            <w:tcW w:w="0" w:type="auto"/>
            <w:noWrap/>
            <w:hideMark/>
          </w:tcPr>
          <w:p w14:paraId="0AECF4F5" w14:textId="77777777" w:rsidR="000019C6" w:rsidRPr="007D69CA" w:rsidRDefault="000019C6" w:rsidP="00756D2A">
            <w:pPr>
              <w:suppressAutoHyphens/>
              <w:jc w:val="both"/>
              <w:rPr>
                <w:lang w:bidi="hi-IN"/>
              </w:rPr>
            </w:pPr>
            <w:r w:rsidRPr="007D69CA">
              <w:rPr>
                <w:rFonts w:hint="cs"/>
                <w:lang w:bidi="hi-IN"/>
              </w:rPr>
              <w:t>H4 (4-Hour)</w:t>
            </w:r>
          </w:p>
        </w:tc>
        <w:tc>
          <w:tcPr>
            <w:tcW w:w="0" w:type="auto"/>
            <w:noWrap/>
            <w:hideMark/>
          </w:tcPr>
          <w:p w14:paraId="3F7E2316" w14:textId="77777777" w:rsidR="000019C6" w:rsidRPr="007D69CA" w:rsidRDefault="000019C6" w:rsidP="00756D2A">
            <w:pPr>
              <w:jc w:val="both"/>
              <w:rPr>
                <w:lang w:bidi="hi-IN"/>
              </w:rPr>
            </w:pPr>
            <w:r>
              <w:rPr>
                <w:rFonts w:hint="cs"/>
              </w:rPr>
              <w:t xml:space="preserve">0.976</w:t>
            </w:r>
          </w:p>
        </w:tc>
        <w:tc>
          <w:tcPr>
            <w:tcW w:w="0" w:type="auto"/>
            <w:noWrap/>
            <w:hideMark/>
          </w:tcPr>
          <w:p w14:paraId="6514E9C8" w14:textId="77777777" w:rsidR="000019C6" w:rsidRPr="007D69CA" w:rsidRDefault="000019C6" w:rsidP="00756D2A">
            <w:pPr>
              <w:jc w:val="both"/>
              <w:rPr>
                <w:lang w:bidi="hi-IN"/>
              </w:rPr>
            </w:pPr>
            <w:r>
              <w:rPr>
                <w:rFonts w:hint="cs"/>
              </w:rPr>
              <w:t xml:space="preserve">0.890</w:t>
            </w:r>
          </w:p>
        </w:tc>
        <w:tc>
          <w:tcPr>
            <w:tcW w:w="0" w:type="auto"/>
            <w:noWrap/>
            <w:hideMark/>
          </w:tcPr>
          <w:p w14:paraId="7DF5DF01" w14:textId="77777777" w:rsidR="000019C6" w:rsidRPr="007D69CA" w:rsidRDefault="000019C6" w:rsidP="00756D2A">
            <w:pPr>
              <w:jc w:val="both"/>
              <w:rPr>
                <w:lang w:bidi="hi-IN"/>
              </w:rPr>
            </w:pPr>
            <w:r>
              <w:rPr>
                <w:rFonts w:hint="cs"/>
              </w:rPr>
              <w:t xml:space="preserve">0.087 [0.061, 0.114]</w:t>
            </w:r>
          </w:p>
        </w:tc>
        <w:tc>
          <w:tcPr>
            <w:tcW w:w="0" w:type="auto"/>
            <w:noWrap/>
            <w:hideMark/>
          </w:tcPr>
          <w:p w14:paraId="5C79351A" w14:textId="77777777" w:rsidR="000019C6" w:rsidRPr="007D69CA" w:rsidRDefault="000019C6" w:rsidP="00756D2A">
            <w:pPr>
              <w:jc w:val="both"/>
              <w:rPr>
                <w:lang w:bidi="hi-IN"/>
              </w:rPr>
            </w:pPr>
            <w:r>
              <w:rPr>
                <w:rFonts w:hint="cs"/>
              </w:rPr>
              <w:t xml:space="preserve">5,410</w:t>
            </w:r>
          </w:p>
        </w:tc>
      </w:tr>
    </w:tbl>
    <w:p w14:paraId="1333CFC2" w14:textId="77777777" w:rsidR="000019C6" w:rsidRPr="00756D2A" w:rsidRDefault="000019C6" w:rsidP="00756D2A">
      <w:pPr>
        <w:spacing w:before="60" w:after="200"/>
        <w:jc w:val="both"/>
        <w:rPr>
          <w:lang w:eastAsia="zh-CN"/>
        </w:rPr>
      </w:pPr>
      <w:r>
        <w:rPr>
          <w:rFonts w:hint="cs"/>
        </w:rPr>
        <w:t xml:space="preserve">Notes: Averages of ρ</w:t>
      </w:r>
      <w:r>
        <w:rPr>
          <w:rFonts w:hint="cs"/>
          <w:vertAlign w:val="subscript"/>
        </w:rPr>
        <w:t xml:space="preserve">DCCA</w:t>
      </w:r>
      <w:r>
        <w:rPr>
          <w:rFonts w:hint="cs"/>
        </w:rPr>
        <w:t xml:space="preserve">(s) over s ≤ s</w:t>
      </w:r>
      <w:r>
        <w:rPr>
          <w:rFonts w:hint="cs"/>
          <w:vertAlign w:val="subscript"/>
        </w:rPr>
        <w:t xml:space="preserve">rel</w:t>
      </w:r>
      <w:r>
        <w:rPr>
          <w:rFonts w:hint="cs"/>
        </w:rPr>
        <w:t xml:space="preserve"> (Table 3), m = 1; nested group = mean of the three parent–child pairs. Brackets: block-bootstrap 95% intervals. Source: Authors’ calculations.</w:t>
      </w:r>
    </w:p>
    <w:p w14:paraId="45B5FC8D" w14:textId="77777777" w:rsidR="000019C6" w:rsidRPr="00756D2A" w:rsidRDefault="000019C6" w:rsidP="00756D2A">
      <w:pPr>
        <w:spacing w:line="300" w:lineRule="auto"/>
        <w:jc w:val="both"/>
      </w:pPr>
      <w:r>
        <w:rPr>
          <w:rFonts w:hint="cs"/>
        </w:rPr>
        <w:t xml:space="preserve">Across both samples, the original nested group maintains an average correlation of 0.975–0.980 at every frequency. In contrast, P</w:t>
      </w:r>
      <w:r>
        <w:rPr>
          <w:rFonts w:hint="cs"/>
          <w:vertAlign w:val="subscript"/>
        </w:rPr>
        <w:t xml:space="preserve">cap</w:t>
      </w:r>
      <w:r>
        <w:rPr>
          <w:rFonts w:hint="cs"/>
        </w:rPr>
        <w:t xml:space="preserve">–VN30 has a lower correlation of 0.883–0.892, a gap of 0.086–0.096 correlation points whose bootstrap intervals (0.060 to 0.126 across frequencies) exclude zero. The purged correlation nevertheless remains high, so the overlap inflates rather than creates the co-movement. Averages in the synchronized window (Panel A) and the full sample (Panel B) differ by at most 0.007 for every series.</w:t>
      </w:r>
    </w:p>
    <w:p w14:paraId="71A6741A" w14:textId="3A38F370" w:rsidR="000019C6" w:rsidRPr="00756D2A" w:rsidRDefault="000019C6" w:rsidP="00756D2A">
      <w:pPr>
        <w:jc w:val="both"/>
      </w:pPr>
      <w:r>
        <w:rPr>
          <w:rFonts w:hint="cs"/>
        </w:rPr>
        <w:t xml:space="preserve">Figure 2 plots the DCCA coefficient against the timescale at all four trading frequencies for the purged mid-cap proxy and the nested index pairs.</w:t>
      </w:r>
    </w:p>
    <w:p w14:paraId="19C10335" w14:textId="0999B188" w:rsidR="000019C6" w:rsidRPr="00756D2A" w:rsidRDefault="000019C6" w:rsidP="00756D2A">
      <w:pPr>
        <w:pStyle w:val="image"/>
        <w:spacing w:line="300" w:lineRule="auto"/>
        <w:jc w:val="both"/>
        <w:rPr>
          <w:noProof/>
          <w:sz w:val="24"/>
          <w:szCs w:val="24"/>
          <w:lang w:val="vi-VN"/>
        </w:rPr>
      </w:pPr>
      <w:r w:rsidRPr="00756D2A">
        <w:rPr>
          <w:rFonts w:hint="cs"/>
          <w:noProof/>
          <w:sz w:val="24"/>
          <w:szCs w:val="24"/>
        </w:rPr>
        <w:lastRenderedPageBreak/>
        <w:drawing>
          <wp:inline distT="0" distB="0" distL="0" distR="0" wp14:anchorId="0C997724" wp14:editId="2358281B">
            <wp:extent cx="5943600" cy="4572000"/>
            <wp:effectExtent l="0" t="0" r="0" b="5080"/>
            <wp:docPr id="1376251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77B9FB7B" w14:textId="77777777" w:rsidR="000019C6" w:rsidRPr="00756D2A" w:rsidRDefault="000019C6" w:rsidP="00756D2A">
      <w:pPr>
        <w:pStyle w:val="figurecaption"/>
        <w:jc w:val="both"/>
        <w:rPr>
          <w:sz w:val="24"/>
          <w:szCs w:val="24"/>
        </w:rPr>
      </w:pPr>
      <w:r>
        <w:rPr>
          <w:rFonts w:hint="cs"/>
          <w:b/>
          <w:sz w:val="24"/>
          <w:szCs w:val="24"/>
        </w:rPr>
        <w:t xml:space="preserve">Fig. 2 </w:t>
      </w:r>
      <w:r>
        <w:rPr>
          <w:rFonts w:hint="cs"/>
          <w:sz w:val="24"/>
          <w:szCs w:val="24"/>
        </w:rPr>
        <w:t xml:space="preserve">Multiscale DCCA cross-correlation curves for the nested pairs and P</w:t>
      </w:r>
      <w:r>
        <w:rPr>
          <w:rFonts w:hint="cs"/>
          <w:sz w:val="24"/>
          <w:szCs w:val="24"/>
          <w:vertAlign w:val="subscript"/>
        </w:rPr>
        <w:t xml:space="preserve">cap</w:t>
      </w:r>
      <w:r>
        <w:rPr>
          <w:rFonts w:hint="cs"/>
          <w:sz w:val="24"/>
          <w:szCs w:val="24"/>
        </w:rPr>
        <w:t xml:space="preserve">–VN30: (a) 1D, (b) M30, (c) H1, (d) H4</w:t>
      </w:r>
    </w:p>
    <w:p w14:paraId="34F1944C" w14:textId="02CF4DC1" w:rsidR="000019C6" w:rsidRPr="00756D2A" w:rsidRDefault="000019C6" w:rsidP="00756D2A">
      <w:pPr>
        <w:spacing w:before="60" w:after="200"/>
        <w:jc w:val="both"/>
      </w:pPr>
      <w:r>
        <w:rPr>
          <w:rFonts w:hint="cs"/>
        </w:rPr>
        <w:t xml:space="preserve">Notes: Line and marker types identify the pairs (legend); vertical dotted lines mark the reliability thresholds s</w:t>
      </w:r>
      <w:r>
        <w:rPr>
          <w:rFonts w:hint="cs"/>
          <w:vertAlign w:val="subscript"/>
        </w:rPr>
        <w:t xml:space="preserve">rel</w:t>
      </w:r>
      <w:r>
        <w:rPr>
          <w:rFonts w:hint="cs"/>
        </w:rPr>
        <w:t xml:space="preserve"> (Table 3). Source: Authors’ calculations based on HOSE index data (TradingView).</w:t>
      </w:r>
    </w:p>
    <w:p w14:paraId="32D2EFC4" w14:textId="77777777" w:rsidR="000019C6" w:rsidRPr="00756D2A" w:rsidRDefault="000019C6" w:rsidP="00756D2A">
      <w:pPr>
        <w:pStyle w:val="heading20"/>
        <w:tabs>
          <w:tab w:val="clear" w:pos="567"/>
          <w:tab w:val="left" w:pos="720"/>
        </w:tabs>
        <w:ind w:left="0" w:firstLine="0"/>
        <w:rPr>
          <w:sz w:val="24"/>
          <w:szCs w:val="24"/>
        </w:rPr>
      </w:pPr>
      <w:r>
        <w:rPr>
          <w:rFonts w:hint="cs"/>
          <w:sz w:val="24"/>
          <w:szCs w:val="24"/>
        </w:rPr>
        <w:t xml:space="preserve">3.3 Finite-Sample Reliability Thresholds</w:t>
      </w:r>
    </w:p>
    <w:p w14:paraId="45B5FC8D" w14:textId="77777777" w:rsidR="000019C6" w:rsidRPr="00756D2A" w:rsidRDefault="000019C6" w:rsidP="00756D2A">
      <w:pPr>
        <w:spacing w:line="300" w:lineRule="auto"/>
        <w:jc w:val="both"/>
      </w:pPr>
      <w:r>
        <w:rPr>
          <w:rFonts w:hint="cs"/>
        </w:rPr>
        <w:t xml:space="preserve">Because the number of segments shrinks as the timescale grows, the DCCA coefficient becomes unreliable at large timescales. For each sample size, we simulate pairs of Gaussian white-noise series with known correlations of −0.3, 0, 0.3, 0.5, 0.7 and 0.9 (167 replications each, 1,002 per frequency) and compute the mean absolute estimation error on 40 log-spaced scales. The reliability threshold is the largest scale below the first scale at which the worst-case error exceeds 0.05. Because returns are heavy-tailed and volatility-clustered, we repeat the calibration with generalized autoregressive conditional heteroskedasticity, GARCH(1,1), surrogates driven by Student-t innovations with five degrees of freedom. Table 3 reports both thresholds.</w:t>
      </w:r>
    </w:p>
    <w:p w14:paraId="614508F8"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3 </w:t>
      </w:r>
      <w:r>
        <w:rPr>
          <w:rFonts w:hint="cs"/>
          <w:sz w:val="24"/>
          <w:szCs w:val="24"/>
        </w:rPr>
        <w:t xml:space="preserve">Finite-sample reliability thresholds by trading frequency</w:t>
      </w:r>
    </w:p>
    <w:tbl>
      <w:tblPr>
        <w:tblStyle w:val="TableGrid"/>
        <w:tblW w:w="9368" w:type="dxa"/>
        <w:tblLayout w:type="fixed"/>
        <w:tblLook w:val="0020" w:firstRow="1" w:lastRow="0" w:firstColumn="0" w:lastColumn="0" w:noHBand="0" w:noVBand="0"/>
      </w:tblPr>
      <w:tblGrid>
        <w:gridCol w:w="2678"/>
        <w:gridCol w:w="3345"/>
        <w:gridCol w:w="3345"/>
        <w:gridCol w:w="3345"/>
      </w:tblGrid>
      <w:tr w:rsidR="000019C6" w:rsidRPr="00756D2A" w14:paraId="50A9128C" w14:textId="77777777" w:rsidTr="009E242C">
        <w:trPr>
          <w:trHeight w:val="696"/>
        </w:trPr>
        <w:tc>
          <w:tcPr>
            <w:tcW w:w="2678" w:type="dxa"/>
            <w:tcBorders>
              <w:top w:val="single" w:sz="4" w:space="0" w:color="auto"/>
              <w:left w:val="single" w:sz="4" w:space="0" w:color="auto"/>
              <w:bottom w:val="single" w:sz="4" w:space="0" w:color="auto"/>
              <w:right w:val="single" w:sz="4" w:space="0" w:color="auto"/>
            </w:tcBorders>
            <w:hideMark/>
          </w:tcPr>
          <w:p w14:paraId="3075F8F9" w14:textId="77777777" w:rsidR="000019C6" w:rsidRPr="00756D2A" w:rsidRDefault="000019C6" w:rsidP="00756D2A">
            <w:pPr>
              <w:pStyle w:val="p1a"/>
              <w:spacing w:line="300" w:lineRule="auto"/>
              <w:rPr>
                <w:sz w:val="24"/>
                <w:szCs w:val="24"/>
                <w:lang w:bidi="hi-IN"/>
              </w:rPr>
            </w:pPr>
            <w:r>
              <w:rPr>
                <w:rFonts w:hint="cs"/>
                <w:sz w:val="24"/>
                <w:szCs w:val="24"/>
              </w:rPr>
              <w:t xml:space="preserve">Trading frequency</w:t>
            </w:r>
          </w:p>
        </w:tc>
        <w:tc>
          <w:tcPr>
            <w:tcW w:w="3345" w:type="dxa"/>
            <w:tcBorders>
              <w:top w:val="single" w:sz="4" w:space="0" w:color="auto"/>
              <w:left w:val="single" w:sz="4" w:space="0" w:color="auto"/>
              <w:bottom w:val="single" w:sz="4" w:space="0" w:color="auto"/>
              <w:right w:val="single" w:sz="4" w:space="0" w:color="auto"/>
            </w:tcBorders>
            <w:hideMark/>
          </w:tcPr>
          <w:p w14:paraId="38DD2AFE" w14:textId="77777777" w:rsidR="000019C6" w:rsidRPr="00756D2A" w:rsidRDefault="000019C6" w:rsidP="00756D2A">
            <w:pPr>
              <w:pStyle w:val="p1a"/>
              <w:spacing w:line="300" w:lineRule="auto"/>
              <w:rPr>
                <w:sz w:val="24"/>
                <w:szCs w:val="24"/>
                <w:lang w:bidi="hi-IN"/>
              </w:rPr>
            </w:pPr>
            <w:r>
              <w:rPr>
                <w:rFonts w:hint="cs"/>
                <w:sz w:val="24"/>
                <w:szCs w:val="24"/>
              </w:rPr>
              <w:t xml:space="preserve">Sample size (N)</w:t>
            </w:r>
          </w:p>
        </w:tc>
        <w:tc>
          <w:tcPr>
            <w:tcW w:w="3345" w:type="dxa"/>
            <w:tcBorders>
              <w:top w:val="single" w:sz="4" w:space="0" w:color="auto"/>
              <w:left w:val="single" w:sz="4" w:space="0" w:color="auto"/>
              <w:bottom w:val="single" w:sz="4" w:space="0" w:color="auto"/>
              <w:right w:val="single" w:sz="4" w:space="0" w:color="auto"/>
            </w:tcBorders>
            <w:hideMark/>
          </w:tcPr>
          <w:p w14:paraId="17C73781" w14:textId="77777777" w:rsidR="000019C6" w:rsidRPr="00756D2A" w:rsidRDefault="000019C6" w:rsidP="00756D2A">
            <w:pPr>
              <w:pStyle w:val="p1a"/>
              <w:spacing w:line="300" w:lineRule="auto"/>
              <w:rPr>
                <w:sz w:val="24"/>
                <w:szCs w:val="24"/>
                <w:lang w:bidi="hi-IN"/>
              </w:rPr>
            </w:pPr>
            <w:r>
              <w:rPr>
                <w:rFonts w:hint="cs"/>
                <w:sz w:val="24"/>
                <w:szCs w:val="24"/>
              </w:rPr>
              <w:t xml:space="preserve">Gaussian s</w:t>
            </w:r>
            <w:r>
              <w:rPr>
                <w:rFonts w:hint="cs"/>
                <w:sz w:val="24"/>
                <w:szCs w:val="24"/>
                <w:vertAlign w:val="subscript"/>
              </w:rPr>
              <w:t xml:space="preserve">rel</w:t>
            </w:r>
          </w:p>
        </w:tc>
        <w:tc>
          <w:tcPr>
            <w:tcW w:w="3345" w:type="dxa"/>
            <w:tcBorders>
              <w:top w:val="single" w:sz="4" w:space="0" w:color="auto"/>
              <w:left w:val="single" w:sz="4" w:space="0" w:color="auto"/>
              <w:bottom w:val="single" w:sz="4" w:space="0" w:color="auto"/>
              <w:right w:val="single" w:sz="4" w:space="0" w:color="auto"/>
            </w:tcBorders>
            <w:hideMark/>
          </w:tcPr>
          <w:p w14:paraId="17C73781" w14:textId="77777777" w:rsidR="000019C6" w:rsidRPr="00756D2A" w:rsidRDefault="000019C6" w:rsidP="00756D2A">
            <w:pPr>
              <w:pStyle w:val="p1a"/>
              <w:spacing w:line="300" w:lineRule="auto"/>
              <w:rPr>
                <w:sz w:val="24"/>
                <w:szCs w:val="24"/>
                <w:lang w:bidi="hi-IN"/>
              </w:rPr>
            </w:pPr>
            <w:r>
              <w:rPr>
                <w:rFonts w:hint="cs"/>
                <w:sz w:val="24"/>
                <w:szCs w:val="24"/>
              </w:rPr>
              <w:t xml:space="preserve">Heavy-tailed s</w:t>
            </w:r>
            <w:r>
              <w:rPr>
                <w:rFonts w:hint="cs"/>
                <w:sz w:val="24"/>
                <w:szCs w:val="24"/>
                <w:vertAlign w:val="subscript"/>
              </w:rPr>
              <w:t xml:space="preserve">rel</w:t>
            </w:r>
          </w:p>
        </w:tc>
      </w:tr>
      <w:tr w:rsidR="000019C6" w:rsidRPr="00756D2A" w14:paraId="7A92DD21"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01397807"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1D (Daily)</w:t>
            </w:r>
          </w:p>
        </w:tc>
        <w:tc>
          <w:tcPr>
            <w:tcW w:w="3345" w:type="dxa"/>
            <w:tcBorders>
              <w:top w:val="single" w:sz="4" w:space="0" w:color="auto"/>
              <w:left w:val="single" w:sz="4" w:space="0" w:color="auto"/>
              <w:bottom w:val="single" w:sz="4" w:space="0" w:color="auto"/>
              <w:right w:val="single" w:sz="4" w:space="0" w:color="auto"/>
            </w:tcBorders>
            <w:hideMark/>
          </w:tcPr>
          <w:p w14:paraId="14BE5EFD"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2,963</w:t>
            </w:r>
          </w:p>
        </w:tc>
        <w:tc>
          <w:tcPr>
            <w:tcW w:w="3345" w:type="dxa"/>
            <w:tcBorders>
              <w:top w:val="single" w:sz="4" w:space="0" w:color="auto"/>
              <w:left w:val="single" w:sz="4" w:space="0" w:color="auto"/>
              <w:bottom w:val="single" w:sz="4" w:space="0" w:color="auto"/>
              <w:right w:val="single" w:sz="4" w:space="0" w:color="auto"/>
            </w:tcBorders>
            <w:hideMark/>
          </w:tcPr>
          <w:p w14:paraId="664EDD76" w14:textId="77777777" w:rsidR="000019C6" w:rsidRPr="00756D2A" w:rsidRDefault="000019C6" w:rsidP="00756D2A">
            <w:pPr>
              <w:pStyle w:val="p1a"/>
              <w:spacing w:line="300" w:lineRule="auto"/>
              <w:rPr>
                <w:sz w:val="24"/>
                <w:szCs w:val="24"/>
                <w:lang w:bidi="hi-IN"/>
              </w:rPr>
            </w:pPr>
            <w:r>
              <w:rPr>
                <w:rFonts w:hint="cs"/>
                <w:sz w:val="24"/>
                <w:szCs w:val="24"/>
              </w:rPr>
              <w:t xml:space="preserve">50</w:t>
            </w:r>
          </w:p>
        </w:tc>
        <w:tc>
          <w:tcPr>
            <w:tcW w:w="3345" w:type="dxa"/>
            <w:tcBorders>
              <w:top w:val="single" w:sz="4" w:space="0" w:color="auto"/>
              <w:left w:val="single" w:sz="4" w:space="0" w:color="auto"/>
              <w:bottom w:val="single" w:sz="4" w:space="0" w:color="auto"/>
              <w:right w:val="single" w:sz="4" w:space="0" w:color="auto"/>
            </w:tcBorders>
            <w:hideMark/>
          </w:tcPr>
          <w:p w14:paraId="664EDD76" w14:textId="77777777" w:rsidR="000019C6" w:rsidRPr="00756D2A" w:rsidRDefault="000019C6" w:rsidP="00756D2A">
            <w:pPr>
              <w:pStyle w:val="p1a"/>
              <w:spacing w:line="300" w:lineRule="auto"/>
              <w:rPr>
                <w:sz w:val="24"/>
                <w:szCs w:val="24"/>
                <w:lang w:bidi="hi-IN"/>
              </w:rPr>
            </w:pPr>
            <w:r>
              <w:rPr>
                <w:rFonts w:hint="cs"/>
                <w:sz w:val="24"/>
                <w:szCs w:val="24"/>
              </w:rPr>
              <w:t xml:space="preserve">20</w:t>
            </w:r>
          </w:p>
        </w:tc>
      </w:tr>
      <w:tr w:rsidR="000019C6" w:rsidRPr="00756D2A" w14:paraId="70711419"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6F3A3ABD"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M30 (30-Minute)</w:t>
            </w:r>
          </w:p>
        </w:tc>
        <w:tc>
          <w:tcPr>
            <w:tcW w:w="3345" w:type="dxa"/>
            <w:tcBorders>
              <w:top w:val="single" w:sz="4" w:space="0" w:color="auto"/>
              <w:left w:val="single" w:sz="4" w:space="0" w:color="auto"/>
              <w:bottom w:val="single" w:sz="4" w:space="0" w:color="auto"/>
              <w:right w:val="single" w:sz="4" w:space="0" w:color="auto"/>
            </w:tcBorders>
            <w:hideMark/>
          </w:tcPr>
          <w:p w14:paraId="27EC5953"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21,942</w:t>
            </w:r>
          </w:p>
        </w:tc>
        <w:tc>
          <w:tcPr>
            <w:tcW w:w="3345" w:type="dxa"/>
            <w:tcBorders>
              <w:top w:val="single" w:sz="4" w:space="0" w:color="auto"/>
              <w:left w:val="single" w:sz="4" w:space="0" w:color="auto"/>
              <w:bottom w:val="single" w:sz="4" w:space="0" w:color="auto"/>
              <w:right w:val="single" w:sz="4" w:space="0" w:color="auto"/>
            </w:tcBorders>
            <w:hideMark/>
          </w:tcPr>
          <w:p w14:paraId="312B97F3" w14:textId="77777777" w:rsidR="000019C6" w:rsidRPr="00756D2A" w:rsidRDefault="000019C6" w:rsidP="00756D2A">
            <w:pPr>
              <w:pStyle w:val="p1a"/>
              <w:spacing w:line="300" w:lineRule="auto"/>
              <w:rPr>
                <w:sz w:val="24"/>
                <w:szCs w:val="24"/>
                <w:lang w:bidi="hi-IN"/>
              </w:rPr>
            </w:pPr>
            <w:r>
              <w:rPr>
                <w:rFonts w:hint="cs"/>
                <w:sz w:val="24"/>
                <w:szCs w:val="24"/>
              </w:rPr>
              <w:t xml:space="preserve">444</w:t>
            </w:r>
          </w:p>
        </w:tc>
        <w:tc>
          <w:tcPr>
            <w:tcW w:w="3345" w:type="dxa"/>
            <w:tcBorders>
              <w:top w:val="single" w:sz="4" w:space="0" w:color="auto"/>
              <w:left w:val="single" w:sz="4" w:space="0" w:color="auto"/>
              <w:bottom w:val="single" w:sz="4" w:space="0" w:color="auto"/>
              <w:right w:val="single" w:sz="4" w:space="0" w:color="auto"/>
            </w:tcBorders>
            <w:hideMark/>
          </w:tcPr>
          <w:p w14:paraId="312B97F3" w14:textId="77777777" w:rsidR="000019C6" w:rsidRPr="00756D2A" w:rsidRDefault="000019C6" w:rsidP="00756D2A">
            <w:pPr>
              <w:pStyle w:val="p1a"/>
              <w:spacing w:line="300" w:lineRule="auto"/>
              <w:rPr>
                <w:sz w:val="24"/>
                <w:szCs w:val="24"/>
                <w:lang w:bidi="hi-IN"/>
              </w:rPr>
            </w:pPr>
            <w:r>
              <w:rPr>
                <w:rFonts w:hint="cs"/>
                <w:sz w:val="24"/>
                <w:szCs w:val="24"/>
              </w:rPr>
              <w:t xml:space="preserve">151</w:t>
            </w:r>
          </w:p>
        </w:tc>
      </w:tr>
      <w:tr w:rsidR="000019C6" w:rsidRPr="00756D2A" w14:paraId="52DE86D6"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1D0695"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t>H1 (1-Hour)</w:t>
            </w:r>
          </w:p>
        </w:tc>
        <w:tc>
          <w:tcPr>
            <w:tcW w:w="3345" w:type="dxa"/>
            <w:tcBorders>
              <w:top w:val="single" w:sz="4" w:space="0" w:color="auto"/>
              <w:left w:val="single" w:sz="4" w:space="0" w:color="auto"/>
              <w:bottom w:val="single" w:sz="4" w:space="0" w:color="auto"/>
              <w:right w:val="single" w:sz="4" w:space="0" w:color="auto"/>
            </w:tcBorders>
            <w:hideMark/>
          </w:tcPr>
          <w:p w14:paraId="1D925394"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13,523</w:t>
            </w:r>
          </w:p>
        </w:tc>
        <w:tc>
          <w:tcPr>
            <w:tcW w:w="3345" w:type="dxa"/>
            <w:tcBorders>
              <w:top w:val="single" w:sz="4" w:space="0" w:color="auto"/>
              <w:left w:val="single" w:sz="4" w:space="0" w:color="auto"/>
              <w:bottom w:val="single" w:sz="4" w:space="0" w:color="auto"/>
              <w:right w:val="single" w:sz="4" w:space="0" w:color="auto"/>
            </w:tcBorders>
            <w:hideMark/>
          </w:tcPr>
          <w:p w14:paraId="119D1941" w14:textId="77777777" w:rsidR="000019C6" w:rsidRPr="00756D2A" w:rsidRDefault="000019C6" w:rsidP="00756D2A">
            <w:pPr>
              <w:pStyle w:val="p1a"/>
              <w:spacing w:line="300" w:lineRule="auto"/>
              <w:rPr>
                <w:sz w:val="24"/>
                <w:szCs w:val="24"/>
                <w:lang w:bidi="hi-IN"/>
              </w:rPr>
            </w:pPr>
            <w:r>
              <w:rPr>
                <w:rFonts w:hint="cs"/>
                <w:sz w:val="24"/>
                <w:szCs w:val="24"/>
              </w:rPr>
              <w:t xml:space="preserve">233</w:t>
            </w:r>
          </w:p>
        </w:tc>
        <w:tc>
          <w:tcPr>
            <w:tcW w:w="3345" w:type="dxa"/>
            <w:tcBorders>
              <w:top w:val="single" w:sz="4" w:space="0" w:color="auto"/>
              <w:left w:val="single" w:sz="4" w:space="0" w:color="auto"/>
              <w:bottom w:val="single" w:sz="4" w:space="0" w:color="auto"/>
              <w:right w:val="single" w:sz="4" w:space="0" w:color="auto"/>
            </w:tcBorders>
            <w:hideMark/>
          </w:tcPr>
          <w:p w14:paraId="119D1941" w14:textId="77777777" w:rsidR="000019C6" w:rsidRPr="00756D2A" w:rsidRDefault="000019C6" w:rsidP="00756D2A">
            <w:pPr>
              <w:pStyle w:val="p1a"/>
              <w:spacing w:line="300" w:lineRule="auto"/>
              <w:rPr>
                <w:sz w:val="24"/>
                <w:szCs w:val="24"/>
                <w:lang w:bidi="hi-IN"/>
              </w:rPr>
            </w:pPr>
            <w:r>
              <w:rPr>
                <w:rFonts w:hint="cs"/>
                <w:sz w:val="24"/>
                <w:szCs w:val="24"/>
              </w:rPr>
              <w:t xml:space="preserve">86</w:t>
            </w:r>
          </w:p>
        </w:tc>
      </w:tr>
      <w:tr w:rsidR="000019C6" w:rsidRPr="00756D2A" w14:paraId="089B722B" w14:textId="77777777" w:rsidTr="009E242C">
        <w:trPr>
          <w:trHeight w:val="341"/>
        </w:trPr>
        <w:tc>
          <w:tcPr>
            <w:tcW w:w="2678" w:type="dxa"/>
            <w:tcBorders>
              <w:top w:val="single" w:sz="4" w:space="0" w:color="auto"/>
              <w:left w:val="single" w:sz="4" w:space="0" w:color="auto"/>
              <w:bottom w:val="single" w:sz="4" w:space="0" w:color="auto"/>
              <w:right w:val="single" w:sz="4" w:space="0" w:color="auto"/>
            </w:tcBorders>
            <w:hideMark/>
          </w:tcPr>
          <w:p w14:paraId="3DE7B0BC" w14:textId="77777777" w:rsidR="000019C6" w:rsidRPr="00756D2A" w:rsidRDefault="000019C6" w:rsidP="00756D2A">
            <w:pPr>
              <w:pStyle w:val="p1a"/>
              <w:suppressAutoHyphens/>
              <w:spacing w:line="300" w:lineRule="auto"/>
              <w:rPr>
                <w:sz w:val="24"/>
                <w:szCs w:val="24"/>
                <w:lang w:bidi="hi-IN"/>
              </w:rPr>
            </w:pPr>
            <w:r w:rsidRPr="00756D2A">
              <w:rPr>
                <w:rFonts w:hint="cs"/>
                <w:sz w:val="24"/>
                <w:szCs w:val="24"/>
                <w:lang w:bidi="hi-IN"/>
              </w:rPr>
              <w:lastRenderedPageBreak/>
              <w:t>H4 (4-Hour)</w:t>
            </w:r>
          </w:p>
        </w:tc>
        <w:tc>
          <w:tcPr>
            <w:tcW w:w="3345" w:type="dxa"/>
            <w:tcBorders>
              <w:top w:val="single" w:sz="4" w:space="0" w:color="auto"/>
              <w:left w:val="single" w:sz="4" w:space="0" w:color="auto"/>
              <w:bottom w:val="single" w:sz="4" w:space="0" w:color="auto"/>
              <w:right w:val="single" w:sz="4" w:space="0" w:color="auto"/>
            </w:tcBorders>
            <w:hideMark/>
          </w:tcPr>
          <w:p w14:paraId="7C73F2D6" w14:textId="77777777" w:rsidR="000019C6" w:rsidRPr="00756D2A" w:rsidRDefault="000019C6" w:rsidP="00756D2A">
            <w:pPr>
              <w:pStyle w:val="p1a"/>
              <w:spacing w:line="300" w:lineRule="auto"/>
              <w:rPr>
                <w:sz w:val="24"/>
                <w:szCs w:val="24"/>
                <w:lang w:bidi="hi-IN"/>
              </w:rPr>
            </w:pPr>
            <w:r w:rsidRPr="00756D2A">
              <w:rPr>
                <w:rFonts w:hint="cs"/>
                <w:sz w:val="24"/>
                <w:szCs w:val="24"/>
                <w:lang w:bidi="hi-IN"/>
              </w:rPr>
              <w:t>5,410</w:t>
            </w:r>
          </w:p>
        </w:tc>
        <w:tc>
          <w:tcPr>
            <w:tcW w:w="3345" w:type="dxa"/>
            <w:tcBorders>
              <w:top w:val="single" w:sz="4" w:space="0" w:color="auto"/>
              <w:left w:val="single" w:sz="4" w:space="0" w:color="auto"/>
              <w:bottom w:val="single" w:sz="4" w:space="0" w:color="auto"/>
              <w:right w:val="single" w:sz="4" w:space="0" w:color="auto"/>
            </w:tcBorders>
            <w:hideMark/>
          </w:tcPr>
          <w:p w14:paraId="0737F415" w14:textId="77777777" w:rsidR="000019C6" w:rsidRPr="00756D2A" w:rsidRDefault="000019C6" w:rsidP="00756D2A">
            <w:pPr>
              <w:pStyle w:val="p1a"/>
              <w:spacing w:line="300" w:lineRule="auto"/>
              <w:rPr>
                <w:sz w:val="24"/>
                <w:szCs w:val="24"/>
                <w:lang w:bidi="hi-IN"/>
              </w:rPr>
            </w:pPr>
            <w:r>
              <w:rPr>
                <w:rFonts w:hint="cs"/>
                <w:sz w:val="24"/>
                <w:szCs w:val="24"/>
              </w:rPr>
              <w:t xml:space="preserve">88</w:t>
            </w:r>
          </w:p>
        </w:tc>
        <w:tc>
          <w:tcPr>
            <w:tcW w:w="3345" w:type="dxa"/>
            <w:tcBorders>
              <w:top w:val="single" w:sz="4" w:space="0" w:color="auto"/>
              <w:left w:val="single" w:sz="4" w:space="0" w:color="auto"/>
              <w:bottom w:val="single" w:sz="4" w:space="0" w:color="auto"/>
              <w:right w:val="single" w:sz="4" w:space="0" w:color="auto"/>
            </w:tcBorders>
            <w:hideMark/>
          </w:tcPr>
          <w:p w14:paraId="0737F415" w14:textId="77777777" w:rsidR="000019C6" w:rsidRPr="00756D2A" w:rsidRDefault="000019C6" w:rsidP="00756D2A">
            <w:pPr>
              <w:pStyle w:val="p1a"/>
              <w:spacing w:line="300" w:lineRule="auto"/>
              <w:rPr>
                <w:sz w:val="24"/>
                <w:szCs w:val="24"/>
                <w:lang w:bidi="hi-IN"/>
              </w:rPr>
            </w:pPr>
            <w:r>
              <w:rPr>
                <w:rFonts w:hint="cs"/>
                <w:sz w:val="24"/>
                <w:szCs w:val="24"/>
              </w:rPr>
              <w:t xml:space="preserve">28</w:t>
            </w:r>
          </w:p>
        </w:tc>
      </w:tr>
    </w:tbl>
    <w:p w14:paraId="4E77995D" w14:textId="77777777" w:rsidR="000019C6" w:rsidRPr="00756D2A" w:rsidRDefault="000019C6" w:rsidP="00756D2A">
      <w:pPr>
        <w:spacing w:line="300" w:lineRule="auto" w:before="60" w:after="200"/>
        <w:jc w:val="both"/>
        <w:rPr>
          <w:i/>
          <w:iCs/>
          <w:lang w:val="vi-VN" w:eastAsia="zh-CN"/>
        </w:rPr>
      </w:pPr>
      <w:r>
        <w:rPr>
          <w:rFonts w:hint="cs"/>
        </w:rPr>
        <w:t xml:space="preserve">Notes: Largest scale at which the worst-case mean absolute error stays below 0.05; Gaussian: 1,002 white-noise simulations; heavy-tailed: 300 GARCH(1,1) simulations with Student-t (5) innovations. Source: Authors’ calculations.</w:t>
      </w:r>
    </w:p>
    <w:p w14:paraId="5D435209" w14:textId="5765A404" w:rsidR="000019C6" w:rsidRPr="00756D2A" w:rsidRDefault="000019C6" w:rsidP="00756D2A">
      <w:pPr>
        <w:jc w:val="both"/>
      </w:pPr>
      <w:r>
        <w:t xml:space="preserve">The heavy-tailed thresholds are smaller, but averaging over them leaves the results intact (nested pairs 0.975–0.979; P</w:t>
      </w:r>
      <w:r>
        <w:rPr>
          <w:vertAlign w:val="subscript"/>
        </w:rPr>
        <w:t xml:space="preserve">cap</w:t>
      </w:r>
      <w:r>
        <w:t xml:space="preserve">–VN30 0.882–0.890). The estimates are also insensitive to the detrending order: for VN30–VNINDEX at the daily frequency, the mean reliable-range correlation is 0.9665, 0.9663 and 0.9667 for m = 1, 2 and 3. The statistical proxies (P</w:t>
      </w:r>
      <w:r>
        <w:rPr>
          <w:vertAlign w:val="subscript"/>
        </w:rPr>
        <w:t xml:space="preserve">heur</w:t>
      </w:r>
      <w:r>
        <w:t xml:space="preserve">, P</w:t>
      </w:r>
      <w:r>
        <w:rPr>
          <w:vertAlign w:val="subscript"/>
        </w:rPr>
        <w:t xml:space="preserve">ratio</w:t>
      </w:r>
      <w:r>
        <w:t xml:space="preserve">, P</w:t>
      </w:r>
      <w:r>
        <w:rPr>
          <w:vertAlign w:val="subscript"/>
        </w:rPr>
        <w:t xml:space="preserve">res</w:t>
      </w:r>
      <w:r>
        <w:t xml:space="preserve">) produce average DCCA correlations with VN30 between −0.16 and 0.07, confirming that they are residual artifacts, whereas P</w:t>
      </w:r>
      <w:r>
        <w:rPr>
          <w:vertAlign w:val="subscript"/>
        </w:rPr>
        <w:t xml:space="preserve">cap</w:t>
      </w:r>
      <w:r>
        <w:t xml:space="preserve"> correlates with them at only 0.277–0.486, indicating that it captures a distinct mid-cap signal.</w:t>
      </w:r>
    </w:p>
    <w:bookmarkEnd w:id="85"/>
    <w:p w14:paraId="7AAF0785"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3.4 Multifractal Structure</w:t>
      </w:r>
    </w:p>
    <w:p w14:paraId="27C07ADF" w14:textId="66ABDCBD" w:rsidR="000019C6" w:rsidRPr="00756D2A" w:rsidRDefault="000019C6" w:rsidP="00756D2A">
      <w:pPr>
        <w:jc w:val="both"/>
      </w:pPr>
      <w:r>
        <w:rPr>
          <w:rFonts w:hint="cs"/>
        </w:rPr>
        <w:t xml:space="preserve">The generalized Hurst exponent at the second order, h(2), lies within 0.527–0.544 for all series and frequencies, indicating weak positive persistence. The range of generalized exponents is 0.252–0.431 for the nested pairs and 0.435–0.656 for P</w:t>
      </w:r>
      <w:r>
        <w:rPr>
          <w:rFonts w:hint="cs"/>
          <w:vertAlign w:val="subscript"/>
        </w:rPr>
        <w:t xml:space="preserve">cap</w:t>
      </w:r>
      <w:r>
        <w:rPr>
          <w:rFonts w:hint="cs"/>
        </w:rPr>
        <w:t xml:space="preserve">–VN30, but shuffled surrogates show that much of this range reflects fat tails rather than temporal cross-correlation: the P</w:t>
      </w:r>
      <w:r>
        <w:rPr>
          <w:rFonts w:hint="cs"/>
          <w:vertAlign w:val="subscript"/>
        </w:rPr>
        <w:t xml:space="preserve">cap</w:t>
      </w:r>
      <w:r>
        <w:rPr>
          <w:rFonts w:hint="cs"/>
        </w:rPr>
        <w:t xml:space="preserve">–VN30 range exceeds the 95th surrogate percentile only at 1D (observed 0.656 against a 95th percentile of 0.577), and the nested pairs exceed it in 2 of 12 cases. The multifractal evidence therefore supports only a modest, mainly daily, nonlinear cross-correlation structure in the purged series.</w:t>
      </w:r>
    </w:p>
    <w:p w14:paraId="1E3672BD" w14:textId="45B44CC1" w:rsidR="000019C6" w:rsidRPr="00756D2A" w:rsidRDefault="000019C6" w:rsidP="00756D2A">
      <w:pPr>
        <w:jc w:val="both"/>
      </w:pPr>
      <w:r>
        <w:rPr>
          <w:rFonts w:hint="cs"/>
        </w:rPr>
        <w:t xml:space="preserve">Figure 3 contrasts the multifractal spectra and generalized exponents of the purged mid-cap proxy with those of the nested pairs at the daily frequency.</w:t>
      </w:r>
    </w:p>
    <w:p w14:paraId="29DC7934" w14:textId="791ECDA6" w:rsidR="000019C6" w:rsidRPr="00756D2A" w:rsidRDefault="000019C6" w:rsidP="00756D2A">
      <w:pPr>
        <w:spacing w:line="300" w:lineRule="auto"/>
        <w:jc w:val="both"/>
        <w:rPr>
          <w:lang w:val="vi-VN"/>
        </w:rPr>
      </w:pPr>
      <w:r w:rsidRPr="00756D2A">
        <w:rPr>
          <w:rFonts w:hint="cs"/>
          <w:noProof/>
        </w:rPr>
        <w:drawing>
          <wp:inline distT="0" distB="0" distL="0" distR="0" wp14:anchorId="767C5845" wp14:editId="34C1B888">
            <wp:extent cx="5943600" cy="3108960"/>
            <wp:effectExtent l="0" t="0" r="0" b="0"/>
            <wp:docPr id="39456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6B177C1F" w14:textId="77777777" w:rsidR="000019C6" w:rsidRPr="00756D2A" w:rsidRDefault="000019C6" w:rsidP="00756D2A">
      <w:pPr>
        <w:pStyle w:val="figurecaption"/>
        <w:jc w:val="both"/>
        <w:rPr>
          <w:sz w:val="24"/>
          <w:szCs w:val="24"/>
        </w:rPr>
      </w:pPr>
      <w:r>
        <w:rPr>
          <w:rFonts w:hint="cs"/>
          <w:b/>
          <w:sz w:val="24"/>
          <w:szCs w:val="24"/>
        </w:rPr>
        <w:t xml:space="preserve">Fig. 3 </w:t>
      </w:r>
      <w:r>
        <w:rPr>
          <w:rFonts w:hint="cs"/>
          <w:sz w:val="24"/>
          <w:szCs w:val="24"/>
        </w:rPr>
        <w:t xml:space="preserve">MF-DCCA at the daily frequency: (a) singularity spectra f(α); (b) generalized exponents h</w:t>
      </w:r>
      <w:r>
        <w:rPr>
          <w:rFonts w:hint="cs"/>
          <w:sz w:val="24"/>
          <w:szCs w:val="24"/>
          <w:vertAlign w:val="subscript"/>
        </w:rPr>
        <w:t xml:space="preserve">xy</w:t>
      </w:r>
      <w:r>
        <w:rPr>
          <w:rFonts w:hint="cs"/>
          <w:sz w:val="24"/>
          <w:szCs w:val="24"/>
        </w:rPr>
        <w:t xml:space="preserve">(q)</w:t>
      </w:r>
    </w:p>
    <w:p w14:paraId="7F01ACD1" w14:textId="470E96D1" w:rsidR="000019C6" w:rsidRPr="00756D2A" w:rsidRDefault="000019C6" w:rsidP="00756D2A">
      <w:pPr>
        <w:spacing w:before="60" w:after="200"/>
        <w:jc w:val="both"/>
      </w:pPr>
      <w:r>
        <w:rPr>
          <w:rFonts w:hint="cs"/>
        </w:rPr>
        <w:t xml:space="preserve">Notes: q ∈ [−5, 5]\{0}; daily data. Source: Authors’ calculations based on HOSE index data (TradingView).</w:t>
      </w:r>
    </w:p>
    <w:p w14:paraId="7E4FBBFE"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3.5 Volatility Regimes and the Forbes–Rigobon Adjustment</w:t>
      </w:r>
    </w:p>
    <w:p w14:paraId="53EBF908" w14:textId="0DBAD31F" w:rsidR="000019C6" w:rsidRPr="00756D2A" w:rsidRDefault="000019C6" w:rsidP="00756D2A">
      <w:pPr>
        <w:jc w:val="both"/>
      </w:pPr>
      <w:r>
        <w:rPr>
          <w:rFonts w:hint="cs"/>
        </w:rPr>
        <w:t xml:space="preserve">Table 4 reports the unadjusted and Forbes–Rigobon conditioned correlations for the chronological and rolling-volatility regimes.</w:t>
      </w:r>
    </w:p>
    <w:p w14:paraId="1EBD8831" w14:textId="77777777" w:rsidR="000019C6" w:rsidRDefault="000019C6" w:rsidP="00756D2A">
      <w:pPr>
        <w:pStyle w:val="tablecaption0"/>
        <w:spacing w:line="300" w:lineRule="auto"/>
        <w:jc w:val="both"/>
        <w:rPr>
          <w:sz w:val="24"/>
          <w:szCs w:val="24"/>
          <w:lang w:val="vi-VN"/>
        </w:rPr>
      </w:pPr>
      <w:r>
        <w:rPr>
          <w:rFonts w:hint="cs"/>
          <w:b/>
          <w:sz w:val="24"/>
          <w:szCs w:val="24"/>
        </w:rPr>
        <w:t xml:space="preserve">Table 4 </w:t>
      </w:r>
      <w:r>
        <w:rPr>
          <w:rFonts w:hint="cs"/>
          <w:sz w:val="24"/>
          <w:szCs w:val="24"/>
        </w:rPr>
        <w:t xml:space="preserve">Cross-correlation across volatility regimes and Forbes–Rigobon conditioning</w:t>
      </w:r>
    </w:p>
    <w:tbl>
      <w:tblPr>
        <w:tblStyle w:val="TableGrid"/>
        <w:tblW w:w="9313" w:type="dxa"/>
        <w:tblLook w:val="04A0" w:firstRow="1" w:lastRow="0" w:firstColumn="1" w:lastColumn="0" w:noHBand="0" w:noVBand="1"/>
      </w:tblPr>
      <w:tblGrid>
        <w:gridCol w:w="1832"/>
        <w:gridCol w:w="918"/>
        <w:gridCol w:w="918"/>
        <w:gridCol w:w="772"/>
        <w:gridCol w:w="918"/>
        <w:gridCol w:w="1590"/>
        <w:gridCol w:w="845"/>
        <w:gridCol w:w="1520"/>
      </w:tblGrid>
      <w:tr w:rsidR="000019C6" w:rsidRPr="00756D2A" w14:paraId="319C9F31"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681E82EF" w14:textId="77777777" w:rsidR="000019C6" w:rsidRPr="00756D2A" w:rsidRDefault="000019C6" w:rsidP="00756D2A">
            <w:pPr>
              <w:spacing w:line="276" w:lineRule="auto"/>
              <w:jc w:val="both"/>
              <w:rPr>
                <w:color w:val="000000"/>
                <w:lang w:bidi="hi-IN"/>
              </w:rPr>
            </w:pPr>
            <w:r>
              <w:rPr>
                <w:rFonts w:hint="cs"/>
                <w:color w:val="000000"/>
              </w:rPr>
              <w:t xml:space="preserve">Asset pair</w:t>
            </w:r>
          </w:p>
        </w:tc>
        <w:tc>
          <w:tcPr>
            <w:tcW w:w="0" w:type="auto"/>
            <w:tcBorders>
              <w:top w:val="single" w:sz="4" w:space="0" w:color="auto"/>
              <w:left w:val="single" w:sz="4" w:space="0" w:color="auto"/>
              <w:bottom w:val="single" w:sz="4" w:space="0" w:color="auto"/>
              <w:right w:val="single" w:sz="4" w:space="0" w:color="auto"/>
            </w:tcBorders>
            <w:noWrap/>
            <w:hideMark/>
          </w:tcPr>
          <w:p w14:paraId="7592016F" w14:textId="77777777" w:rsidR="000019C6" w:rsidRPr="00756D2A" w:rsidRDefault="000019C6" w:rsidP="00756D2A">
            <w:pPr>
              <w:suppressAutoHyphens/>
              <w:spacing w:line="276" w:lineRule="auto"/>
              <w:jc w:val="both"/>
              <w:rPr>
                <w:color w:val="000000"/>
                <w:lang w:val="vi-VN" w:bidi="hi-IN"/>
              </w:rPr>
            </w:pPr>
            <w:r>
              <w:rPr>
                <w:rFonts w:hint="cs"/>
              </w:rPr>
              <w:t xml:space="preserve">ρ</w:t>
            </w:r>
            <w:r>
              <w:rPr>
                <w:rFonts w:hint="cs"/>
                <w:vertAlign w:val="subscript"/>
              </w:rPr>
              <w:t xml:space="preserve">low</w:t>
            </w:r>
          </w:p>
        </w:tc>
        <w:tc>
          <w:tcPr>
            <w:tcW w:w="0" w:type="auto"/>
            <w:tcBorders>
              <w:top w:val="single" w:sz="4" w:space="0" w:color="auto"/>
              <w:left w:val="single" w:sz="4" w:space="0" w:color="auto"/>
              <w:bottom w:val="single" w:sz="4" w:space="0" w:color="auto"/>
              <w:right w:val="single" w:sz="4" w:space="0" w:color="auto"/>
            </w:tcBorders>
            <w:noWrap/>
            <w:hideMark/>
          </w:tcPr>
          <w:p w14:paraId="7D4DEDC4" w14:textId="77777777" w:rsidR="000019C6" w:rsidRPr="00756D2A" w:rsidRDefault="000019C6" w:rsidP="00756D2A">
            <w:pPr>
              <w:suppressAutoHyphens/>
              <w:spacing w:line="276" w:lineRule="auto"/>
              <w:jc w:val="both"/>
              <w:rPr>
                <w:color w:val="000000"/>
                <w:lang w:bidi="hi-IN"/>
              </w:rPr>
            </w:pPr>
            <w:r>
              <w:rPr>
                <w:rFonts w:hint="cs"/>
              </w:rPr>
              <w:t xml:space="preserve">ρ</w:t>
            </w:r>
            <w:r>
              <w:rPr>
                <w:rFonts w:hint="cs"/>
                <w:vertAlign w:val="subscript"/>
              </w:rPr>
              <w:t xml:space="preserve">high</w:t>
            </w:r>
          </w:p>
        </w:tc>
        <w:tc>
          <w:tcPr>
            <w:tcW w:w="0" w:type="auto"/>
            <w:tcBorders>
              <w:top w:val="single" w:sz="4" w:space="0" w:color="auto"/>
              <w:left w:val="single" w:sz="4" w:space="0" w:color="auto"/>
              <w:bottom w:val="single" w:sz="4" w:space="0" w:color="auto"/>
              <w:right w:val="single" w:sz="4" w:space="0" w:color="auto"/>
            </w:tcBorders>
            <w:noWrap/>
            <w:hideMark/>
          </w:tcPr>
          <w:p w14:paraId="31A76E5E" w14:textId="77777777" w:rsidR="000019C6" w:rsidRPr="00756D2A" w:rsidRDefault="000019C6" w:rsidP="00756D2A">
            <w:pPr>
              <w:suppressAutoHyphens/>
              <w:spacing w:line="276" w:lineRule="auto"/>
              <w:jc w:val="both"/>
              <w:rPr>
                <w:color w:val="000000"/>
                <w:lang w:val="vi-VN" w:bidi="hi-IN"/>
              </w:rPr>
            </w:pPr>
            <w:r>
              <w:t xml:space="preserve">δ</w:t>
            </w:r>
          </w:p>
        </w:tc>
        <w:tc>
          <w:tcPr>
            <w:tcW w:w="0" w:type="auto"/>
            <w:tcBorders>
              <w:top w:val="single" w:sz="4" w:space="0" w:color="auto"/>
              <w:left w:val="single" w:sz="4" w:space="0" w:color="auto"/>
              <w:bottom w:val="single" w:sz="4" w:space="0" w:color="auto"/>
              <w:right w:val="single" w:sz="4" w:space="0" w:color="auto"/>
            </w:tcBorders>
            <w:noWrap/>
            <w:hideMark/>
          </w:tcPr>
          <w:p w14:paraId="7F41D0DB" w14:textId="77777777" w:rsidR="000019C6" w:rsidRPr="00756D2A" w:rsidRDefault="000019C6" w:rsidP="00756D2A">
            <w:pPr>
              <w:suppressAutoHyphens/>
              <w:spacing w:line="276" w:lineRule="auto"/>
              <w:jc w:val="both"/>
              <w:rPr>
                <w:color w:val="000000"/>
                <w:lang w:bidi="hi-IN"/>
              </w:rPr>
            </w:pPr>
            <w:r>
              <w:rPr>
                <w:rFonts w:hint="cs"/>
              </w:rPr>
              <w:t xml:space="preserve">ρ</w:t>
            </w:r>
            <w:r>
              <w:rPr>
                <w:rFonts w:hint="cs"/>
                <w:vertAlign w:val="superscript"/>
              </w:rPr>
              <w:t xml:space="preserve">*</w:t>
            </w:r>
          </w:p>
        </w:tc>
        <w:tc>
          <w:tcPr>
            <w:tcW w:w="0" w:type="auto"/>
            <w:tcBorders>
              <w:top w:val="single" w:sz="4" w:space="0" w:color="auto"/>
              <w:left w:val="single" w:sz="4" w:space="0" w:color="auto"/>
              <w:bottom w:val="single" w:sz="4" w:space="0" w:color="auto"/>
              <w:right w:val="single" w:sz="4" w:space="0" w:color="auto"/>
            </w:tcBorders>
            <w:noWrap/>
            <w:hideMark/>
          </w:tcPr>
          <w:p w14:paraId="1AF6510E" w14:textId="77777777" w:rsidR="000019C6" w:rsidRPr="00756D2A" w:rsidRDefault="000019C6" w:rsidP="00756D2A">
            <w:pPr>
              <w:spacing w:line="276" w:lineRule="auto"/>
              <w:jc w:val="both"/>
              <w:rPr>
                <w:color w:val="000000"/>
                <w:lang w:bidi="hi-IN"/>
              </w:rPr>
            </w:pPr>
            <w:r>
              <w:rPr>
                <w:rFonts w:hint="cs"/>
              </w:rPr>
              <w:t xml:space="preserve">ρ</w:t>
            </w:r>
            <w:r>
              <w:rPr>
                <w:rFonts w:hint="cs"/>
                <w:vertAlign w:val="superscript"/>
              </w:rPr>
              <w:t xml:space="preserve">*</w:t>
            </w:r>
            <w:r>
              <w:rPr>
                <w:rFonts w:hint="cs"/>
              </w:rPr>
              <w:t xml:space="preserve"> − ρ</w:t>
            </w:r>
            <w:r>
              <w:rPr>
                <w:rFonts w:hint="cs"/>
                <w:vertAlign w:val="subscript"/>
              </w:rPr>
              <w:t xml:space="preserve">low</w:t>
            </w:r>
            <w:r>
              <w:rPr>
                <w:rFonts w:hint="cs"/>
              </w:rPr>
              <w:t xml:space="preserve"> [95% CI]</w:t>
            </w:r>
          </w:p>
        </w:tc>
        <w:tc>
          <w:tcPr>
            <w:tcW w:w="0" w:type="auto"/>
            <w:tcBorders>
              <w:top w:val="single" w:sz="4" w:space="0" w:color="auto"/>
              <w:left w:val="single" w:sz="4" w:space="0" w:color="auto"/>
              <w:bottom w:val="single" w:sz="4" w:space="0" w:color="auto"/>
              <w:right w:val="single" w:sz="4" w:space="0" w:color="auto"/>
            </w:tcBorders>
            <w:noWrap/>
            <w:hideMark/>
          </w:tcPr>
          <w:p w14:paraId="76904459" w14:textId="77777777" w:rsidR="000019C6" w:rsidRPr="00756D2A" w:rsidRDefault="000019C6" w:rsidP="00756D2A">
            <w:pPr>
              <w:spacing w:line="276" w:lineRule="auto"/>
              <w:jc w:val="both"/>
              <w:rPr>
                <w:color w:val="000000"/>
                <w:lang w:bidi="hi-IN"/>
              </w:rPr>
            </w:pPr>
            <w:r>
              <w:rPr>
                <w:rFonts w:hint="cs"/>
              </w:rPr>
              <w:t xml:space="preserve">p-value</w:t>
            </w:r>
          </w:p>
        </w:tc>
        <w:tc>
          <w:tcPr>
            <w:tcW w:w="0" w:type="auto"/>
            <w:tcBorders>
              <w:top w:val="single" w:sz="4" w:space="0" w:color="auto"/>
              <w:left w:val="single" w:sz="4" w:space="0" w:color="auto"/>
              <w:bottom w:val="single" w:sz="4" w:space="0" w:color="auto"/>
              <w:right w:val="single" w:sz="4" w:space="0" w:color="auto"/>
            </w:tcBorders>
            <w:noWrap/>
            <w:hideMark/>
          </w:tcPr>
          <w:p w14:paraId="179B085D" w14:textId="77777777" w:rsidR="000019C6" w:rsidRPr="00756D2A" w:rsidRDefault="000019C6" w:rsidP="00756D2A">
            <w:pPr>
              <w:spacing w:line="276" w:lineRule="auto"/>
              <w:jc w:val="both"/>
              <w:rPr>
                <w:color w:val="000000"/>
                <w:lang w:bidi="hi-IN"/>
              </w:rPr>
            </w:pPr>
            <w:r>
              <w:rPr>
                <w:rFonts w:hint="cs"/>
              </w:rPr>
              <w:t xml:space="preserve">Power</w:t>
            </w:r>
          </w:p>
        </w:tc>
      </w:tr>
      <w:tr w:rsidR="000019C6" w:rsidRPr="00756D2A" w14:paraId="27B56266"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6093F89C"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A: Chronological Crisis</w:t>
            </w:r>
          </w:p>
        </w:tc>
      </w:tr>
      <w:tr w:rsidR="000019C6" w:rsidRPr="00756D2A" w14:paraId="00A07B96"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48CA1D7" w14:textId="77777777" w:rsidR="000019C6" w:rsidRPr="00756D2A" w:rsidRDefault="000019C6" w:rsidP="00756D2A">
            <w:pPr>
              <w:suppressAutoHyphens/>
              <w:spacing w:line="276" w:lineRule="auto"/>
              <w:jc w:val="both"/>
              <w:rPr>
                <w:color w:val="000000"/>
                <w:lang w:bidi="hi-IN"/>
              </w:rPr>
            </w:pPr>
            <w:r>
              <w:rPr>
                <w:rFonts w:hint="cs"/>
                <w:color w:val="000000"/>
              </w:rPr>
              <w:t xml:space="preserve">P</w:t>
            </w:r>
            <w:r>
              <w:rPr>
                <w:rFonts w:hint="cs"/>
                <w:color w:val="000000"/>
                <w:vertAlign w:val="subscript"/>
              </w:rPr>
              <w:t xml:space="preserve">cap</w:t>
            </w:r>
            <w:r>
              <w:rPr>
                <w:rFonts w:hint="cs"/>
                <w:color w:val="000000"/>
              </w:rPr>
              <w:t xml:space="preserve">–VN30</w:t>
            </w:r>
          </w:p>
        </w:tc>
        <w:tc>
          <w:tcPr>
            <w:tcW w:w="0" w:type="auto"/>
            <w:tcBorders>
              <w:top w:val="single" w:sz="4" w:space="0" w:color="auto"/>
              <w:left w:val="single" w:sz="4" w:space="0" w:color="auto"/>
              <w:bottom w:val="single" w:sz="4" w:space="0" w:color="auto"/>
              <w:right w:val="single" w:sz="4" w:space="0" w:color="auto"/>
            </w:tcBorders>
            <w:noWrap/>
            <w:hideMark/>
          </w:tcPr>
          <w:p w14:paraId="5229BD8D" w14:textId="77777777" w:rsidR="000019C6" w:rsidRPr="00756D2A" w:rsidRDefault="000019C6" w:rsidP="00756D2A">
            <w:pPr>
              <w:spacing w:line="276" w:lineRule="auto"/>
              <w:jc w:val="both"/>
              <w:rPr>
                <w:color w:val="000000"/>
                <w:lang w:bidi="hi-IN"/>
              </w:rPr>
            </w:pPr>
            <w:r>
              <w:rPr>
                <w:rFonts w:hint="cs"/>
                <w:color w:val="000000"/>
              </w:rPr>
              <w:t xml:space="preserve">0.847</w:t>
            </w:r>
          </w:p>
        </w:tc>
        <w:tc>
          <w:tcPr>
            <w:tcW w:w="0" w:type="auto"/>
            <w:tcBorders>
              <w:top w:val="single" w:sz="4" w:space="0" w:color="auto"/>
              <w:left w:val="single" w:sz="4" w:space="0" w:color="auto"/>
              <w:bottom w:val="single" w:sz="4" w:space="0" w:color="auto"/>
              <w:right w:val="single" w:sz="4" w:space="0" w:color="auto"/>
            </w:tcBorders>
            <w:noWrap/>
            <w:hideMark/>
          </w:tcPr>
          <w:p w14:paraId="26599B39" w14:textId="77777777" w:rsidR="000019C6" w:rsidRPr="00756D2A" w:rsidRDefault="000019C6" w:rsidP="00756D2A">
            <w:pPr>
              <w:spacing w:line="276" w:lineRule="auto"/>
              <w:jc w:val="both"/>
              <w:rPr>
                <w:color w:val="000000"/>
                <w:lang w:bidi="hi-IN"/>
              </w:rPr>
            </w:pPr>
            <w:r>
              <w:rPr>
                <w:rFonts w:hint="cs"/>
                <w:color w:val="000000"/>
              </w:rPr>
              <w:t xml:space="preserve">0.924</w:t>
            </w:r>
          </w:p>
        </w:tc>
        <w:tc>
          <w:tcPr>
            <w:tcW w:w="0" w:type="auto"/>
            <w:tcBorders>
              <w:top w:val="single" w:sz="4" w:space="0" w:color="auto"/>
              <w:left w:val="single" w:sz="4" w:space="0" w:color="auto"/>
              <w:bottom w:val="single" w:sz="4" w:space="0" w:color="auto"/>
              <w:right w:val="single" w:sz="4" w:space="0" w:color="auto"/>
            </w:tcBorders>
            <w:noWrap/>
            <w:hideMark/>
          </w:tcPr>
          <w:p w14:paraId="56A49ABE" w14:textId="77777777" w:rsidR="000019C6" w:rsidRPr="00756D2A" w:rsidRDefault="000019C6" w:rsidP="00756D2A">
            <w:pPr>
              <w:spacing w:line="276" w:lineRule="auto"/>
              <w:jc w:val="both"/>
              <w:rPr>
                <w:color w:val="000000"/>
                <w:lang w:bidi="hi-IN"/>
              </w:rPr>
            </w:pPr>
            <w:r>
              <w:rPr>
                <w:rFonts w:hint="cs"/>
                <w:color w:val="000000"/>
              </w:rPr>
              <w:t xml:space="preserve">2.21</w:t>
            </w:r>
          </w:p>
        </w:tc>
        <w:tc>
          <w:tcPr>
            <w:tcW w:w="0" w:type="auto"/>
            <w:tcBorders>
              <w:top w:val="single" w:sz="4" w:space="0" w:color="auto"/>
              <w:left w:val="single" w:sz="4" w:space="0" w:color="auto"/>
              <w:bottom w:val="single" w:sz="4" w:space="0" w:color="auto"/>
              <w:right w:val="single" w:sz="4" w:space="0" w:color="auto"/>
            </w:tcBorders>
            <w:noWrap/>
            <w:hideMark/>
          </w:tcPr>
          <w:p w14:paraId="03D15E58" w14:textId="77777777" w:rsidR="000019C6" w:rsidRPr="00756D2A" w:rsidRDefault="000019C6" w:rsidP="00756D2A">
            <w:pPr>
              <w:spacing w:line="276" w:lineRule="auto"/>
              <w:jc w:val="both"/>
              <w:rPr>
                <w:color w:val="000000"/>
                <w:lang w:bidi="hi-IN"/>
              </w:rPr>
            </w:pPr>
            <w:r>
              <w:rPr>
                <w:rFonts w:hint="cs"/>
                <w:color w:val="000000"/>
              </w:rPr>
              <w:t xml:space="preserve">0.803</w:t>
            </w:r>
          </w:p>
        </w:tc>
        <w:tc>
          <w:tcPr>
            <w:tcW w:w="0" w:type="auto"/>
            <w:tcBorders>
              <w:top w:val="single" w:sz="4" w:space="0" w:color="auto"/>
              <w:left w:val="single" w:sz="4" w:space="0" w:color="auto"/>
              <w:bottom w:val="single" w:sz="4" w:space="0" w:color="auto"/>
              <w:right w:val="single" w:sz="4" w:space="0" w:color="auto"/>
            </w:tcBorders>
            <w:noWrap/>
            <w:hideMark/>
          </w:tcPr>
          <w:p w14:paraId="121CF7FD" w14:textId="77777777" w:rsidR="000019C6" w:rsidRPr="00756D2A" w:rsidRDefault="000019C6" w:rsidP="00756D2A">
            <w:pPr>
              <w:spacing w:line="276" w:lineRule="auto"/>
              <w:jc w:val="both"/>
              <w:rPr>
                <w:color w:val="000000"/>
                <w:lang w:bidi="hi-IN"/>
              </w:rPr>
            </w:pPr>
            <w:r>
              <w:rPr>
                <w:rFonts w:hint="cs"/>
                <w:color w:val="000000"/>
              </w:rPr>
              <w:t xml:space="preserve">−0.044 [−0.082, 0.001]</w:t>
            </w:r>
          </w:p>
        </w:tc>
        <w:tc>
          <w:tcPr>
            <w:tcW w:w="0" w:type="auto"/>
            <w:tcBorders>
              <w:top w:val="single" w:sz="4" w:space="0" w:color="auto"/>
              <w:left w:val="single" w:sz="4" w:space="0" w:color="auto"/>
              <w:bottom w:val="single" w:sz="4" w:space="0" w:color="auto"/>
              <w:right w:val="single" w:sz="4" w:space="0" w:color="auto"/>
            </w:tcBorders>
            <w:noWrap/>
            <w:hideMark/>
          </w:tcPr>
          <w:p w14:paraId="7C626A37" w14:textId="77777777" w:rsidR="000019C6" w:rsidRPr="00756D2A" w:rsidRDefault="000019C6" w:rsidP="00756D2A">
            <w:pPr>
              <w:spacing w:line="276" w:lineRule="auto"/>
              <w:jc w:val="both"/>
              <w:rPr>
                <w:color w:val="000000"/>
                <w:lang w:bidi="hi-IN"/>
              </w:rPr>
            </w:pPr>
            <w:r>
              <w:rPr>
                <w:rFonts w:hint="cs"/>
                <w:color w:val="000000"/>
              </w:rPr>
              <w:t xml:space="preserve">0.985</w:t>
            </w:r>
          </w:p>
        </w:tc>
        <w:tc>
          <w:tcPr>
            <w:tcW w:w="0" w:type="auto"/>
            <w:tcBorders>
              <w:top w:val="single" w:sz="4" w:space="0" w:color="auto"/>
              <w:left w:val="single" w:sz="4" w:space="0" w:color="auto"/>
              <w:bottom w:val="single" w:sz="4" w:space="0" w:color="auto"/>
              <w:right w:val="single" w:sz="4" w:space="0" w:color="auto"/>
            </w:tcBorders>
            <w:noWrap/>
            <w:hideMark/>
          </w:tcPr>
          <w:p w14:paraId="6691C0DB" w14:textId="77777777" w:rsidR="000019C6" w:rsidRPr="00756D2A" w:rsidRDefault="000019C6" w:rsidP="00756D2A">
            <w:pPr>
              <w:spacing w:line="276" w:lineRule="auto"/>
              <w:jc w:val="both"/>
              <w:rPr>
                <w:color w:val="000000"/>
                <w:lang w:bidi="hi-IN"/>
              </w:rPr>
            </w:pPr>
            <w:r>
              <w:rPr>
                <w:rFonts w:hint="cs"/>
                <w:color w:val="000000"/>
              </w:rPr>
              <w:t xml:space="preserve">0.77</w:t>
            </w:r>
          </w:p>
        </w:tc>
      </w:tr>
      <w:tr w:rsidR="000019C6" w:rsidRPr="00756D2A" w14:paraId="26BE9444" w14:textId="77777777" w:rsidTr="00634484">
        <w:trPr>
          <w:trHeight w:val="358"/>
        </w:trPr>
        <w:tc>
          <w:tcPr>
            <w:tcW w:w="0" w:type="auto"/>
            <w:gridSpan w:val="8"/>
            <w:tcBorders>
              <w:top w:val="single" w:sz="4" w:space="0" w:color="auto"/>
              <w:left w:val="single" w:sz="4" w:space="0" w:color="auto"/>
              <w:bottom w:val="single" w:sz="4" w:space="0" w:color="auto"/>
              <w:right w:val="single" w:sz="4" w:space="0" w:color="auto"/>
            </w:tcBorders>
            <w:noWrap/>
            <w:hideMark/>
          </w:tcPr>
          <w:p w14:paraId="25B4DE3D" w14:textId="77777777" w:rsidR="000019C6" w:rsidRPr="00756D2A" w:rsidRDefault="000019C6" w:rsidP="00756D2A">
            <w:pPr>
              <w:suppressAutoHyphens/>
              <w:spacing w:line="276" w:lineRule="auto"/>
              <w:jc w:val="both"/>
              <w:rPr>
                <w:color w:val="000000"/>
                <w:lang w:bidi="hi-IN"/>
              </w:rPr>
            </w:pPr>
            <w:r w:rsidRPr="00756D2A">
              <w:rPr>
                <w:rFonts w:hint="cs"/>
                <w:color w:val="000000"/>
                <w:lang w:bidi="hi-IN"/>
              </w:rPr>
              <w:t>Panel B: 20-Day Rolling Regimes</w:t>
            </w:r>
          </w:p>
        </w:tc>
      </w:tr>
      <w:tr w:rsidR="000019C6" w:rsidRPr="00756D2A" w14:paraId="675B6CFE" w14:textId="77777777" w:rsidTr="00634484">
        <w:trPr>
          <w:trHeight w:val="358"/>
        </w:trPr>
        <w:tc>
          <w:tcPr>
            <w:tcW w:w="0" w:type="auto"/>
            <w:tcBorders>
              <w:top w:val="single" w:sz="4" w:space="0" w:color="auto"/>
              <w:left w:val="single" w:sz="4" w:space="0" w:color="auto"/>
              <w:bottom w:val="single" w:sz="4" w:space="0" w:color="auto"/>
              <w:right w:val="single" w:sz="4" w:space="0" w:color="auto"/>
            </w:tcBorders>
            <w:noWrap/>
            <w:hideMark/>
          </w:tcPr>
          <w:p w14:paraId="784AC0D4" w14:textId="77777777" w:rsidR="000019C6" w:rsidRPr="00756D2A" w:rsidRDefault="000019C6" w:rsidP="00756D2A">
            <w:pPr>
              <w:suppressAutoHyphens/>
              <w:spacing w:line="276" w:lineRule="auto"/>
              <w:jc w:val="both"/>
              <w:rPr>
                <w:color w:val="000000"/>
                <w:lang w:bidi="hi-IN"/>
              </w:rPr>
            </w:pPr>
            <w:r>
              <w:rPr>
                <w:rFonts w:hint="cs"/>
                <w:color w:val="000000"/>
              </w:rPr>
              <w:t xml:space="preserve">P</w:t>
            </w:r>
            <w:r>
              <w:rPr>
                <w:rFonts w:hint="cs"/>
                <w:color w:val="000000"/>
                <w:vertAlign w:val="subscript"/>
              </w:rPr>
              <w:t xml:space="preserve">cap</w:t>
            </w:r>
            <w:r>
              <w:rPr>
                <w:rFonts w:hint="cs"/>
                <w:color w:val="000000"/>
              </w:rPr>
              <w:t xml:space="preserve">–VN30</w:t>
            </w:r>
          </w:p>
        </w:tc>
        <w:tc>
          <w:tcPr>
            <w:tcW w:w="0" w:type="auto"/>
            <w:tcBorders>
              <w:top w:val="single" w:sz="4" w:space="0" w:color="auto"/>
              <w:left w:val="single" w:sz="4" w:space="0" w:color="auto"/>
              <w:bottom w:val="single" w:sz="4" w:space="0" w:color="auto"/>
              <w:right w:val="single" w:sz="4" w:space="0" w:color="auto"/>
            </w:tcBorders>
            <w:noWrap/>
            <w:hideMark/>
          </w:tcPr>
          <w:p w14:paraId="66D473D5" w14:textId="77777777" w:rsidR="000019C6" w:rsidRPr="00756D2A" w:rsidRDefault="000019C6" w:rsidP="00756D2A">
            <w:pPr>
              <w:spacing w:line="276" w:lineRule="auto"/>
              <w:jc w:val="both"/>
              <w:rPr>
                <w:color w:val="000000"/>
                <w:lang w:bidi="hi-IN"/>
              </w:rPr>
            </w:pPr>
            <w:r>
              <w:rPr>
                <w:rFonts w:hint="cs"/>
                <w:color w:val="000000"/>
              </w:rPr>
              <w:t xml:space="preserve">0.727</w:t>
            </w:r>
          </w:p>
        </w:tc>
        <w:tc>
          <w:tcPr>
            <w:tcW w:w="0" w:type="auto"/>
            <w:tcBorders>
              <w:top w:val="single" w:sz="4" w:space="0" w:color="auto"/>
              <w:left w:val="single" w:sz="4" w:space="0" w:color="auto"/>
              <w:bottom w:val="single" w:sz="4" w:space="0" w:color="auto"/>
              <w:right w:val="single" w:sz="4" w:space="0" w:color="auto"/>
            </w:tcBorders>
            <w:noWrap/>
            <w:hideMark/>
          </w:tcPr>
          <w:p w14:paraId="7F6CA517" w14:textId="77777777" w:rsidR="000019C6" w:rsidRPr="00756D2A" w:rsidRDefault="000019C6" w:rsidP="00756D2A">
            <w:pPr>
              <w:spacing w:line="276" w:lineRule="auto"/>
              <w:jc w:val="both"/>
              <w:rPr>
                <w:color w:val="000000"/>
                <w:lang w:bidi="hi-IN"/>
              </w:rPr>
            </w:pPr>
            <w:r>
              <w:rPr>
                <w:rFonts w:hint="cs"/>
                <w:color w:val="000000"/>
              </w:rPr>
              <w:t xml:space="preserve">0.928</w:t>
            </w:r>
          </w:p>
        </w:tc>
        <w:tc>
          <w:tcPr>
            <w:tcW w:w="0" w:type="auto"/>
            <w:tcBorders>
              <w:top w:val="single" w:sz="4" w:space="0" w:color="auto"/>
              <w:left w:val="single" w:sz="4" w:space="0" w:color="auto"/>
              <w:bottom w:val="single" w:sz="4" w:space="0" w:color="auto"/>
              <w:right w:val="single" w:sz="4" w:space="0" w:color="auto"/>
            </w:tcBorders>
            <w:noWrap/>
            <w:hideMark/>
          </w:tcPr>
          <w:p w14:paraId="06066715" w14:textId="77777777" w:rsidR="000019C6" w:rsidRPr="00756D2A" w:rsidRDefault="000019C6" w:rsidP="00756D2A">
            <w:pPr>
              <w:spacing w:line="276" w:lineRule="auto"/>
              <w:jc w:val="both"/>
              <w:rPr>
                <w:color w:val="000000"/>
                <w:lang w:bidi="hi-IN"/>
              </w:rPr>
            </w:pPr>
            <w:r>
              <w:rPr>
                <w:rFonts w:hint="cs"/>
                <w:color w:val="000000"/>
              </w:rPr>
              <w:t xml:space="preserve">7.06</w:t>
            </w:r>
          </w:p>
        </w:tc>
        <w:tc>
          <w:tcPr>
            <w:tcW w:w="0" w:type="auto"/>
            <w:tcBorders>
              <w:top w:val="single" w:sz="4" w:space="0" w:color="auto"/>
              <w:left w:val="single" w:sz="4" w:space="0" w:color="auto"/>
              <w:bottom w:val="single" w:sz="4" w:space="0" w:color="auto"/>
              <w:right w:val="single" w:sz="4" w:space="0" w:color="auto"/>
            </w:tcBorders>
            <w:noWrap/>
            <w:hideMark/>
          </w:tcPr>
          <w:p w14:paraId="3EAD508B" w14:textId="77777777" w:rsidR="000019C6" w:rsidRPr="00756D2A" w:rsidRDefault="000019C6" w:rsidP="00756D2A">
            <w:pPr>
              <w:spacing w:line="276" w:lineRule="auto"/>
              <w:jc w:val="both"/>
              <w:rPr>
                <w:color w:val="000000"/>
                <w:lang w:bidi="hi-IN"/>
              </w:rPr>
            </w:pPr>
            <w:r>
              <w:rPr>
                <w:rFonts w:hint="cs"/>
                <w:color w:val="000000"/>
              </w:rPr>
              <w:t xml:space="preserve">0.661</w:t>
            </w:r>
          </w:p>
        </w:tc>
        <w:tc>
          <w:tcPr>
            <w:tcW w:w="0" w:type="auto"/>
            <w:tcBorders>
              <w:top w:val="single" w:sz="4" w:space="0" w:color="auto"/>
              <w:left w:val="single" w:sz="4" w:space="0" w:color="auto"/>
              <w:bottom w:val="single" w:sz="4" w:space="0" w:color="auto"/>
              <w:right w:val="single" w:sz="4" w:space="0" w:color="auto"/>
            </w:tcBorders>
            <w:noWrap/>
            <w:hideMark/>
          </w:tcPr>
          <w:p w14:paraId="19F7BC04" w14:textId="77777777" w:rsidR="000019C6" w:rsidRPr="00756D2A" w:rsidRDefault="000019C6" w:rsidP="00756D2A">
            <w:pPr>
              <w:spacing w:line="276" w:lineRule="auto"/>
              <w:jc w:val="both"/>
              <w:rPr>
                <w:color w:val="000000"/>
                <w:lang w:bidi="hi-IN"/>
              </w:rPr>
            </w:pPr>
            <w:r>
              <w:rPr>
                <w:rFonts w:hint="cs"/>
                <w:color w:val="000000"/>
              </w:rPr>
              <w:t xml:space="preserve">−0.066 [−0.132, 0.008]</w:t>
            </w:r>
          </w:p>
        </w:tc>
        <w:tc>
          <w:tcPr>
            <w:tcW w:w="0" w:type="auto"/>
            <w:tcBorders>
              <w:top w:val="single" w:sz="4" w:space="0" w:color="auto"/>
              <w:left w:val="single" w:sz="4" w:space="0" w:color="auto"/>
              <w:bottom w:val="single" w:sz="4" w:space="0" w:color="auto"/>
              <w:right w:val="single" w:sz="4" w:space="0" w:color="auto"/>
            </w:tcBorders>
            <w:noWrap/>
            <w:hideMark/>
          </w:tcPr>
          <w:p w14:paraId="4FF49EEC" w14:textId="77777777" w:rsidR="000019C6" w:rsidRPr="00756D2A" w:rsidRDefault="000019C6" w:rsidP="00756D2A">
            <w:pPr>
              <w:spacing w:line="276" w:lineRule="auto"/>
              <w:jc w:val="both"/>
              <w:rPr>
                <w:color w:val="000000"/>
                <w:lang w:bidi="hi-IN"/>
              </w:rPr>
            </w:pPr>
            <w:r>
              <w:rPr>
                <w:rFonts w:hint="cs"/>
                <w:color w:val="000000"/>
              </w:rPr>
              <w:t xml:space="preserve">0.974</w:t>
            </w:r>
          </w:p>
        </w:tc>
        <w:tc>
          <w:tcPr>
            <w:tcW w:w="0" w:type="auto"/>
            <w:tcBorders>
              <w:top w:val="single" w:sz="4" w:space="0" w:color="auto"/>
              <w:left w:val="single" w:sz="4" w:space="0" w:color="auto"/>
              <w:bottom w:val="single" w:sz="4" w:space="0" w:color="auto"/>
              <w:right w:val="single" w:sz="4" w:space="0" w:color="auto"/>
            </w:tcBorders>
            <w:noWrap/>
            <w:hideMark/>
          </w:tcPr>
          <w:p w14:paraId="7681A9C9" w14:textId="77777777" w:rsidR="000019C6" w:rsidRPr="00756D2A" w:rsidRDefault="000019C6" w:rsidP="00756D2A">
            <w:pPr>
              <w:spacing w:line="276" w:lineRule="auto"/>
              <w:jc w:val="both"/>
              <w:rPr>
                <w:color w:val="000000"/>
                <w:lang w:bidi="hi-IN"/>
              </w:rPr>
            </w:pPr>
            <w:r>
              <w:rPr>
                <w:rFonts w:hint="cs"/>
                <w:color w:val="000000"/>
              </w:rPr>
              <w:t xml:space="preserve">0.41</w:t>
            </w:r>
          </w:p>
        </w:tc>
      </w:tr>
    </w:tbl>
    <w:p w14:paraId="7A7B0FAD" w14:textId="4C58941E" w:rsidR="000019C6" w:rsidRPr="00756D2A" w:rsidRDefault="000019C6" w:rsidP="00756D2A">
      <w:pPr>
        <w:spacing w:before="60" w:after="200"/>
        <w:jc w:val="both"/>
        <w:rPr>
          <w:lang w:eastAsia="zh-CN"/>
        </w:rPr>
      </w:pPr>
      <w:r>
        <w:rPr>
          <w:rFonts w:hint="cs"/>
        </w:rPr>
        <w:t xml:space="preserve">Notes: Pearson correlations of daily returns; δ = relative increase in VN30 return variance; one-sided bootstrap p-value for H</w:t>
      </w:r>
      <w:r>
        <w:rPr>
          <w:rFonts w:hint="cs"/>
          <w:vertAlign w:val="subscript"/>
        </w:rPr>
        <w:t xml:space="preserve">0</w:t>
      </w:r>
      <w:r>
        <w:rPr>
          <w:rFonts w:hint="cs"/>
        </w:rPr>
        <w:t xml:space="preserve">: ρ</w:t>
      </w:r>
      <w:r>
        <w:rPr>
          <w:rFonts w:hint="cs"/>
          <w:vertAlign w:val="superscript"/>
        </w:rPr>
        <w:t xml:space="preserve">*</w:t>
      </w:r>
      <w:r>
        <w:rPr>
          <w:rFonts w:hint="cs"/>
        </w:rPr>
        <w:t xml:space="preserve"> ≤ ρ</w:t>
      </w:r>
      <w:r>
        <w:rPr>
          <w:rFonts w:hint="cs"/>
          <w:vertAlign w:val="subscript"/>
        </w:rPr>
        <w:t xml:space="preserve">low</w:t>
      </w:r>
      <w:r>
        <w:rPr>
          <w:rFonts w:hint="cs"/>
        </w:rPr>
        <w:t xml:space="preserve">; power to detect an increase of 0.05. Panel A: 1,000 calm and 539 crisis days; Panel B: 739 days per regime. Source: Authors’ calculations.</w:t>
      </w:r>
    </w:p>
    <w:p w14:paraId="5E154B71" w14:textId="69CA5149" w:rsidR="000019C6" w:rsidRPr="00756D2A" w:rsidRDefault="001267EF" w:rsidP="00756D2A">
      <w:pPr>
        <w:jc w:val="both"/>
      </w:pPr>
      <w:r>
        <w:t xml:space="preserve">The formal test in Table 4 is restricted to the disjoint pair P</w:t>
      </w:r>
      <w:r>
        <w:rPr>
          <w:vertAlign w:val="subscript"/>
        </w:rPr>
        <w:t xml:space="preserve">cap</w:t>
      </w:r>
      <w:r>
        <w:t xml:space="preserve">–VN30, because nested pairs embed the conditioning asset in the dependent series and violate the exogeneity condition of Forbes and Rigobon (2002). For diagnostic comparison only, raw correlations for the nested pairs rise from 0.959–0.983 in calm periods to 0.978–0.992 in crisis episodes, and from 0.921–0.973 to 0.981–0.992 across rolling-volatility regimes.</w:t>
      </w:r>
    </w:p>
    <w:p w14:paraId="71FC27F5" w14:textId="06EEFC7B" w:rsidR="000019C6" w:rsidRPr="00756D2A" w:rsidRDefault="000019C6" w:rsidP="00756D2A">
      <w:pPr>
        <w:jc w:val="both"/>
      </w:pPr>
      <w:r>
        <w:rPr>
          <w:rFonts w:hint="cs"/>
        </w:rPr>
        <w:t xml:space="preserve">In Panel A, raw cross-tier correlation rises from 0.847 in calm years to 0.924 during the three crisis episodes, while the variance of VN30 returns increases by 221%. After conditioning, the adjusted crisis correlation is 0.803, and the difference from the calm level (−0.044; 95% interval −0.082 to 0.001) provides no evidence of a structural increase (p = 0.985). Because the interval also includes zero, the data do not support a structural decrease either. The power to detect an increase of 0.05 is 0.77, so moderate structural increases are unlikely, whereas small ones cannot be excluded.</w:t>
      </w:r>
    </w:p>
    <w:p w14:paraId="7195D025" w14:textId="30ABF432" w:rsidR="000019C6" w:rsidRPr="00756D2A" w:rsidRDefault="000019C6" w:rsidP="00756D2A">
      <w:pPr>
        <w:jc w:val="both"/>
      </w:pPr>
      <w:r>
        <w:rPr>
          <w:rFonts w:hint="cs"/>
        </w:rPr>
        <w:t xml:space="preserve">Panel B sorts days by the rolling 20-day volatility of VNINDEX, producing a larger variance expansion (δ = 7.06). The raw correlation rises from 0.727 to 0.928, but the adjusted crisis correlation (0.661) again does not exceed the calm level (difference −0.066, 95% interval −0.132 to 0.008; p = 0.974), although this test has low power (0.41). Both definitions therefore point to interdependence amplified by volatility rather than contagion, a conclusion that rests on the absence of evidence for an increase rather than on proof of its absence. Because the regimes are sorted on VNINDEX, which contains the mid-caps, and are classified ex post, the comparison describes in-sample regimes rather than a real-time signal.</w:t>
      </w:r>
    </w:p>
    <w:p w14:paraId="1B5F1C19"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3.6 Markowitz Portfolio Variance Implications</w:t>
      </w:r>
    </w:p>
    <w:p w14:paraId="2AC599EA" w14:textId="77777777" w:rsidR="000019C6" w:rsidRPr="00756D2A" w:rsidRDefault="000019C6" w:rsidP="00756D2A">
      <w:pPr>
        <w:jc w:val="both"/>
        <w:rPr>
          <w:lang w:val="vi-VN"/>
        </w:rPr>
      </w:pPr>
      <w:r w:rsidRPr="00756D2A">
        <w:rPr>
          <w:rFonts w:hint="cs"/>
        </w:rPr>
        <w:t>Under the Markowitz (1952) mean-variance framework, the variance of a two-asset portfolio with arbitrary asset volatilities is</w:t>
      </w:r>
      <w:r w:rsidRPr="00756D2A">
        <w:rPr>
          <w:rFonts w:hint="cs"/>
          <w:lang w:val="vi-VN"/>
        </w:rPr>
        <w:t>:</w:t>
      </w:r>
    </w:p>
    <w:p w14:paraId="79AE6DA3" w14:textId="77777777" w:rsidR="000019C6" w:rsidRPr="00756D2A" w:rsidRDefault="00000000" w:rsidP="00756D2A">
      <w:pPr>
        <w:spacing w:line="300" w:lineRule="auto"/>
        <w:jc w:val="both"/>
      </w:pPr>
      <m:oMathPara>
        <m:oMathParaPr>
          <m:jc m:val="center"/>
        </m:oMathParaPr>
        <m:oMath>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1</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1</m:t>
              </m:r>
            </m:sub>
            <m:sup>
              <m:r>
                <m:rPr>
                  <m:sty m:val="p"/>
                </m:rPr>
                <w:rPr>
                  <w:rFonts w:ascii="Cambria Math" w:hAnsi="Cambria Math" w:hint="cs"/>
                </w:rPr>
                <m:t>2</m:t>
              </m:r>
            </m:sup>
          </m:sSubSup>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w</m:t>
              </m:r>
            </m:e>
            <m:sub>
              <m:r>
                <m:rPr>
                  <m:sty m:val="p"/>
                </m:rPr>
                <w:rPr>
                  <w:rFonts w:ascii="Cambria Math" w:hAnsi="Cambria Math" w:hint="cs"/>
                </w:rPr>
                <m:t>2</m:t>
              </m:r>
            </m:sub>
            <m:sup>
              <m:r>
                <m:rPr>
                  <m:sty m:val="p"/>
                </m:rPr>
                <w:rPr>
                  <w:rFonts w:ascii="Cambria Math" w:hAnsi="Cambria Math" w:hint="cs"/>
                </w:rPr>
                <m:t>2</m:t>
              </m:r>
            </m:sup>
          </m:sSubSup>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2</m:t>
              </m:r>
            </m:sub>
            <m:sup>
              <m:r>
                <m:rPr>
                  <m:sty m:val="p"/>
                </m:rPr>
                <w:rPr>
                  <w:rFonts w:ascii="Cambria Math" w:hAnsi="Cambria Math" w:hint="cs"/>
                </w:rPr>
                <m:t>2</m:t>
              </m:r>
            </m:sup>
          </m:sSubSup>
          <m:r>
            <m:rPr>
              <m:sty m:val="p"/>
            </m:rPr>
            <w:rPr>
              <w:rFonts w:ascii="Cambria Math" w:hAnsi="Cambria Math" w:hint="cs"/>
            </w:rPr>
            <m:t>+2</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r>
            <m:rPr>
              <m:sty m:val="p"/>
            </m:rPr>
            <w:rPr>
              <w:rFonts w:ascii="Cambria Math" w:hAnsi="Cambria Math" w:hint="cs"/>
            </w:rPr>
            <m:t>ρ.</m:t>
          </m:r>
        </m:oMath>
      </m:oMathPara>
      <w:r>
        <w:t xml:space="preserve"> (16)</w:t>
      </w:r>
    </w:p>
    <w:p w14:paraId="33B0F8EE" w14:textId="35E0B04D" w:rsidR="000019C6" w:rsidRPr="00756D2A" w:rsidRDefault="000019C6" w:rsidP="00756D2A">
      <w:pPr>
        <w:spacing w:line="300" w:lineRule="auto"/>
        <w:jc w:val="both"/>
      </w:pPr>
      <w:r w:rsidRPr="00756D2A">
        <w:rPr>
          <w:rFonts w:hint="cs"/>
        </w:rPr>
        <w:t xml:space="preserve">When an investor applies a static full-sample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oMath>
      <w:r w:rsidRPr="00756D2A">
        <w:rPr>
          <w:rFonts w:hint="cs"/>
        </w:rPr>
        <w:t xml:space="preserve"> instead of </w:t>
      </w:r>
      <w:r w:rsidR="00152685">
        <w:rPr>
          <w:lang w:val="vi-VN"/>
        </w:rPr>
        <w:t>a</w:t>
      </w:r>
      <w:r w:rsidRPr="00756D2A">
        <w:rPr>
          <w:rFonts w:hint="cs"/>
        </w:rPr>
        <w:t xml:space="preserve"> regime-specific correlation </w:t>
      </w:r>
      <m:oMath>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oMath>
      <w:r w:rsidRPr="00756D2A">
        <w:rPr>
          <w:rFonts w:hint="cs"/>
        </w:rPr>
        <w:t>, the relative percentage error in portfolio variance for an equally weighted portfolio (</w:t>
      </w:r>
      <m:oMath>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1</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w</m:t>
            </m:r>
          </m:e>
          <m:sub>
            <m:r>
              <m:rPr>
                <m:sty m:val="p"/>
              </m:rPr>
              <w:rPr>
                <w:rFonts w:ascii="Cambria Math" w:hAnsi="Cambria Math" w:hint="cs"/>
              </w:rPr>
              <m:t>2</m:t>
            </m:r>
          </m:sub>
        </m:sSub>
        <m:r>
          <m:rPr>
            <m:sty m:val="p"/>
          </m:rPr>
          <w:rPr>
            <w:rFonts w:ascii="Cambria Math" w:hAnsi="Cambria Math" w:hint="cs"/>
          </w:rPr>
          <m:t>=0.5</m:t>
        </m:r>
      </m:oMath>
      <w:r w:rsidRPr="00756D2A">
        <w:rPr>
          <w:rFonts w:hint="cs"/>
        </w:rPr>
        <w:t>) is:</w:t>
      </w:r>
    </w:p>
    <w:p w14:paraId="274A9FE6" w14:textId="77777777" w:rsidR="000019C6" w:rsidRPr="00756D2A" w:rsidRDefault="000019C6" w:rsidP="00756D2A">
      <w:pPr>
        <w:spacing w:line="300" w:lineRule="auto"/>
        <w:jc w:val="both"/>
      </w:pPr>
      <m:oMathPara>
        <m:oMathParaPr>
          <m:jc m:val="center"/>
        </m:oMathParaPr>
        <m:oMath>
          <m:r>
            <m:rPr>
              <m:nor/>
            </m:rPr>
            <w:rPr>
              <w:rFonts w:hint="cs"/>
            </w:rPr>
            <m:t>Relative Error (RE)</m:t>
          </m:r>
          <m:r>
            <m:rPr>
              <m:sty m:val="p"/>
            </m:rPr>
            <w:rPr>
              <w:rFonts w:ascii="Cambria Math" w:hAnsi="Cambria Math" w:hint="cs"/>
            </w:rPr>
            <m:t>=</m:t>
          </m:r>
          <m:f>
            <m:fPr>
              <m:ctrlPr>
                <w:rPr>
                  <w:rFonts w:ascii="Cambria Math" w:hAnsi="Cambria Math" w:hint="cs"/>
                  <w:lang w:eastAsia="zh-CN"/>
                </w:rPr>
              </m:ctrlPr>
            </m:fPr>
            <m:num>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num>
            <m:den>
              <m:sSubSup>
                <m:sSubSupPr>
                  <m:ctrlPr>
                    <w:rPr>
                      <w:rFonts w:ascii="Cambria Math" w:hAnsi="Cambria Math" w:hint="cs"/>
                      <w:lang w:eastAsia="zh-CN"/>
                    </w:rPr>
                  </m:ctrlPr>
                </m:sSubSupPr>
                <m:e>
                  <m:r>
                    <m:rPr>
                      <m:sty m:val="p"/>
                    </m:rPr>
                    <w:rPr>
                      <w:rFonts w:ascii="Cambria Math" w:hAnsi="Cambria Math" w:hint="cs"/>
                    </w:rPr>
                    <m:t>σ</m:t>
                  </m:r>
                </m:e>
                <m:sub>
                  <m:r>
                    <m:rPr>
                      <m:sty m:val="p"/>
                    </m:rPr>
                    <w:rPr>
                      <w:rFonts w:ascii="Cambria Math" w:hAnsi="Cambria Math" w:hint="cs"/>
                    </w:rPr>
                    <m:t>port</m:t>
                  </m:r>
                </m:sub>
                <m:sup>
                  <m:r>
                    <m:rPr>
                      <m:sty m:val="p"/>
                    </m:rPr>
                    <w:rPr>
                      <w:rFonts w:ascii="Cambria Math" w:hAnsi="Cambria Math" w:hint="cs"/>
                    </w:rPr>
                    <m:t>2</m:t>
                  </m:r>
                </m:sup>
              </m:sSubSup>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r>
                <m:rPr>
                  <m:sty m:val="p"/>
                </m:rPr>
                <w:rPr>
                  <w:rFonts w:ascii="Cambria Math" w:hAnsi="Cambria Math" w:hint="cs"/>
                </w:rPr>
                <m:t>)</m:t>
              </m:r>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static</m:t>
                  </m:r>
                </m:sub>
              </m:sSub>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num>
            <m:den>
              <m:f>
                <m:fPr>
                  <m:ctrlPr>
                    <w:rPr>
                      <w:rFonts w:ascii="Cambria Math" w:hAnsi="Cambria Math" w:hint="cs"/>
                      <w:lang w:eastAsia="zh-CN"/>
                    </w:rPr>
                  </m:ctrlPr>
                </m:fPr>
                <m:num>
                  <m:r>
                    <m:rPr>
                      <m:sty m:val="p"/>
                    </m:rPr>
                    <w:rPr>
                      <w:rFonts w:ascii="Cambria Math" w:hAnsi="Cambria Math" w:hint="cs"/>
                    </w:rPr>
                    <m:t>1</m:t>
                  </m:r>
                </m:num>
                <m:den>
                  <m:r>
                    <m:rPr>
                      <m:sty m:val="p"/>
                    </m:rPr>
                    <w:rPr>
                      <w:rFonts w:ascii="Cambria Math" w:hAnsi="Cambria Math" w:hint="cs"/>
                    </w:rPr>
                    <m:t>2</m:t>
                  </m:r>
                </m:den>
              </m:f>
              <m:d>
                <m:dPr>
                  <m:ctrlPr>
                    <w:rPr>
                      <w:rFonts w:ascii="Cambria Math" w:hAnsi="Cambria Math" w:hint="cs"/>
                      <w:lang w:eastAsia="zh-CN"/>
                    </w:rPr>
                  </m:ctrlPr>
                </m:dPr>
                <m:e>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den>
                  </m:f>
                  <m:r>
                    <m:rPr>
                      <m:sty m:val="p"/>
                    </m:rPr>
                    <w:rPr>
                      <w:rFonts w:ascii="Cambria Math" w:hAnsi="Cambria Math" w:hint="cs"/>
                    </w:rPr>
                    <m:t>+</m:t>
                  </m:r>
                  <m:f>
                    <m:fPr>
                      <m:ctrlPr>
                        <w:rPr>
                          <w:rFonts w:ascii="Cambria Math" w:hAnsi="Cambria Math" w:hint="cs"/>
                          <w:lang w:eastAsia="zh-CN"/>
                        </w:rPr>
                      </m:ctrlPr>
                    </m:fPr>
                    <m:num>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2</m:t>
                          </m:r>
                        </m:sub>
                      </m:sSub>
                    </m:num>
                    <m:den>
                      <m:sSub>
                        <m:sSubPr>
                          <m:ctrlPr>
                            <w:rPr>
                              <w:rFonts w:ascii="Cambria Math" w:hAnsi="Cambria Math" w:hint="cs"/>
                              <w:lang w:eastAsia="zh-CN"/>
                            </w:rPr>
                          </m:ctrlPr>
                        </m:sSubPr>
                        <m:e>
                          <m:r>
                            <m:rPr>
                              <m:sty m:val="p"/>
                            </m:rPr>
                            <w:rPr>
                              <w:rFonts w:ascii="Cambria Math" w:hAnsi="Cambria Math" w:hint="cs"/>
                            </w:rPr>
                            <m:t>σ</m:t>
                          </m:r>
                        </m:e>
                        <m:sub>
                          <m:r>
                            <m:rPr>
                              <m:sty m:val="p"/>
                            </m:rPr>
                            <w:rPr>
                              <w:rFonts w:ascii="Cambria Math" w:hAnsi="Cambria Math" w:hint="cs"/>
                            </w:rPr>
                            <m:t>1</m:t>
                          </m:r>
                        </m:sub>
                      </m:sSub>
                    </m:den>
                  </m:f>
                </m:e>
              </m:d>
              <m:r>
                <m:rPr>
                  <m:sty m:val="p"/>
                </m:rPr>
                <w:rPr>
                  <w:rFonts w:ascii="Cambria Math" w:hAnsi="Cambria Math" w:hint="cs"/>
                </w:rPr>
                <m:t>+</m:t>
              </m:r>
              <m:sSub>
                <m:sSubPr>
                  <m:ctrlPr>
                    <w:rPr>
                      <w:rFonts w:ascii="Cambria Math" w:hAnsi="Cambria Math" w:hint="cs"/>
                      <w:lang w:eastAsia="zh-CN"/>
                    </w:rPr>
                  </m:ctrlPr>
                </m:sSubPr>
                <m:e>
                  <m:r>
                    <m:rPr>
                      <m:sty m:val="p"/>
                    </m:rPr>
                    <w:rPr>
                      <w:rFonts w:ascii="Cambria Math" w:hAnsi="Cambria Math" w:hint="cs"/>
                    </w:rPr>
                    <m:t>ρ</m:t>
                  </m:r>
                </m:e>
                <m:sub>
                  <m:r>
                    <m:rPr>
                      <m:sty m:val="p"/>
                    </m:rPr>
                    <w:rPr>
                      <w:rFonts w:ascii="Cambria Math" w:hAnsi="Cambria Math" w:hint="cs"/>
                    </w:rPr>
                    <m:t>regime</m:t>
                  </m:r>
                </m:sub>
              </m:sSub>
            </m:den>
          </m:f>
          <m:r>
            <m:rPr>
              <m:sty m:val="p"/>
            </m:rPr>
            <w:rPr>
              <w:rFonts w:ascii="Cambria Math" w:hAnsi="Cambria Math" w:hint="cs"/>
            </w:rPr>
            <m:t>.</m:t>
          </m:r>
        </m:oMath>
      </m:oMathPara>
      <w:r>
        <w:t xml:space="preserve"> (17)</w:t>
      </w:r>
    </w:p>
    <w:p w14:paraId="1074F916" w14:textId="2720BC0B" w:rsidR="000019C6" w:rsidRPr="00756D2A" w:rsidRDefault="000019C6" w:rsidP="00756D2A">
      <w:pPr>
        <w:jc w:val="both"/>
      </w:pPr>
      <w:r>
        <w:rPr>
          <w:rFonts w:hint="cs"/>
        </w:rPr>
        <w:t xml:space="preserve">All figures use regime-specific volatilities and Pearson correlations in the exact expression, so the static and regime-specific cases differ only in the correlation. The errors differ between tradable cash portfolios and factor exposures.</w:t>
      </w:r>
    </w:p>
    <w:p w14:paraId="72847AE9" w14:textId="2BA73899" w:rsidR="000019C6" w:rsidRPr="00756D2A" w:rsidRDefault="000019C6" w:rsidP="00756D2A">
      <w:pPr>
        <w:jc w:val="both"/>
      </w:pPr>
      <w:r>
        <w:rPr>
          <w:rFonts w:hint="cs"/>
        </w:rPr>
        <w:t xml:space="preserve">For cash portfolios formed from parent and child indices (such as VN30–VN100), co-movement is dominated by constituent overlap. The static daily correlation of 0.988 compares with rolling-regime correlations of 0.973 and 0.992, so the static model overstates portfolio variance by 0.77% in the calm regime and understates it by 0.20% in the turbulent regime. Across the three parent–child pairs and both regime definitions, the largest absolute error is 2.35%, which is negligible for operational risk management.</w:t>
      </w:r>
    </w:p>
    <w:p w14:paraId="5F6C2624" w14:textId="797B2462" w:rsidR="000019C6" w:rsidRPr="00756D2A" w:rsidRDefault="000019C6" w:rsidP="00756D2A">
      <w:pPr>
        <w:jc w:val="both"/>
      </w:pPr>
      <w:r>
        <w:rPr>
          <w:rFonts w:hint="cs"/>
        </w:rPr>
        <w:t xml:space="preserve">For the mid-cap factor exposure, the errors are larger. The static model overstates portfolio variance by 2.23% (95% interval 0.91 to 3.94) in the chronological calm regime and by 9.38% (6.20 to 13.46) in the rolling low-volatility regime, whose quietest days exaggerate the effect. Because P</w:t>
      </w:r>
      <w:r>
        <w:rPr>
          <w:rFonts w:hint="cs"/>
          <w:vertAlign w:val="subscript"/>
        </w:rPr>
        <w:t xml:space="preserve">cap</w:t>
      </w:r>
      <w:r>
        <w:rPr>
          <w:rFonts w:hint="cs"/>
        </w:rPr>
        <w:t xml:space="preserve"> is a non-investable construct, these figures describe the risk of a mid-cap factor exposure (for example, one obtained through a mid-cap index fund) combined with large caps, not a portfolio that can be held directly.</w:t>
      </w:r>
    </w:p>
    <w:p w14:paraId="530029B0" w14:textId="77777777" w:rsidR="000019C6" w:rsidRPr="00756D2A" w:rsidRDefault="000019C6" w:rsidP="00756D2A">
      <w:pPr>
        <w:jc w:val="both"/>
      </w:pPr>
      <w:r>
        <w:rPr>
          <w:rFonts w:hint="cs"/>
        </w:rPr>
        <w:t xml:space="preserve">In the turbulent regime, the static model understates portfolio variance by 1.84% (chronological) and 2.07% (rolling). Although modest, these errors arise when the variance of VN30 returns has risen by 221% to 706% (Table 4). All regimes are identified ex post, so the figures measure the in-sample cost of ignoring regime dependence rather than the performance of a real-time risk-budgeting rule.</w:t>
      </w:r>
    </w:p>
    <w:p w14:paraId="484C3362"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3.7 Multiscale Scaling and Economic Mechanisms</w:t>
      </w:r>
    </w:p>
    <w:p w14:paraId="2E5C0667" w14:textId="77777777" w:rsidR="000019C6" w:rsidRPr="00756D2A" w:rsidRDefault="000019C6" w:rsidP="00756D2A">
      <w:pPr>
        <w:jc w:val="both"/>
        <w:rPr>
          <w:lang w:val="vi-VN"/>
        </w:rPr>
      </w:pPr>
      <w:r>
        <w:rPr>
          <w:rFonts w:hint="cs"/>
        </w:rPr>
        <w:t xml:space="preserve">Table 5 reports the scaling slopes of the DCCA coefficients at the M30 frequency over the full and reliable scale ranges, with block-bootstrap intervals.</w:t>
      </w:r>
    </w:p>
    <w:p w14:paraId="1B6E620E" w14:textId="77777777" w:rsidR="000019C6" w:rsidRDefault="000019C6" w:rsidP="00756D2A">
      <w:pPr>
        <w:pStyle w:val="tablecaption0"/>
        <w:spacing w:line="300" w:lineRule="auto"/>
        <w:jc w:val="both"/>
        <w:rPr>
          <w:sz w:val="24"/>
          <w:szCs w:val="24"/>
          <w:lang w:val="vi-VN"/>
        </w:rPr>
      </w:pPr>
      <w:r>
        <w:rPr>
          <w:rFonts w:hint="cs"/>
          <w:b/>
          <w:sz w:val="24"/>
          <w:szCs w:val="24"/>
        </w:rPr>
        <w:t xml:space="preserve">Table 5 </w:t>
      </w:r>
      <w:r>
        <w:rPr>
          <w:rFonts w:hint="cs"/>
          <w:sz w:val="24"/>
          <w:szCs w:val="24"/>
        </w:rPr>
        <w:t xml:space="preserve">Log-linear scaling regressions of DCCA coefficients (M30)</w:t>
      </w:r>
    </w:p>
    <w:tbl>
      <w:tblPr>
        <w:tblStyle w:val="TableGrid"/>
        <w:tblW w:w="0" w:type="auto"/>
        <w:tblLook w:val="0020" w:firstRow="1" w:lastRow="0" w:firstColumn="0" w:lastColumn="0" w:noHBand="0" w:noVBand="0"/>
      </w:tblPr>
      <w:tblGrid>
        <w:gridCol w:w="2275"/>
        <w:gridCol w:w="2053"/>
        <w:gridCol w:w="1837"/>
        <w:gridCol w:w="1862"/>
        <w:gridCol w:w="1316"/>
      </w:tblGrid>
      <w:tr w:rsidR="000019C6" w:rsidRPr="00756D2A" w14:paraId="68636C25" w14:textId="77777777" w:rsidTr="00A44DB7">
        <w:trPr>
          <w:trHeight w:val="1031"/>
        </w:trPr>
        <w:tc>
          <w:tcPr>
            <w:tcW w:w="0" w:type="auto"/>
            <w:hideMark/>
          </w:tcPr>
          <w:p w14:paraId="74B4753F" w14:textId="77777777" w:rsidR="000019C6" w:rsidRPr="00756D2A" w:rsidRDefault="000019C6" w:rsidP="00A44DB7">
            <w:pPr>
              <w:pStyle w:val="p1a"/>
              <w:spacing w:line="240" w:lineRule="auto"/>
              <w:rPr>
                <w:sz w:val="24"/>
                <w:szCs w:val="24"/>
                <w:lang w:bidi="hi-IN"/>
              </w:rPr>
            </w:pPr>
            <w:r>
              <w:rPr>
                <w:rFonts w:hint="cs"/>
                <w:sz w:val="24"/>
                <w:szCs w:val="24"/>
              </w:rPr>
              <w:t xml:space="preserve">Pair</w:t>
            </w:r>
          </w:p>
        </w:tc>
        <w:tc>
          <w:tcPr>
            <w:tcW w:w="0" w:type="auto"/>
            <w:hideMark/>
          </w:tcPr>
          <w:p w14:paraId="4A02DAA3" w14:textId="77777777" w:rsidR="000019C6" w:rsidRPr="00756D2A" w:rsidRDefault="000019C6" w:rsidP="00A44DB7">
            <w:pPr>
              <w:pStyle w:val="p1a"/>
              <w:spacing w:line="240" w:lineRule="auto"/>
              <w:rPr>
                <w:sz w:val="24"/>
                <w:szCs w:val="24"/>
                <w:lang w:bidi="hi-IN"/>
              </w:rPr>
            </w:pPr>
            <w:r>
              <w:rPr>
                <w:rFonts w:hint="cs"/>
                <w:sz w:val="24"/>
                <w:szCs w:val="24"/>
              </w:rPr>
              <w:t xml:space="preserve">Full-range slope</w:t>
            </w:r>
          </w:p>
        </w:tc>
        <w:tc>
          <w:tcPr>
            <w:tcW w:w="0" w:type="auto"/>
            <w:hideMark/>
          </w:tcPr>
          <w:p w14:paraId="6A8A7681" w14:textId="77777777" w:rsidR="000019C6" w:rsidRPr="00756D2A" w:rsidRDefault="000019C6" w:rsidP="00A44DB7">
            <w:pPr>
              <w:pStyle w:val="p1a"/>
              <w:spacing w:line="240" w:lineRule="auto"/>
              <w:rPr>
                <w:sz w:val="24"/>
                <w:szCs w:val="24"/>
                <w:lang w:bidi="hi-IN"/>
              </w:rPr>
            </w:pPr>
            <w:r>
              <w:rPr>
                <w:rFonts w:hint="cs"/>
                <w:sz w:val="24"/>
                <w:szCs w:val="24"/>
              </w:rPr>
              <w:t xml:space="preserve">95% CI</w:t>
            </w:r>
          </w:p>
        </w:tc>
        <w:tc>
          <w:tcPr>
            <w:tcW w:w="0" w:type="auto"/>
            <w:hideMark/>
          </w:tcPr>
          <w:p w14:paraId="5CF12427" w14:textId="77777777" w:rsidR="000019C6" w:rsidRPr="00756D2A" w:rsidRDefault="000019C6" w:rsidP="00A44DB7">
            <w:pPr>
              <w:pStyle w:val="p1a"/>
              <w:spacing w:line="240" w:lineRule="auto"/>
              <w:rPr>
                <w:sz w:val="24"/>
                <w:szCs w:val="24"/>
                <w:lang w:bidi="hi-IN"/>
              </w:rPr>
            </w:pPr>
            <w:r>
              <w:rPr>
                <w:rFonts w:hint="cs"/>
                <w:sz w:val="24"/>
                <w:szCs w:val="24"/>
              </w:rPr>
              <w:t xml:space="preserve">Reliable-range slope</w:t>
            </w:r>
          </w:p>
        </w:tc>
        <w:tc>
          <w:tcPr>
            <w:tcW w:w="0" w:type="auto"/>
            <w:hideMark/>
          </w:tcPr>
          <w:p w14:paraId="2A04DE96" w14:textId="77777777" w:rsidR="000019C6" w:rsidRPr="00756D2A" w:rsidRDefault="000019C6" w:rsidP="00A44DB7">
            <w:pPr>
              <w:pStyle w:val="p1a"/>
              <w:spacing w:line="240" w:lineRule="auto"/>
              <w:rPr>
                <w:sz w:val="24"/>
                <w:szCs w:val="24"/>
                <w:lang w:bidi="hi-IN"/>
              </w:rPr>
            </w:pPr>
            <w:r>
              <w:rPr>
                <w:rFonts w:hint="cs"/>
                <w:sz w:val="24"/>
                <w:szCs w:val="24"/>
              </w:rPr>
              <w:t xml:space="preserve">95% CI</w:t>
            </w:r>
          </w:p>
        </w:tc>
      </w:tr>
      <w:tr w:rsidR="000019C6" w:rsidRPr="00756D2A" w14:paraId="15C3A7C8" w14:textId="77777777" w:rsidTr="00A44DB7">
        <w:trPr>
          <w:trHeight w:val="692"/>
        </w:trPr>
        <w:tc>
          <w:tcPr>
            <w:tcW w:w="0" w:type="auto"/>
            <w:hideMark/>
          </w:tcPr>
          <w:p w14:paraId="4938B55C"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VN30–VNINDEX</w:t>
            </w:r>
          </w:p>
        </w:tc>
        <w:tc>
          <w:tcPr>
            <w:tcW w:w="0" w:type="auto"/>
            <w:hideMark/>
          </w:tcPr>
          <w:p w14:paraId="1F92762C" w14:textId="77777777" w:rsidR="000019C6" w:rsidRPr="00756D2A" w:rsidRDefault="000019C6" w:rsidP="00A44DB7">
            <w:pPr>
              <w:pStyle w:val="p1a"/>
              <w:spacing w:line="240" w:lineRule="auto"/>
              <w:rPr>
                <w:sz w:val="24"/>
                <w:szCs w:val="24"/>
                <w:lang w:bidi="hi-IN"/>
              </w:rPr>
            </w:pPr>
            <w:r>
              <w:rPr>
                <w:rFonts w:hint="cs"/>
                <w:sz w:val="24"/>
                <w:szCs w:val="24"/>
              </w:rPr>
              <w:t xml:space="preserve">0.0016</w:t>
            </w:r>
          </w:p>
        </w:tc>
        <w:tc>
          <w:tcPr>
            <w:tcW w:w="0" w:type="auto"/>
            <w:hideMark/>
          </w:tcPr>
          <w:p w14:paraId="50CC311A" w14:textId="77777777" w:rsidR="000019C6" w:rsidRPr="00756D2A" w:rsidRDefault="000019C6" w:rsidP="00A44DB7">
            <w:pPr>
              <w:pStyle w:val="p1a"/>
              <w:spacing w:line="240" w:lineRule="auto"/>
              <w:rPr>
                <w:sz w:val="24"/>
                <w:szCs w:val="24"/>
                <w:lang w:bidi="hi-IN"/>
              </w:rPr>
            </w:pPr>
            <w:r>
              <w:rPr>
                <w:rFonts w:hint="cs"/>
                <w:sz w:val="24"/>
                <w:szCs w:val="24"/>
              </w:rPr>
              <w:t xml:space="preserve">[−0.0025, 0.0034]</w:t>
            </w:r>
          </w:p>
        </w:tc>
        <w:tc>
          <w:tcPr>
            <w:tcW w:w="0" w:type="auto"/>
            <w:hideMark/>
          </w:tcPr>
          <w:p w14:paraId="44849859" w14:textId="77777777" w:rsidR="000019C6" w:rsidRPr="00756D2A" w:rsidRDefault="000019C6" w:rsidP="00A44DB7">
            <w:pPr>
              <w:pStyle w:val="p1a"/>
              <w:spacing w:line="240" w:lineRule="auto"/>
              <w:rPr>
                <w:sz w:val="24"/>
                <w:szCs w:val="24"/>
                <w:lang w:bidi="hi-IN"/>
              </w:rPr>
            </w:pPr>
            <w:r>
              <w:rPr>
                <w:rFonts w:hint="cs"/>
                <w:sz w:val="24"/>
                <w:szCs w:val="24"/>
              </w:rPr>
              <w:t xml:space="preserve">0.0022</w:t>
            </w:r>
          </w:p>
        </w:tc>
        <w:tc>
          <w:tcPr>
            <w:tcW w:w="0" w:type="auto"/>
            <w:hideMark/>
          </w:tcPr>
          <w:p w14:paraId="2DD5695F" w14:textId="77777777" w:rsidR="000019C6" w:rsidRPr="00756D2A" w:rsidRDefault="000019C6" w:rsidP="00A44DB7">
            <w:pPr>
              <w:pStyle w:val="p1a"/>
              <w:spacing w:line="240" w:lineRule="auto"/>
              <w:rPr>
                <w:sz w:val="24"/>
                <w:szCs w:val="24"/>
                <w:lang w:bidi="hi-IN"/>
              </w:rPr>
            </w:pPr>
            <w:r>
              <w:rPr>
                <w:rFonts w:hint="cs"/>
                <w:sz w:val="24"/>
                <w:szCs w:val="24"/>
              </w:rPr>
              <w:t xml:space="preserve">[0.0007, 0.0038]</w:t>
            </w:r>
          </w:p>
        </w:tc>
      </w:tr>
      <w:tr w:rsidR="000019C6" w:rsidRPr="00756D2A" w14:paraId="7FA5B0C9" w14:textId="77777777" w:rsidTr="00A44DB7">
        <w:trPr>
          <w:trHeight w:val="678"/>
        </w:trPr>
        <w:tc>
          <w:tcPr>
            <w:tcW w:w="0" w:type="auto"/>
            <w:hideMark/>
          </w:tcPr>
          <w:p w14:paraId="0E086466"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VN100–VNINDEX</w:t>
            </w:r>
          </w:p>
        </w:tc>
        <w:tc>
          <w:tcPr>
            <w:tcW w:w="0" w:type="auto"/>
            <w:hideMark/>
          </w:tcPr>
          <w:p w14:paraId="73004E21" w14:textId="77777777" w:rsidR="000019C6" w:rsidRPr="00756D2A" w:rsidRDefault="000019C6" w:rsidP="00A44DB7">
            <w:pPr>
              <w:pStyle w:val="p1a"/>
              <w:spacing w:line="240" w:lineRule="auto"/>
              <w:rPr>
                <w:sz w:val="24"/>
                <w:szCs w:val="24"/>
                <w:lang w:bidi="hi-IN"/>
              </w:rPr>
            </w:pPr>
            <w:r>
              <w:rPr>
                <w:rFonts w:hint="cs"/>
                <w:sz w:val="24"/>
                <w:szCs w:val="24"/>
              </w:rPr>
              <w:t xml:space="preserve">0.0009</w:t>
            </w:r>
          </w:p>
        </w:tc>
        <w:tc>
          <w:tcPr>
            <w:tcW w:w="0" w:type="auto"/>
            <w:hideMark/>
          </w:tcPr>
          <w:p w14:paraId="6DC24737" w14:textId="77777777" w:rsidR="000019C6" w:rsidRPr="00756D2A" w:rsidRDefault="000019C6" w:rsidP="00A44DB7">
            <w:pPr>
              <w:pStyle w:val="p1a"/>
              <w:spacing w:line="240" w:lineRule="auto"/>
              <w:rPr>
                <w:sz w:val="24"/>
                <w:szCs w:val="24"/>
                <w:lang w:bidi="hi-IN"/>
              </w:rPr>
            </w:pPr>
            <w:r>
              <w:rPr>
                <w:rFonts w:hint="cs"/>
                <w:sz w:val="24"/>
                <w:szCs w:val="24"/>
              </w:rPr>
              <w:t xml:space="preserve">[−0.0010, 0.0021]</w:t>
            </w:r>
          </w:p>
        </w:tc>
        <w:tc>
          <w:tcPr>
            <w:tcW w:w="0" w:type="auto"/>
            <w:hideMark/>
          </w:tcPr>
          <w:p w14:paraId="5132F327" w14:textId="77777777" w:rsidR="000019C6" w:rsidRPr="00756D2A" w:rsidRDefault="000019C6" w:rsidP="00A44DB7">
            <w:pPr>
              <w:pStyle w:val="p1a"/>
              <w:spacing w:line="240" w:lineRule="auto"/>
              <w:rPr>
                <w:sz w:val="24"/>
                <w:szCs w:val="24"/>
                <w:lang w:bidi="hi-IN"/>
              </w:rPr>
            </w:pPr>
            <w:r>
              <w:rPr>
                <w:rFonts w:hint="cs"/>
                <w:sz w:val="24"/>
                <w:szCs w:val="24"/>
              </w:rPr>
              <w:t xml:space="preserve">0.0022</w:t>
            </w:r>
          </w:p>
        </w:tc>
        <w:tc>
          <w:tcPr>
            <w:tcW w:w="0" w:type="auto"/>
            <w:hideMark/>
          </w:tcPr>
          <w:p w14:paraId="2AA707D8" w14:textId="77777777" w:rsidR="000019C6" w:rsidRPr="00756D2A" w:rsidRDefault="000019C6" w:rsidP="00A44DB7">
            <w:pPr>
              <w:pStyle w:val="p1a"/>
              <w:spacing w:line="240" w:lineRule="auto"/>
              <w:rPr>
                <w:sz w:val="24"/>
                <w:szCs w:val="24"/>
                <w:lang w:bidi="hi-IN"/>
              </w:rPr>
            </w:pPr>
            <w:r>
              <w:rPr>
                <w:rFonts w:hint="cs"/>
                <w:sz w:val="24"/>
                <w:szCs w:val="24"/>
              </w:rPr>
              <w:t xml:space="preserve">[0.0011, 0.0032]</w:t>
            </w:r>
          </w:p>
        </w:tc>
      </w:tr>
      <w:tr w:rsidR="000019C6" w:rsidRPr="00756D2A" w14:paraId="5C5EFB9D" w14:textId="77777777" w:rsidTr="00A44DB7">
        <w:trPr>
          <w:trHeight w:val="692"/>
        </w:trPr>
        <w:tc>
          <w:tcPr>
            <w:tcW w:w="0" w:type="auto"/>
            <w:hideMark/>
          </w:tcPr>
          <w:p w14:paraId="127BFA65" w14:textId="77777777" w:rsidR="000019C6" w:rsidRPr="00756D2A" w:rsidRDefault="000019C6" w:rsidP="00A44DB7">
            <w:pPr>
              <w:pStyle w:val="p1a"/>
              <w:suppressAutoHyphens/>
              <w:spacing w:line="240" w:lineRule="auto"/>
              <w:rPr>
                <w:sz w:val="24"/>
                <w:szCs w:val="24"/>
                <w:lang w:bidi="hi-IN"/>
              </w:rPr>
            </w:pPr>
            <w:r>
              <w:rPr>
                <w:rFonts w:hint="cs"/>
                <w:sz w:val="24"/>
                <w:szCs w:val="24"/>
              </w:rPr>
              <w:t xml:space="preserve">VN30–VN100</w:t>
            </w:r>
          </w:p>
        </w:tc>
        <w:tc>
          <w:tcPr>
            <w:tcW w:w="0" w:type="auto"/>
            <w:hideMark/>
          </w:tcPr>
          <w:p w14:paraId="3941B368" w14:textId="77777777" w:rsidR="000019C6" w:rsidRPr="00756D2A" w:rsidRDefault="000019C6" w:rsidP="00A44DB7">
            <w:pPr>
              <w:pStyle w:val="p1a"/>
              <w:spacing w:line="240" w:lineRule="auto"/>
              <w:rPr>
                <w:sz w:val="24"/>
                <w:szCs w:val="24"/>
                <w:lang w:bidi="hi-IN"/>
              </w:rPr>
            </w:pPr>
            <w:r>
              <w:rPr>
                <w:rFonts w:hint="cs"/>
                <w:sz w:val="24"/>
                <w:szCs w:val="24"/>
              </w:rPr>
              <w:t xml:space="preserve">0.0001</w:t>
            </w:r>
          </w:p>
        </w:tc>
        <w:tc>
          <w:tcPr>
            <w:tcW w:w="0" w:type="auto"/>
            <w:hideMark/>
          </w:tcPr>
          <w:p w14:paraId="288C77E5" w14:textId="77777777" w:rsidR="000019C6" w:rsidRPr="00756D2A" w:rsidRDefault="000019C6" w:rsidP="00A44DB7">
            <w:pPr>
              <w:pStyle w:val="p1a"/>
              <w:spacing w:line="240" w:lineRule="auto"/>
              <w:rPr>
                <w:sz w:val="24"/>
                <w:szCs w:val="24"/>
                <w:lang w:bidi="hi-IN"/>
              </w:rPr>
            </w:pPr>
            <w:r>
              <w:rPr>
                <w:rFonts w:hint="cs"/>
                <w:sz w:val="24"/>
                <w:szCs w:val="24"/>
              </w:rPr>
              <w:t xml:space="preserve">[−0.0015, 0.0010]</w:t>
            </w:r>
          </w:p>
        </w:tc>
        <w:tc>
          <w:tcPr>
            <w:tcW w:w="0" w:type="auto"/>
            <w:hideMark/>
          </w:tcPr>
          <w:p w14:paraId="2FE0613C" w14:textId="77777777" w:rsidR="000019C6" w:rsidRPr="00756D2A" w:rsidRDefault="000019C6" w:rsidP="00A44DB7">
            <w:pPr>
              <w:pStyle w:val="p1a"/>
              <w:spacing w:line="240" w:lineRule="auto"/>
              <w:rPr>
                <w:sz w:val="24"/>
                <w:szCs w:val="24"/>
                <w:lang w:bidi="hi-IN"/>
              </w:rPr>
            </w:pPr>
            <w:r>
              <w:rPr>
                <w:rFonts w:hint="cs"/>
                <w:sz w:val="24"/>
                <w:szCs w:val="24"/>
              </w:rPr>
              <w:t xml:space="preserve">−0.0001</w:t>
            </w:r>
          </w:p>
        </w:tc>
        <w:tc>
          <w:tcPr>
            <w:tcW w:w="0" w:type="auto"/>
            <w:hideMark/>
          </w:tcPr>
          <w:p w14:paraId="4DFF1ADB" w14:textId="77777777" w:rsidR="000019C6" w:rsidRPr="00756D2A" w:rsidRDefault="000019C6" w:rsidP="00A44DB7">
            <w:pPr>
              <w:pStyle w:val="p1a"/>
              <w:spacing w:line="240" w:lineRule="auto"/>
              <w:rPr>
                <w:sz w:val="24"/>
                <w:szCs w:val="24"/>
                <w:lang w:bidi="hi-IN"/>
              </w:rPr>
            </w:pPr>
            <w:r>
              <w:rPr>
                <w:rFonts w:hint="cs"/>
                <w:sz w:val="24"/>
                <w:szCs w:val="24"/>
              </w:rPr>
              <w:t xml:space="preserve">[−0.0007, 0.0007]</w:t>
            </w:r>
          </w:p>
        </w:tc>
      </w:tr>
      <w:tr w:rsidR="000019C6" w:rsidRPr="00756D2A" w14:paraId="29C2D53F" w14:textId="77777777" w:rsidTr="00A44DB7">
        <w:trPr>
          <w:trHeight w:val="678"/>
        </w:trPr>
        <w:tc>
          <w:tcPr>
            <w:tcW w:w="0" w:type="auto"/>
            <w:hideMark/>
          </w:tcPr>
          <w:p w14:paraId="42E79066"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cap</w:t>
            </w:r>
            <w:r>
              <w:rPr>
                <w:rFonts w:hint="cs"/>
                <w:sz w:val="24"/>
                <w:szCs w:val="24"/>
              </w:rPr>
              <w:t xml:space="preserve">–VN30</w:t>
            </w:r>
          </w:p>
        </w:tc>
        <w:tc>
          <w:tcPr>
            <w:tcW w:w="0" w:type="auto"/>
            <w:hideMark/>
          </w:tcPr>
          <w:p w14:paraId="489B7524" w14:textId="77777777" w:rsidR="000019C6" w:rsidRPr="00756D2A" w:rsidRDefault="000019C6" w:rsidP="00A44DB7">
            <w:pPr>
              <w:pStyle w:val="p1a"/>
              <w:spacing w:line="240" w:lineRule="auto"/>
              <w:rPr>
                <w:sz w:val="24"/>
                <w:szCs w:val="24"/>
                <w:lang w:bidi="hi-IN"/>
              </w:rPr>
            </w:pPr>
            <w:r>
              <w:rPr>
                <w:rFonts w:hint="cs"/>
                <w:sz w:val="24"/>
                <w:szCs w:val="24"/>
              </w:rPr>
              <w:t xml:space="preserve">0.0025</w:t>
            </w:r>
          </w:p>
        </w:tc>
        <w:tc>
          <w:tcPr>
            <w:tcW w:w="0" w:type="auto"/>
            <w:hideMark/>
          </w:tcPr>
          <w:p w14:paraId="0EE9C8FD" w14:textId="77777777" w:rsidR="000019C6" w:rsidRPr="00756D2A" w:rsidRDefault="000019C6" w:rsidP="00A44DB7">
            <w:pPr>
              <w:pStyle w:val="p1a"/>
              <w:spacing w:line="240" w:lineRule="auto"/>
              <w:rPr>
                <w:sz w:val="24"/>
                <w:szCs w:val="24"/>
                <w:lang w:bidi="hi-IN"/>
              </w:rPr>
            </w:pPr>
            <w:r>
              <w:rPr>
                <w:rFonts w:hint="cs"/>
                <w:sz w:val="24"/>
                <w:szCs w:val="24"/>
              </w:rPr>
              <w:t xml:space="preserve">[−0.0102, 0.0093]</w:t>
            </w:r>
          </w:p>
        </w:tc>
        <w:tc>
          <w:tcPr>
            <w:tcW w:w="0" w:type="auto"/>
            <w:hideMark/>
          </w:tcPr>
          <w:p w14:paraId="39D03C65" w14:textId="77777777" w:rsidR="000019C6" w:rsidRPr="00756D2A" w:rsidRDefault="000019C6" w:rsidP="00A44DB7">
            <w:pPr>
              <w:pStyle w:val="p1a"/>
              <w:spacing w:line="240" w:lineRule="auto"/>
              <w:rPr>
                <w:sz w:val="24"/>
                <w:szCs w:val="24"/>
                <w:lang w:bidi="hi-IN"/>
              </w:rPr>
            </w:pPr>
            <w:r>
              <w:rPr>
                <w:rFonts w:hint="cs"/>
                <w:sz w:val="24"/>
                <w:szCs w:val="24"/>
              </w:rPr>
              <w:t xml:space="preserve">0.0017</w:t>
            </w:r>
          </w:p>
        </w:tc>
        <w:tc>
          <w:tcPr>
            <w:tcW w:w="0" w:type="auto"/>
            <w:hideMark/>
          </w:tcPr>
          <w:p w14:paraId="04A9C829" w14:textId="77777777" w:rsidR="000019C6" w:rsidRPr="00756D2A" w:rsidRDefault="000019C6" w:rsidP="00A44DB7">
            <w:pPr>
              <w:pStyle w:val="p1a"/>
              <w:spacing w:line="240" w:lineRule="auto"/>
              <w:rPr>
                <w:sz w:val="24"/>
                <w:szCs w:val="24"/>
                <w:lang w:bidi="hi-IN"/>
              </w:rPr>
            </w:pPr>
            <w:r>
              <w:rPr>
                <w:rFonts w:hint="cs"/>
                <w:sz w:val="24"/>
                <w:szCs w:val="24"/>
              </w:rPr>
              <w:t xml:space="preserve">[−0.0045, 0.0078]</w:t>
            </w:r>
          </w:p>
        </w:tc>
      </w:tr>
      <w:tr w:rsidR="000019C6" w:rsidRPr="00756D2A" w14:paraId="74F4704F" w14:textId="77777777" w:rsidTr="00A44DB7">
        <w:trPr>
          <w:trHeight w:val="692"/>
        </w:trPr>
        <w:tc>
          <w:tcPr>
            <w:tcW w:w="0" w:type="auto"/>
            <w:hideMark/>
          </w:tcPr>
          <w:p w14:paraId="0F28A37B"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heur</w:t>
            </w:r>
            <w:r>
              <w:rPr>
                <w:rFonts w:hint="cs"/>
                <w:sz w:val="24"/>
                <w:szCs w:val="24"/>
              </w:rPr>
              <w:t xml:space="preserve">–VN30</w:t>
            </w:r>
          </w:p>
        </w:tc>
        <w:tc>
          <w:tcPr>
            <w:tcW w:w="0" w:type="auto"/>
            <w:hideMark/>
          </w:tcPr>
          <w:p w14:paraId="25146A2C" w14:textId="77777777" w:rsidR="000019C6" w:rsidRPr="00756D2A" w:rsidRDefault="000019C6" w:rsidP="00A44DB7">
            <w:pPr>
              <w:pStyle w:val="p1a"/>
              <w:spacing w:line="240" w:lineRule="auto"/>
              <w:rPr>
                <w:sz w:val="24"/>
                <w:szCs w:val="24"/>
                <w:lang w:bidi="hi-IN"/>
              </w:rPr>
            </w:pPr>
            <w:r>
              <w:rPr>
                <w:rFonts w:hint="cs"/>
                <w:sz w:val="24"/>
                <w:szCs w:val="24"/>
              </w:rPr>
              <w:t xml:space="preserve">0.0222</w:t>
            </w:r>
          </w:p>
        </w:tc>
        <w:tc>
          <w:tcPr>
            <w:tcW w:w="0" w:type="auto"/>
            <w:hideMark/>
          </w:tcPr>
          <w:p w14:paraId="1B39CE36" w14:textId="77777777" w:rsidR="000019C6" w:rsidRPr="00756D2A" w:rsidRDefault="000019C6" w:rsidP="00A44DB7">
            <w:pPr>
              <w:pStyle w:val="p1a"/>
              <w:spacing w:line="240" w:lineRule="auto"/>
              <w:rPr>
                <w:sz w:val="24"/>
                <w:szCs w:val="24"/>
                <w:lang w:bidi="hi-IN"/>
              </w:rPr>
            </w:pPr>
            <w:r>
              <w:rPr>
                <w:rFonts w:hint="cs"/>
                <w:sz w:val="24"/>
                <w:szCs w:val="24"/>
              </w:rPr>
              <w:t xml:space="preserve">[−0.0236, 0.0582]</w:t>
            </w:r>
          </w:p>
        </w:tc>
        <w:tc>
          <w:tcPr>
            <w:tcW w:w="0" w:type="auto"/>
            <w:hideMark/>
          </w:tcPr>
          <w:p w14:paraId="13A8B840" w14:textId="77777777" w:rsidR="000019C6" w:rsidRPr="00756D2A" w:rsidRDefault="000019C6" w:rsidP="00A44DB7">
            <w:pPr>
              <w:pStyle w:val="p1a"/>
              <w:spacing w:line="240" w:lineRule="auto"/>
              <w:rPr>
                <w:sz w:val="24"/>
                <w:szCs w:val="24"/>
                <w:lang w:bidi="hi-IN"/>
              </w:rPr>
            </w:pPr>
            <w:r>
              <w:rPr>
                <w:rFonts w:hint="cs"/>
                <w:sz w:val="24"/>
                <w:szCs w:val="24"/>
              </w:rPr>
              <w:t xml:space="preserve">0.0289</w:t>
            </w:r>
          </w:p>
        </w:tc>
        <w:tc>
          <w:tcPr>
            <w:tcW w:w="0" w:type="auto"/>
            <w:hideMark/>
          </w:tcPr>
          <w:p w14:paraId="4AB11F6E" w14:textId="77777777" w:rsidR="000019C6" w:rsidRPr="00756D2A" w:rsidRDefault="000019C6" w:rsidP="00A44DB7">
            <w:pPr>
              <w:pStyle w:val="p1a"/>
              <w:spacing w:line="240" w:lineRule="auto"/>
              <w:rPr>
                <w:sz w:val="24"/>
                <w:szCs w:val="24"/>
                <w:lang w:bidi="hi-IN"/>
              </w:rPr>
            </w:pPr>
            <w:r>
              <w:rPr>
                <w:rFonts w:hint="cs"/>
                <w:sz w:val="24"/>
                <w:szCs w:val="24"/>
              </w:rPr>
              <w:t xml:space="preserve">[−0.0033, 0.0534]</w:t>
            </w:r>
          </w:p>
        </w:tc>
      </w:tr>
      <w:tr w:rsidR="000019C6" w:rsidRPr="00756D2A" w14:paraId="281D1CA2" w14:textId="77777777" w:rsidTr="00A44DB7">
        <w:trPr>
          <w:trHeight w:val="692"/>
        </w:trPr>
        <w:tc>
          <w:tcPr>
            <w:tcW w:w="0" w:type="auto"/>
            <w:hideMark/>
          </w:tcPr>
          <w:p w14:paraId="60857A50"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ratio</w:t>
            </w:r>
            <w:r>
              <w:rPr>
                <w:rFonts w:hint="cs"/>
                <w:sz w:val="24"/>
                <w:szCs w:val="24"/>
              </w:rPr>
              <w:t xml:space="preserve">–VN30</w:t>
            </w:r>
          </w:p>
        </w:tc>
        <w:tc>
          <w:tcPr>
            <w:tcW w:w="0" w:type="auto"/>
            <w:hideMark/>
          </w:tcPr>
          <w:p w14:paraId="7BB23363" w14:textId="77777777" w:rsidR="000019C6" w:rsidRPr="00756D2A" w:rsidRDefault="000019C6" w:rsidP="00A44DB7">
            <w:pPr>
              <w:pStyle w:val="p1a"/>
              <w:spacing w:line="240" w:lineRule="auto"/>
              <w:rPr>
                <w:sz w:val="24"/>
                <w:szCs w:val="24"/>
                <w:lang w:bidi="hi-IN"/>
              </w:rPr>
            </w:pPr>
            <w:r>
              <w:rPr>
                <w:rFonts w:hint="cs"/>
                <w:sz w:val="24"/>
                <w:szCs w:val="24"/>
              </w:rPr>
              <w:t xml:space="preserve">0.0221</w:t>
            </w:r>
          </w:p>
        </w:tc>
        <w:tc>
          <w:tcPr>
            <w:tcW w:w="0" w:type="auto"/>
            <w:hideMark/>
          </w:tcPr>
          <w:p w14:paraId="7E6A657B" w14:textId="77777777" w:rsidR="000019C6" w:rsidRPr="00756D2A" w:rsidRDefault="000019C6" w:rsidP="00A44DB7">
            <w:pPr>
              <w:pStyle w:val="p1a"/>
              <w:spacing w:line="240" w:lineRule="auto"/>
              <w:rPr>
                <w:sz w:val="24"/>
                <w:szCs w:val="24"/>
                <w:lang w:bidi="hi-IN"/>
              </w:rPr>
            </w:pPr>
            <w:r>
              <w:rPr>
                <w:rFonts w:hint="cs"/>
                <w:sz w:val="24"/>
                <w:szCs w:val="24"/>
              </w:rPr>
              <w:t xml:space="preserve">[−0.0226, 0.0589]</w:t>
            </w:r>
          </w:p>
        </w:tc>
        <w:tc>
          <w:tcPr>
            <w:tcW w:w="0" w:type="auto"/>
            <w:hideMark/>
          </w:tcPr>
          <w:p w14:paraId="52C41DF0" w14:textId="77777777" w:rsidR="000019C6" w:rsidRPr="00756D2A" w:rsidRDefault="000019C6" w:rsidP="00A44DB7">
            <w:pPr>
              <w:pStyle w:val="p1a"/>
              <w:spacing w:line="240" w:lineRule="auto"/>
              <w:rPr>
                <w:sz w:val="24"/>
                <w:szCs w:val="24"/>
                <w:lang w:bidi="hi-IN"/>
              </w:rPr>
            </w:pPr>
            <w:r>
              <w:rPr>
                <w:rFonts w:hint="cs"/>
                <w:sz w:val="24"/>
                <w:szCs w:val="24"/>
              </w:rPr>
              <w:t xml:space="preserve">0.0291</w:t>
            </w:r>
          </w:p>
        </w:tc>
        <w:tc>
          <w:tcPr>
            <w:tcW w:w="0" w:type="auto"/>
            <w:hideMark/>
          </w:tcPr>
          <w:p w14:paraId="48BD5C93" w14:textId="77777777" w:rsidR="000019C6" w:rsidRPr="00756D2A" w:rsidRDefault="000019C6" w:rsidP="00A44DB7">
            <w:pPr>
              <w:pStyle w:val="p1a"/>
              <w:spacing w:line="240" w:lineRule="auto"/>
              <w:rPr>
                <w:sz w:val="24"/>
                <w:szCs w:val="24"/>
                <w:lang w:bidi="hi-IN"/>
              </w:rPr>
            </w:pPr>
            <w:r>
              <w:rPr>
                <w:rFonts w:hint="cs"/>
                <w:sz w:val="24"/>
                <w:szCs w:val="24"/>
              </w:rPr>
              <w:t xml:space="preserve">[−0.0030, 0.0531]</w:t>
            </w:r>
          </w:p>
        </w:tc>
      </w:tr>
      <w:tr w:rsidR="000019C6" w:rsidRPr="00756D2A" w14:paraId="73323826" w14:textId="77777777" w:rsidTr="00A44DB7">
        <w:trPr>
          <w:trHeight w:val="678"/>
        </w:trPr>
        <w:tc>
          <w:tcPr>
            <w:tcW w:w="0" w:type="auto"/>
            <w:hideMark/>
          </w:tcPr>
          <w:p w14:paraId="7FE039F4" w14:textId="77777777" w:rsidR="000019C6" w:rsidRPr="00756D2A" w:rsidRDefault="00000000" w:rsidP="00A44DB7">
            <w:pPr>
              <w:pStyle w:val="p1a"/>
              <w:suppressAutoHyphens/>
              <w:spacing w:line="240" w:lineRule="auto"/>
              <w:rPr>
                <w:sz w:val="24"/>
                <w:szCs w:val="24"/>
                <w:lang w:bidi="hi-IN"/>
              </w:rPr>
            </w:pPr>
            <w:r>
              <w:rPr>
                <w:rFonts w:hint="cs"/>
                <w:sz w:val="24"/>
                <w:szCs w:val="24"/>
              </w:rPr>
              <w:t xml:space="preserve">P</w:t>
            </w:r>
            <w:r>
              <w:rPr>
                <w:rFonts w:hint="cs"/>
                <w:sz w:val="24"/>
                <w:szCs w:val="24"/>
                <w:vertAlign w:val="subscript"/>
              </w:rPr>
              <w:t xml:space="preserve">res</w:t>
            </w:r>
            <w:r>
              <w:rPr>
                <w:rFonts w:hint="cs"/>
                <w:sz w:val="24"/>
                <w:szCs w:val="24"/>
              </w:rPr>
              <w:t xml:space="preserve">–VN30</w:t>
            </w:r>
          </w:p>
        </w:tc>
        <w:tc>
          <w:tcPr>
            <w:tcW w:w="0" w:type="auto"/>
            <w:hideMark/>
          </w:tcPr>
          <w:p w14:paraId="581C544E" w14:textId="77777777" w:rsidR="000019C6" w:rsidRPr="00756D2A" w:rsidRDefault="000019C6" w:rsidP="00A44DB7">
            <w:pPr>
              <w:pStyle w:val="p1a"/>
              <w:spacing w:line="240" w:lineRule="auto"/>
              <w:rPr>
                <w:sz w:val="24"/>
                <w:szCs w:val="24"/>
                <w:lang w:bidi="hi-IN"/>
              </w:rPr>
            </w:pPr>
            <w:r>
              <w:rPr>
                <w:rFonts w:hint="cs"/>
                <w:sz w:val="24"/>
                <w:szCs w:val="24"/>
              </w:rPr>
              <w:t xml:space="preserve">0.0220</w:t>
            </w:r>
          </w:p>
        </w:tc>
        <w:tc>
          <w:tcPr>
            <w:tcW w:w="0" w:type="auto"/>
            <w:hideMark/>
          </w:tcPr>
          <w:p w14:paraId="51DB082E" w14:textId="77777777" w:rsidR="000019C6" w:rsidRPr="00756D2A" w:rsidRDefault="000019C6" w:rsidP="00A44DB7">
            <w:pPr>
              <w:pStyle w:val="p1a"/>
              <w:spacing w:line="240" w:lineRule="auto"/>
              <w:rPr>
                <w:sz w:val="24"/>
                <w:szCs w:val="24"/>
                <w:lang w:bidi="hi-IN"/>
              </w:rPr>
            </w:pPr>
            <w:r>
              <w:rPr>
                <w:rFonts w:hint="cs"/>
                <w:sz w:val="24"/>
                <w:szCs w:val="24"/>
              </w:rPr>
              <w:t xml:space="preserve">[−0.0249, 0.0574]</w:t>
            </w:r>
          </w:p>
        </w:tc>
        <w:tc>
          <w:tcPr>
            <w:tcW w:w="0" w:type="auto"/>
            <w:hideMark/>
          </w:tcPr>
          <w:p w14:paraId="5AD5B05D" w14:textId="77777777" w:rsidR="000019C6" w:rsidRPr="00756D2A" w:rsidRDefault="000019C6" w:rsidP="00A44DB7">
            <w:pPr>
              <w:pStyle w:val="p1a"/>
              <w:spacing w:line="240" w:lineRule="auto"/>
              <w:rPr>
                <w:sz w:val="24"/>
                <w:szCs w:val="24"/>
                <w:lang w:bidi="hi-IN"/>
              </w:rPr>
            </w:pPr>
            <w:r>
              <w:rPr>
                <w:rFonts w:hint="cs"/>
                <w:sz w:val="24"/>
                <w:szCs w:val="24"/>
              </w:rPr>
              <w:t xml:space="preserve">0.0283</w:t>
            </w:r>
          </w:p>
        </w:tc>
        <w:tc>
          <w:tcPr>
            <w:tcW w:w="0" w:type="auto"/>
            <w:hideMark/>
          </w:tcPr>
          <w:p w14:paraId="52DBCFF4" w14:textId="77777777" w:rsidR="000019C6" w:rsidRPr="00756D2A" w:rsidRDefault="000019C6" w:rsidP="00A44DB7">
            <w:pPr>
              <w:pStyle w:val="p1a"/>
              <w:spacing w:line="240" w:lineRule="auto"/>
              <w:rPr>
                <w:sz w:val="24"/>
                <w:szCs w:val="24"/>
                <w:lang w:bidi="hi-IN"/>
              </w:rPr>
            </w:pPr>
            <w:r>
              <w:rPr>
                <w:rFonts w:hint="cs"/>
                <w:sz w:val="24"/>
                <w:szCs w:val="24"/>
              </w:rPr>
              <w:t xml:space="preserve">[−0.0029, 0.0526]</w:t>
            </w:r>
          </w:p>
        </w:tc>
      </w:tr>
    </w:tbl>
    <w:p w14:paraId="68A0EE48" w14:textId="699F3995" w:rsidR="000019C6" w:rsidRPr="00756D2A" w:rsidRDefault="000019C6" w:rsidP="00756D2A">
      <w:pPr>
        <w:spacing w:line="300" w:lineRule="auto" w:before="60" w:after="200"/>
        <w:jc w:val="both"/>
        <w:rPr>
          <w:i/>
          <w:iCs/>
          <w:lang w:val="vi-VN" w:eastAsia="zh-CN"/>
        </w:rPr>
      </w:pPr>
      <w:r>
        <w:rPr>
          <w:rFonts w:hint="cs"/>
        </w:rPr>
        <w:t xml:space="preserve">Notes: Slopes of ρ</w:t>
      </w:r>
      <w:r>
        <w:rPr>
          <w:rFonts w:hint="cs"/>
          <w:vertAlign w:val="subscript"/>
        </w:rPr>
        <w:t xml:space="preserve">DCCA</w:t>
      </w:r>
      <w:r>
        <w:rPr>
          <w:rFonts w:hint="cs"/>
        </w:rPr>
        <w:t xml:space="preserve">(s) on ln s; full range: 30 scales from 5 to 5,485 bars; reliable range: s ≤ 444. Brackets: block-bootstrap 95% intervals (499 replications). Source: Authors’ calculations.</w:t>
      </w:r>
    </w:p>
    <w:p w14:paraId="00E23054" w14:textId="77777777" w:rsidR="000019C6" w:rsidRPr="00756D2A" w:rsidRDefault="000019C6" w:rsidP="00756D2A">
      <w:pPr>
        <w:spacing w:line="300" w:lineRule="auto"/>
        <w:jc w:val="both"/>
      </w:pPr>
      <w:r>
        <w:rPr>
          <w:rFonts w:hint="cs"/>
        </w:rPr>
        <w:t xml:space="preserve">The resampling results show three patterns.</w:t>
      </w:r>
    </w:p>
    <w:p w14:paraId="0064B6C6" w14:textId="06EDB94A" w:rsidR="000019C6" w:rsidRPr="00756D2A" w:rsidRDefault="000019C6" w:rsidP="00756D2A">
      <w:pPr>
        <w:jc w:val="both"/>
      </w:pPr>
      <w:r>
        <w:rPr>
          <w:rFonts w:hint="cs"/>
        </w:rPr>
        <w:t xml:space="preserve">First, for the nested pair VN30–VN100, the slope is close to zero in both ranges: because VN30 constituents dominate VN100 capitalization, their mechanical co-movement is invariant to the timescale.</w:t>
      </w:r>
    </w:p>
    <w:p w14:paraId="32C47C82" w14:textId="77777777" w:rsidR="000019C6" w:rsidRPr="00756D2A" w:rsidRDefault="000019C6" w:rsidP="00756D2A">
      <w:pPr>
        <w:jc w:val="both"/>
      </w:pPr>
      <w:r>
        <w:rPr>
          <w:rFonts w:hint="cs"/>
        </w:rPr>
        <w:t xml:space="preserve">Second, the pairs involving the broad market rise significantly with the horizon within the reliable range: VN30–VNINDEX (0.0022, 95% interval [0.0007, 0.0038]) and VN100–VNINDEX (0.0022, [0.0011, 0.0032]). Over the reliable M30 range (5 to 444 bars) this corresponds to a rise of about 0.010 in the correlation. Over the full range, where long scales rest on few segments, the intervals include zero.</w:t>
      </w:r>
    </w:p>
    <w:p w14:paraId="36E95D81" w14:textId="3E68F6DA" w:rsidR="000019C6" w:rsidRPr="00756D2A" w:rsidRDefault="000019C6" w:rsidP="00756D2A">
      <w:pPr>
        <w:jc w:val="both"/>
      </w:pPr>
      <w:r>
        <w:rPr>
          <w:rFonts w:hint="cs"/>
        </w:rPr>
        <w:t xml:space="preserve">Third, the purged mid-cap correlation shows no significant horizon dependence: the P</w:t>
      </w:r>
      <w:r>
        <w:rPr>
          <w:rFonts w:hint="cs"/>
          <w:vertAlign w:val="subscript"/>
        </w:rPr>
        <w:t xml:space="preserve">cap</w:t>
      </w:r>
      <w:r>
        <w:rPr>
          <w:rFonts w:hint="cs"/>
        </w:rPr>
        <w:t xml:space="preserve">–VN30 slope is 0.0025 [−0.0102, 0.0093] over the full range and 0.0017 [−0.0045, 0.0078] over the reliable range. The statistical residual proxies have larger but imprecise slopes, consistent with amplified noise.</w:t>
      </w:r>
    </w:p>
    <w:p w14:paraId="0755DD25" w14:textId="77777777" w:rsidR="000019C6" w:rsidRPr="00756D2A" w:rsidRDefault="000019C6" w:rsidP="00756D2A">
      <w:pPr>
        <w:jc w:val="both"/>
      </w:pPr>
      <w:r>
        <w:rPr>
          <w:rFonts w:hint="cs"/>
        </w:rPr>
        <w:t xml:space="preserve">The horizon dependence of the broad-market pairs is consistent with two complementary mechanisms. Under the Epps (1979) effect, non-synchronous trading in less liquid constituents dampens correlations over the shortest intervals, roughly the first ten bars, and temporal aggregation removes this dampening. Beyond that range, gradual information diffusion (Hong and Stein 1999) can sustain a further rise if prices of different constituents adjust to common news at different speeds. That the purged mid-cap series shows no significant rise suggests that these effects are weaker than index-level sampling noise once the overlap is removed.</w:t>
      </w:r>
    </w:p>
    <w:p w14:paraId="041177A9" w14:textId="47075C9F" w:rsidR="000019C6" w:rsidRPr="00756D2A" w:rsidRDefault="001267EF" w:rsidP="001267EF">
      <w:pPr>
        <w:jc w:val="both"/>
      </w:pPr>
      <w:r>
        <w:t xml:space="preserve">Index-level closing data cannot distinguish microstructure frictions from gradual information diffusion; separating the two would require tick-by-tick order-book data and firm-level news timestamps.</w:t>
      </w:r>
    </w:p>
    <w:bookmarkEnd w:id="105"/>
    <w:p w14:paraId="2D28501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 Robustness Checks</w:t>
      </w:r>
    </w:p>
    <w:p w14:paraId="7E96011C"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3.8.1 Scaling Slopes at the Other Frequencies</w:t>
      </w:r>
    </w:p>
    <w:p w14:paraId="37DBBA77" w14:textId="5D3FD918" w:rsidR="002900DE" w:rsidRPr="002900DE" w:rsidRDefault="002900DE" w:rsidP="00756D2A">
      <w:pPr>
        <w:jc w:val="both"/>
        <w:rPr>
          <w:lang w:val="vi-VN"/>
        </w:rPr>
      </w:pPr>
      <w:r>
        <w:t xml:space="preserve">Table 6 reports the same slopes at the daily, 1-hour and 4-hour frequencies for the broad-market pair VN30–VNINDEX and the purged pair P</w:t>
      </w:r>
      <w:r>
        <w:rPr>
          <w:vertAlign w:val="subscript"/>
        </w:rPr>
        <w:t xml:space="preserve">cap</w:t>
      </w:r>
      <w:r>
        <w:t xml:space="preserve">–VN30.</w:t>
      </w:r>
    </w:p>
    <w:p w14:paraId="5CDD438E"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6 </w:t>
      </w:r>
      <w:r>
        <w:rPr>
          <w:rFonts w:hint="cs"/>
          <w:sz w:val="24"/>
          <w:szCs w:val="24"/>
        </w:rPr>
        <w:t xml:space="preserve">Scaling slopes of DCCA coefficients at the daily, 1-hour and 4-hour frequencies</w:t>
      </w:r>
    </w:p>
    <w:tbl>
      <w:tblPr>
        <w:tblStyle w:val="TableGrid"/>
        <w:tblW w:w="9254" w:type="dxa"/>
        <w:tblLayout w:type="fixed"/>
        <w:tblLook w:val="04A0" w:firstRow="1" w:lastRow="0" w:firstColumn="1" w:lastColumn="0" w:noHBand="0" w:noVBand="1"/>
      </w:tblPr>
      <w:tblGrid>
        <w:gridCol w:w="2011"/>
        <w:gridCol w:w="2396"/>
        <w:gridCol w:w="2754"/>
        <w:gridCol w:w="2093"/>
      </w:tblGrid>
      <w:tr w:rsidR="000019C6" w:rsidRPr="00756D2A" w14:paraId="10D02A2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2F7586BD" w14:textId="77777777" w:rsidR="000019C6" w:rsidRPr="00756D2A" w:rsidRDefault="000019C6" w:rsidP="00756D2A">
            <w:pPr>
              <w:jc w:val="both"/>
              <w:rPr>
                <w:lang w:bidi="hi-IN"/>
              </w:rPr>
            </w:pPr>
            <w:r>
              <w:rPr>
                <w:rFonts w:hint="cs"/>
              </w:rPr>
              <w:t xml:space="preserve">Frequency and pair</w:t>
            </w:r>
          </w:p>
        </w:tc>
        <w:tc>
          <w:tcPr>
            <w:tcW w:w="2396" w:type="dxa"/>
            <w:tcBorders>
              <w:top w:val="single" w:sz="4" w:space="0" w:color="auto"/>
              <w:left w:val="single" w:sz="4" w:space="0" w:color="auto"/>
              <w:bottom w:val="single" w:sz="4" w:space="0" w:color="auto"/>
              <w:right w:val="single" w:sz="4" w:space="0" w:color="auto"/>
            </w:tcBorders>
            <w:hideMark/>
          </w:tcPr>
          <w:p w14:paraId="4ABEC691" w14:textId="77777777" w:rsidR="000019C6" w:rsidRPr="00756D2A" w:rsidRDefault="000019C6" w:rsidP="00756D2A">
            <w:pPr>
              <w:jc w:val="both"/>
              <w:rPr>
                <w:lang w:bidi="hi-IN"/>
              </w:rPr>
            </w:pPr>
            <w:r>
              <w:rPr>
                <w:rFonts w:hint="cs"/>
              </w:rPr>
              <w:t xml:space="preserve">Full-range slope [95% CI]</w:t>
            </w:r>
          </w:p>
        </w:tc>
        <w:tc>
          <w:tcPr>
            <w:tcW w:w="2754" w:type="dxa"/>
            <w:tcBorders>
              <w:top w:val="single" w:sz="4" w:space="0" w:color="auto"/>
              <w:left w:val="single" w:sz="4" w:space="0" w:color="auto"/>
              <w:bottom w:val="single" w:sz="4" w:space="0" w:color="auto"/>
              <w:right w:val="single" w:sz="4" w:space="0" w:color="auto"/>
            </w:tcBorders>
            <w:hideMark/>
          </w:tcPr>
          <w:p w14:paraId="13D49493" w14:textId="77777777" w:rsidR="000019C6" w:rsidRPr="00756D2A" w:rsidRDefault="000019C6" w:rsidP="00756D2A">
            <w:pPr>
              <w:jc w:val="both"/>
              <w:rPr>
                <w:lang w:bidi="hi-IN"/>
              </w:rPr>
            </w:pPr>
            <w:r>
              <w:rPr>
                <w:rFonts w:hint="cs"/>
              </w:rPr>
              <w:t xml:space="preserve">Reliable-range slope [95% CI]</w:t>
            </w:r>
          </w:p>
        </w:tc>
        <w:tc>
          <w:tcPr>
            <w:tcW w:w="2093" w:type="dxa"/>
            <w:tcBorders>
              <w:top w:val="single" w:sz="4" w:space="0" w:color="auto"/>
              <w:left w:val="single" w:sz="4" w:space="0" w:color="auto"/>
              <w:bottom w:val="single" w:sz="4" w:space="0" w:color="auto"/>
              <w:right w:val="single" w:sz="4" w:space="0" w:color="auto"/>
            </w:tcBorders>
            <w:hideMark/>
          </w:tcPr>
          <w:p w14:paraId="5D549475" w14:textId="77777777" w:rsidR="000019C6" w:rsidRPr="00756D2A" w:rsidRDefault="000019C6" w:rsidP="00756D2A">
            <w:pPr>
              <w:jc w:val="both"/>
              <w:rPr>
                <w:lang w:bidi="hi-IN"/>
              </w:rPr>
            </w:pPr>
            <w:r>
              <w:rPr>
                <w:rFonts w:hint="cs"/>
              </w:rPr>
              <w:t xml:space="preserve">Assessment</w:t>
            </w:r>
          </w:p>
        </w:tc>
      </w:tr>
      <w:tr w:rsidR="000019C6" w:rsidRPr="00756D2A" w14:paraId="4E306BEB"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CEE690C" w14:textId="77777777" w:rsidR="000019C6" w:rsidRPr="00756D2A" w:rsidRDefault="000019C6" w:rsidP="00756D2A">
            <w:pPr>
              <w:suppressAutoHyphens/>
              <w:jc w:val="both"/>
              <w:rPr>
                <w:lang w:bidi="hi-IN"/>
              </w:rPr>
            </w:pPr>
            <w:r>
              <w:rPr>
                <w:rFonts w:hint="cs"/>
              </w:rPr>
              <w:t xml:space="preserve">Daily: VN30–VNINDEX</w:t>
            </w:r>
          </w:p>
        </w:tc>
        <w:tc>
          <w:tcPr>
            <w:tcW w:w="2396" w:type="dxa"/>
            <w:tcBorders>
              <w:top w:val="single" w:sz="4" w:space="0" w:color="auto"/>
              <w:left w:val="single" w:sz="4" w:space="0" w:color="auto"/>
              <w:bottom w:val="single" w:sz="4" w:space="0" w:color="auto"/>
              <w:right w:val="single" w:sz="4" w:space="0" w:color="auto"/>
            </w:tcBorders>
            <w:hideMark/>
          </w:tcPr>
          <w:p w14:paraId="0140B865" w14:textId="77777777" w:rsidR="000019C6" w:rsidRPr="00756D2A" w:rsidRDefault="000019C6" w:rsidP="00756D2A">
            <w:pPr>
              <w:jc w:val="both"/>
              <w:rPr>
                <w:lang w:val="vi-VN" w:bidi="hi-IN"/>
              </w:rPr>
            </w:pPr>
            <w:r>
              <w:rPr>
                <w:rFonts w:hint="cs"/>
              </w:rPr>
              <w:t xml:space="preserve">0.0020</w:t>
            </w:r>
          </w:p>
          <w:p w14:paraId="2AEEB5A9" w14:textId="77777777" w:rsidR="000019C6" w:rsidRPr="00756D2A" w:rsidRDefault="000019C6" w:rsidP="00756D2A">
            <w:pPr>
              <w:suppressAutoHyphens/>
              <w:jc w:val="both"/>
              <w:rPr>
                <w:lang w:bidi="hi-IN"/>
              </w:rPr>
            </w:pPr>
            <w:r>
              <w:rPr>
                <w:rFonts w:hint="cs"/>
              </w:rPr>
              <w:t xml:space="preserve">[−0.0064, 0.0043]</w:t>
            </w:r>
          </w:p>
        </w:tc>
        <w:tc>
          <w:tcPr>
            <w:tcW w:w="2754" w:type="dxa"/>
            <w:tcBorders>
              <w:top w:val="single" w:sz="4" w:space="0" w:color="auto"/>
              <w:left w:val="single" w:sz="4" w:space="0" w:color="auto"/>
              <w:bottom w:val="single" w:sz="4" w:space="0" w:color="auto"/>
              <w:right w:val="single" w:sz="4" w:space="0" w:color="auto"/>
            </w:tcBorders>
            <w:hideMark/>
          </w:tcPr>
          <w:p w14:paraId="22BBEC5D" w14:textId="77777777" w:rsidR="000019C6" w:rsidRPr="00756D2A" w:rsidRDefault="000019C6" w:rsidP="00756D2A">
            <w:pPr>
              <w:jc w:val="both"/>
              <w:rPr>
                <w:lang w:val="vi-VN" w:bidi="hi-IN"/>
              </w:rPr>
            </w:pPr>
            <w:r>
              <w:rPr>
                <w:rFonts w:hint="cs"/>
              </w:rPr>
              <w:t xml:space="preserve">0.0010</w:t>
            </w:r>
          </w:p>
          <w:p w14:paraId="1E677435" w14:textId="77777777" w:rsidR="000019C6" w:rsidRPr="00756D2A" w:rsidRDefault="000019C6" w:rsidP="00756D2A">
            <w:pPr>
              <w:suppressAutoHyphens/>
              <w:jc w:val="both"/>
              <w:rPr>
                <w:lang w:bidi="hi-IN"/>
              </w:rPr>
            </w:pPr>
            <w:r>
              <w:rPr>
                <w:rFonts w:hint="cs"/>
              </w:rPr>
              <w:t xml:space="preserve">[−0.0031, 0.0043]</w:t>
            </w:r>
          </w:p>
        </w:tc>
        <w:tc>
          <w:tcPr>
            <w:tcW w:w="2093" w:type="dxa"/>
            <w:tcBorders>
              <w:top w:val="single" w:sz="4" w:space="0" w:color="auto"/>
              <w:left w:val="single" w:sz="4" w:space="0" w:color="auto"/>
              <w:bottom w:val="single" w:sz="4" w:space="0" w:color="auto"/>
              <w:right w:val="single" w:sz="4" w:space="0" w:color="auto"/>
            </w:tcBorders>
            <w:hideMark/>
          </w:tcPr>
          <w:p w14:paraId="01E1CADF" w14:textId="77777777" w:rsidR="000019C6" w:rsidRPr="00756D2A" w:rsidRDefault="000019C6" w:rsidP="00756D2A">
            <w:pPr>
              <w:jc w:val="both"/>
              <w:rPr>
                <w:lang w:bidi="hi-IN"/>
              </w:rPr>
            </w:pPr>
            <w:r>
              <w:rPr>
                <w:rFonts w:hint="cs"/>
              </w:rPr>
              <w:t xml:space="preserve">Flat</w:t>
            </w:r>
          </w:p>
        </w:tc>
      </w:tr>
      <w:tr w:rsidR="000019C6" w:rsidRPr="00756D2A" w14:paraId="71317A17"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32A90096" w14:textId="77777777" w:rsidR="000019C6" w:rsidRPr="00756D2A" w:rsidRDefault="000019C6" w:rsidP="00756D2A">
            <w:pPr>
              <w:suppressAutoHyphens/>
              <w:jc w:val="both"/>
              <w:rPr>
                <w:lang w:bidi="hi-IN"/>
              </w:rPr>
            </w:pPr>
            <w:r>
              <w:rPr>
                <w:rFonts w:hint="cs"/>
              </w:rPr>
              <w:t xml:space="preserve">Daily: P</w:t>
            </w:r>
            <w:r>
              <w:rPr>
                <w:rFonts w:hint="cs"/>
                <w:vertAlign w:val="subscript"/>
              </w:rPr>
              <w:t xml:space="preserve">cap</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18884400" w14:textId="77777777" w:rsidR="000019C6" w:rsidRPr="00756D2A" w:rsidRDefault="000019C6" w:rsidP="00756D2A">
            <w:pPr>
              <w:jc w:val="both"/>
              <w:rPr>
                <w:lang w:val="vi-VN" w:bidi="hi-IN"/>
              </w:rPr>
            </w:pPr>
            <w:r>
              <w:rPr>
                <w:rFonts w:hint="cs"/>
              </w:rPr>
              <w:t xml:space="preserve">0.0014</w:t>
            </w:r>
          </w:p>
          <w:p w14:paraId="3EA56EBF" w14:textId="77777777" w:rsidR="000019C6" w:rsidRPr="00756D2A" w:rsidRDefault="000019C6" w:rsidP="00756D2A">
            <w:pPr>
              <w:suppressAutoHyphens/>
              <w:jc w:val="both"/>
              <w:rPr>
                <w:lang w:bidi="hi-IN"/>
              </w:rPr>
            </w:pPr>
            <w:r>
              <w:rPr>
                <w:rFonts w:hint="cs"/>
              </w:rPr>
              <w:t xml:space="preserve">[−0.0255, 0.0118]</w:t>
            </w:r>
          </w:p>
        </w:tc>
        <w:tc>
          <w:tcPr>
            <w:tcW w:w="2754" w:type="dxa"/>
            <w:tcBorders>
              <w:top w:val="single" w:sz="4" w:space="0" w:color="auto"/>
              <w:left w:val="single" w:sz="4" w:space="0" w:color="auto"/>
              <w:bottom w:val="single" w:sz="4" w:space="0" w:color="auto"/>
              <w:right w:val="single" w:sz="4" w:space="0" w:color="auto"/>
            </w:tcBorders>
            <w:hideMark/>
          </w:tcPr>
          <w:p w14:paraId="6B965872" w14:textId="77777777" w:rsidR="000019C6" w:rsidRPr="00756D2A" w:rsidRDefault="000019C6" w:rsidP="00756D2A">
            <w:pPr>
              <w:jc w:val="both"/>
              <w:rPr>
                <w:lang w:val="vi-VN" w:bidi="hi-IN"/>
              </w:rPr>
            </w:pPr>
            <w:r>
              <w:rPr>
                <w:rFonts w:hint="cs"/>
              </w:rPr>
              <w:t xml:space="preserve">−0.0040</w:t>
            </w:r>
          </w:p>
          <w:p w14:paraId="01CBFD10" w14:textId="77777777" w:rsidR="000019C6" w:rsidRPr="00756D2A" w:rsidRDefault="000019C6" w:rsidP="00756D2A">
            <w:pPr>
              <w:suppressAutoHyphens/>
              <w:jc w:val="both"/>
              <w:rPr>
                <w:lang w:bidi="hi-IN"/>
              </w:rPr>
            </w:pPr>
            <w:r>
              <w:rPr>
                <w:rFonts w:hint="cs"/>
              </w:rPr>
              <w:t xml:space="preserve">[−0.0157, 0.0085]</w:t>
            </w:r>
          </w:p>
        </w:tc>
        <w:tc>
          <w:tcPr>
            <w:tcW w:w="2093" w:type="dxa"/>
            <w:tcBorders>
              <w:top w:val="single" w:sz="4" w:space="0" w:color="auto"/>
              <w:left w:val="single" w:sz="4" w:space="0" w:color="auto"/>
              <w:bottom w:val="single" w:sz="4" w:space="0" w:color="auto"/>
              <w:right w:val="single" w:sz="4" w:space="0" w:color="auto"/>
            </w:tcBorders>
            <w:hideMark/>
          </w:tcPr>
          <w:p w14:paraId="09B7F4A8" w14:textId="77777777" w:rsidR="000019C6" w:rsidRPr="00756D2A" w:rsidRDefault="000019C6" w:rsidP="00756D2A">
            <w:pPr>
              <w:jc w:val="both"/>
              <w:rPr>
                <w:lang w:bidi="hi-IN"/>
              </w:rPr>
            </w:pPr>
            <w:r>
              <w:rPr>
                <w:rFonts w:hint="cs"/>
              </w:rPr>
              <w:t xml:space="preserve">Flat</w:t>
            </w:r>
          </w:p>
        </w:tc>
      </w:tr>
      <w:tr w:rsidR="000019C6" w:rsidRPr="00756D2A" w14:paraId="7A012DF5"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225C9DF" w14:textId="77777777" w:rsidR="000019C6" w:rsidRPr="00756D2A" w:rsidRDefault="000019C6" w:rsidP="00756D2A">
            <w:pPr>
              <w:suppressAutoHyphens/>
              <w:jc w:val="both"/>
              <w:rPr>
                <w:lang w:bidi="hi-IN"/>
              </w:rPr>
            </w:pPr>
            <w:r>
              <w:rPr>
                <w:rFonts w:hint="cs"/>
              </w:rPr>
              <w:t xml:space="preserve">1-hour: VN30–VNINDEX</w:t>
            </w:r>
          </w:p>
        </w:tc>
        <w:tc>
          <w:tcPr>
            <w:tcW w:w="2396" w:type="dxa"/>
            <w:tcBorders>
              <w:top w:val="single" w:sz="4" w:space="0" w:color="auto"/>
              <w:left w:val="single" w:sz="4" w:space="0" w:color="auto"/>
              <w:bottom w:val="single" w:sz="4" w:space="0" w:color="auto"/>
              <w:right w:val="single" w:sz="4" w:space="0" w:color="auto"/>
            </w:tcBorders>
            <w:hideMark/>
          </w:tcPr>
          <w:p w14:paraId="4EBE2E6D" w14:textId="77777777" w:rsidR="000019C6" w:rsidRPr="00756D2A" w:rsidRDefault="000019C6" w:rsidP="00756D2A">
            <w:pPr>
              <w:jc w:val="both"/>
              <w:rPr>
                <w:lang w:val="vi-VN" w:bidi="hi-IN"/>
              </w:rPr>
            </w:pPr>
            <w:r>
              <w:rPr>
                <w:rFonts w:hint="cs"/>
              </w:rPr>
              <w:t xml:space="preserve">0.0015</w:t>
            </w:r>
          </w:p>
          <w:p w14:paraId="7107F133" w14:textId="77777777" w:rsidR="000019C6" w:rsidRPr="00756D2A" w:rsidRDefault="000019C6" w:rsidP="00756D2A">
            <w:pPr>
              <w:suppressAutoHyphens/>
              <w:jc w:val="both"/>
              <w:rPr>
                <w:lang w:bidi="hi-IN"/>
              </w:rPr>
            </w:pPr>
            <w:r>
              <w:rPr>
                <w:rFonts w:hint="cs"/>
              </w:rPr>
              <w:t xml:space="preserve">[−0.0027, 0.0040]</w:t>
            </w:r>
          </w:p>
        </w:tc>
        <w:tc>
          <w:tcPr>
            <w:tcW w:w="2754" w:type="dxa"/>
            <w:tcBorders>
              <w:top w:val="single" w:sz="4" w:space="0" w:color="auto"/>
              <w:left w:val="single" w:sz="4" w:space="0" w:color="auto"/>
              <w:bottom w:val="single" w:sz="4" w:space="0" w:color="auto"/>
              <w:right w:val="single" w:sz="4" w:space="0" w:color="auto"/>
            </w:tcBorders>
            <w:hideMark/>
          </w:tcPr>
          <w:p w14:paraId="58BD170E" w14:textId="77777777" w:rsidR="000019C6" w:rsidRPr="00756D2A" w:rsidRDefault="000019C6" w:rsidP="00756D2A">
            <w:pPr>
              <w:jc w:val="both"/>
              <w:rPr>
                <w:lang w:val="vi-VN" w:bidi="hi-IN"/>
              </w:rPr>
            </w:pPr>
            <w:r>
              <w:rPr>
                <w:rFonts w:hint="cs"/>
              </w:rPr>
              <w:t xml:space="preserve">0.0024</w:t>
            </w:r>
          </w:p>
          <w:p w14:paraId="692A52B8" w14:textId="77777777" w:rsidR="000019C6" w:rsidRPr="00756D2A" w:rsidRDefault="000019C6" w:rsidP="00756D2A">
            <w:pPr>
              <w:suppressAutoHyphens/>
              <w:jc w:val="both"/>
              <w:rPr>
                <w:lang w:bidi="hi-IN"/>
              </w:rPr>
            </w:pPr>
            <w:r>
              <w:rPr>
                <w:rFonts w:hint="cs"/>
              </w:rPr>
              <w:t xml:space="preserve">[0.0006, 0.0041]</w:t>
            </w:r>
          </w:p>
        </w:tc>
        <w:tc>
          <w:tcPr>
            <w:tcW w:w="2093" w:type="dxa"/>
            <w:tcBorders>
              <w:top w:val="single" w:sz="4" w:space="0" w:color="auto"/>
              <w:left w:val="single" w:sz="4" w:space="0" w:color="auto"/>
              <w:bottom w:val="single" w:sz="4" w:space="0" w:color="auto"/>
              <w:right w:val="single" w:sz="4" w:space="0" w:color="auto"/>
            </w:tcBorders>
            <w:hideMark/>
          </w:tcPr>
          <w:p w14:paraId="17B4467F" w14:textId="77777777" w:rsidR="000019C6" w:rsidRPr="00756D2A" w:rsidRDefault="000019C6" w:rsidP="00756D2A">
            <w:pPr>
              <w:jc w:val="both"/>
              <w:rPr>
                <w:lang w:bidi="hi-IN"/>
              </w:rPr>
            </w:pPr>
            <w:r>
              <w:rPr>
                <w:rFonts w:hint="cs"/>
              </w:rPr>
              <w:t xml:space="preserve">Rises (reliable range)</w:t>
            </w:r>
          </w:p>
        </w:tc>
      </w:tr>
      <w:tr w:rsidR="000019C6" w:rsidRPr="00756D2A" w14:paraId="2CED37D4"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A4CF635" w14:textId="77777777" w:rsidR="000019C6" w:rsidRPr="00756D2A" w:rsidRDefault="000019C6" w:rsidP="00756D2A">
            <w:pPr>
              <w:suppressAutoHyphens/>
              <w:jc w:val="both"/>
              <w:rPr>
                <w:lang w:bidi="hi-IN"/>
              </w:rPr>
            </w:pPr>
            <w:r>
              <w:rPr>
                <w:rFonts w:hint="cs"/>
              </w:rPr>
              <w:t xml:space="preserve">1-hour: P</w:t>
            </w:r>
            <w:r>
              <w:rPr>
                <w:rFonts w:hint="cs"/>
                <w:vertAlign w:val="subscript"/>
              </w:rPr>
              <w:t xml:space="preserve">cap</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158E1FCE" w14:textId="77777777" w:rsidR="000019C6" w:rsidRPr="00756D2A" w:rsidRDefault="000019C6" w:rsidP="00756D2A">
            <w:pPr>
              <w:jc w:val="both"/>
              <w:rPr>
                <w:lang w:val="vi-VN" w:bidi="hi-IN"/>
              </w:rPr>
            </w:pPr>
            <w:r>
              <w:rPr>
                <w:rFonts w:hint="cs"/>
              </w:rPr>
              <w:t xml:space="preserve">−0.0003</w:t>
            </w:r>
          </w:p>
          <w:p w14:paraId="0866DF6E" w14:textId="77777777" w:rsidR="000019C6" w:rsidRPr="00756D2A" w:rsidRDefault="000019C6" w:rsidP="00756D2A">
            <w:pPr>
              <w:suppressAutoHyphens/>
              <w:jc w:val="both"/>
              <w:rPr>
                <w:lang w:bidi="hi-IN"/>
              </w:rPr>
            </w:pPr>
            <w:r>
              <w:rPr>
                <w:rFonts w:hint="cs"/>
              </w:rPr>
              <w:t xml:space="preserve">[−0.0137, 0.0089]</w:t>
            </w:r>
          </w:p>
        </w:tc>
        <w:tc>
          <w:tcPr>
            <w:tcW w:w="2754" w:type="dxa"/>
            <w:tcBorders>
              <w:top w:val="single" w:sz="4" w:space="0" w:color="auto"/>
              <w:left w:val="single" w:sz="4" w:space="0" w:color="auto"/>
              <w:bottom w:val="single" w:sz="4" w:space="0" w:color="auto"/>
              <w:right w:val="single" w:sz="4" w:space="0" w:color="auto"/>
            </w:tcBorders>
            <w:hideMark/>
          </w:tcPr>
          <w:p w14:paraId="6D963E46" w14:textId="77777777" w:rsidR="000019C6" w:rsidRPr="00756D2A" w:rsidRDefault="000019C6" w:rsidP="00756D2A">
            <w:pPr>
              <w:jc w:val="both"/>
              <w:rPr>
                <w:lang w:val="vi-VN" w:bidi="hi-IN"/>
              </w:rPr>
            </w:pPr>
            <w:r>
              <w:rPr>
                <w:rFonts w:hint="cs"/>
              </w:rPr>
              <w:t xml:space="preserve">0.0020</w:t>
            </w:r>
          </w:p>
          <w:p w14:paraId="37DFEFED" w14:textId="77777777" w:rsidR="000019C6" w:rsidRPr="00756D2A" w:rsidRDefault="000019C6" w:rsidP="00756D2A">
            <w:pPr>
              <w:suppressAutoHyphens/>
              <w:jc w:val="both"/>
              <w:rPr>
                <w:lang w:bidi="hi-IN"/>
              </w:rPr>
            </w:pPr>
            <w:r>
              <w:rPr>
                <w:rFonts w:hint="cs"/>
              </w:rPr>
              <w:t xml:space="preserve">[−0.0035, 0.0089]</w:t>
            </w:r>
          </w:p>
        </w:tc>
        <w:tc>
          <w:tcPr>
            <w:tcW w:w="2093" w:type="dxa"/>
            <w:tcBorders>
              <w:top w:val="single" w:sz="4" w:space="0" w:color="auto"/>
              <w:left w:val="single" w:sz="4" w:space="0" w:color="auto"/>
              <w:bottom w:val="single" w:sz="4" w:space="0" w:color="auto"/>
              <w:right w:val="single" w:sz="4" w:space="0" w:color="auto"/>
            </w:tcBorders>
            <w:hideMark/>
          </w:tcPr>
          <w:p w14:paraId="2504318A" w14:textId="77777777" w:rsidR="000019C6" w:rsidRPr="00756D2A" w:rsidRDefault="000019C6" w:rsidP="00756D2A">
            <w:pPr>
              <w:jc w:val="both"/>
              <w:rPr>
                <w:lang w:bidi="hi-IN"/>
              </w:rPr>
            </w:pPr>
            <w:r>
              <w:rPr>
                <w:rFonts w:hint="cs"/>
              </w:rPr>
              <w:t xml:space="preserve">Flat</w:t>
            </w:r>
          </w:p>
        </w:tc>
      </w:tr>
      <w:tr w:rsidR="000019C6" w:rsidRPr="00756D2A" w14:paraId="24C569CD" w14:textId="77777777" w:rsidTr="006B5E9E">
        <w:trPr>
          <w:trHeight w:val="526"/>
        </w:trPr>
        <w:tc>
          <w:tcPr>
            <w:tcW w:w="2011" w:type="dxa"/>
            <w:tcBorders>
              <w:top w:val="single" w:sz="4" w:space="0" w:color="auto"/>
              <w:left w:val="single" w:sz="4" w:space="0" w:color="auto"/>
              <w:bottom w:val="single" w:sz="4" w:space="0" w:color="auto"/>
              <w:right w:val="single" w:sz="4" w:space="0" w:color="auto"/>
            </w:tcBorders>
            <w:hideMark/>
          </w:tcPr>
          <w:p w14:paraId="1B671DBE" w14:textId="77777777" w:rsidR="000019C6" w:rsidRPr="00756D2A" w:rsidRDefault="000019C6" w:rsidP="00756D2A">
            <w:pPr>
              <w:suppressAutoHyphens/>
              <w:jc w:val="both"/>
              <w:rPr>
                <w:lang w:bidi="hi-IN"/>
              </w:rPr>
            </w:pPr>
            <w:r>
              <w:rPr>
                <w:rFonts w:hint="cs"/>
              </w:rPr>
              <w:t xml:space="preserve">4-hour: VN30–VNINDEX</w:t>
            </w:r>
          </w:p>
        </w:tc>
        <w:tc>
          <w:tcPr>
            <w:tcW w:w="2396" w:type="dxa"/>
            <w:tcBorders>
              <w:top w:val="single" w:sz="4" w:space="0" w:color="auto"/>
              <w:left w:val="single" w:sz="4" w:space="0" w:color="auto"/>
              <w:bottom w:val="single" w:sz="4" w:space="0" w:color="auto"/>
              <w:right w:val="single" w:sz="4" w:space="0" w:color="auto"/>
            </w:tcBorders>
            <w:hideMark/>
          </w:tcPr>
          <w:p w14:paraId="5DECD531" w14:textId="77777777" w:rsidR="000019C6" w:rsidRPr="00756D2A" w:rsidRDefault="000019C6" w:rsidP="00756D2A">
            <w:pPr>
              <w:jc w:val="both"/>
              <w:rPr>
                <w:lang w:val="vi-VN" w:bidi="hi-IN"/>
              </w:rPr>
            </w:pPr>
            <w:r>
              <w:rPr>
                <w:rFonts w:hint="cs"/>
              </w:rPr>
              <w:t xml:space="preserve">0.0014</w:t>
            </w:r>
          </w:p>
          <w:p w14:paraId="61BBAA77" w14:textId="77777777" w:rsidR="000019C6" w:rsidRPr="00756D2A" w:rsidRDefault="000019C6" w:rsidP="00756D2A">
            <w:pPr>
              <w:suppressAutoHyphens/>
              <w:jc w:val="both"/>
              <w:rPr>
                <w:lang w:bidi="hi-IN"/>
              </w:rPr>
            </w:pPr>
            <w:r>
              <w:rPr>
                <w:rFonts w:hint="cs"/>
              </w:rPr>
              <w:t xml:space="preserve">[−0.0056, 0.0039]</w:t>
            </w:r>
          </w:p>
        </w:tc>
        <w:tc>
          <w:tcPr>
            <w:tcW w:w="2754" w:type="dxa"/>
            <w:tcBorders>
              <w:top w:val="single" w:sz="4" w:space="0" w:color="auto"/>
              <w:left w:val="single" w:sz="4" w:space="0" w:color="auto"/>
              <w:bottom w:val="single" w:sz="4" w:space="0" w:color="auto"/>
              <w:right w:val="single" w:sz="4" w:space="0" w:color="auto"/>
            </w:tcBorders>
            <w:hideMark/>
          </w:tcPr>
          <w:p w14:paraId="7787861F" w14:textId="77777777" w:rsidR="000019C6" w:rsidRPr="00756D2A" w:rsidRDefault="000019C6" w:rsidP="00756D2A">
            <w:pPr>
              <w:jc w:val="both"/>
              <w:rPr>
                <w:lang w:val="vi-VN" w:bidi="hi-IN"/>
              </w:rPr>
            </w:pPr>
            <w:r>
              <w:rPr>
                <w:rFonts w:hint="cs"/>
              </w:rPr>
              <w:t xml:space="preserve">0.0003</w:t>
            </w:r>
          </w:p>
          <w:p w14:paraId="25314CDF" w14:textId="77777777" w:rsidR="000019C6" w:rsidRPr="00756D2A" w:rsidRDefault="000019C6" w:rsidP="00756D2A">
            <w:pPr>
              <w:suppressAutoHyphens/>
              <w:jc w:val="both"/>
              <w:rPr>
                <w:lang w:bidi="hi-IN"/>
              </w:rPr>
            </w:pPr>
            <w:r>
              <w:rPr>
                <w:rFonts w:hint="cs"/>
              </w:rPr>
              <w:t xml:space="preserve">[−0.0026, 0.0029]</w:t>
            </w:r>
          </w:p>
        </w:tc>
        <w:tc>
          <w:tcPr>
            <w:tcW w:w="2093" w:type="dxa"/>
            <w:tcBorders>
              <w:top w:val="single" w:sz="4" w:space="0" w:color="auto"/>
              <w:left w:val="single" w:sz="4" w:space="0" w:color="auto"/>
              <w:bottom w:val="single" w:sz="4" w:space="0" w:color="auto"/>
              <w:right w:val="single" w:sz="4" w:space="0" w:color="auto"/>
            </w:tcBorders>
            <w:hideMark/>
          </w:tcPr>
          <w:p w14:paraId="6F5ED95B" w14:textId="77777777" w:rsidR="000019C6" w:rsidRPr="00756D2A" w:rsidRDefault="000019C6" w:rsidP="00756D2A">
            <w:pPr>
              <w:jc w:val="both"/>
              <w:rPr>
                <w:lang w:bidi="hi-IN"/>
              </w:rPr>
            </w:pPr>
            <w:r>
              <w:rPr>
                <w:rFonts w:hint="cs"/>
              </w:rPr>
              <w:t xml:space="preserve">Flat</w:t>
            </w:r>
          </w:p>
        </w:tc>
      </w:tr>
      <w:tr w:rsidR="000019C6" w:rsidRPr="00756D2A" w14:paraId="13EE59BF" w14:textId="77777777" w:rsidTr="006B5E9E">
        <w:trPr>
          <w:trHeight w:val="512"/>
        </w:trPr>
        <w:tc>
          <w:tcPr>
            <w:tcW w:w="2011" w:type="dxa"/>
            <w:tcBorders>
              <w:top w:val="single" w:sz="4" w:space="0" w:color="auto"/>
              <w:left w:val="single" w:sz="4" w:space="0" w:color="auto"/>
              <w:bottom w:val="single" w:sz="4" w:space="0" w:color="auto"/>
              <w:right w:val="single" w:sz="4" w:space="0" w:color="auto"/>
            </w:tcBorders>
            <w:hideMark/>
          </w:tcPr>
          <w:p w14:paraId="4478ACF9" w14:textId="77777777" w:rsidR="000019C6" w:rsidRPr="00756D2A" w:rsidRDefault="000019C6" w:rsidP="00756D2A">
            <w:pPr>
              <w:suppressAutoHyphens/>
              <w:jc w:val="both"/>
              <w:rPr>
                <w:lang w:bidi="hi-IN"/>
              </w:rPr>
            </w:pPr>
            <w:r>
              <w:rPr>
                <w:rFonts w:hint="cs"/>
              </w:rPr>
              <w:t xml:space="preserve">4-hour: P</w:t>
            </w:r>
            <w:r>
              <w:rPr>
                <w:rFonts w:hint="cs"/>
                <w:vertAlign w:val="subscript"/>
              </w:rPr>
              <w:t xml:space="preserve">cap</w:t>
            </w:r>
            <w:r>
              <w:rPr>
                <w:rFonts w:hint="cs"/>
              </w:rPr>
              <w:t xml:space="preserve">–VN30</w:t>
            </w:r>
          </w:p>
        </w:tc>
        <w:tc>
          <w:tcPr>
            <w:tcW w:w="2396" w:type="dxa"/>
            <w:tcBorders>
              <w:top w:val="single" w:sz="4" w:space="0" w:color="auto"/>
              <w:left w:val="single" w:sz="4" w:space="0" w:color="auto"/>
              <w:bottom w:val="single" w:sz="4" w:space="0" w:color="auto"/>
              <w:right w:val="single" w:sz="4" w:space="0" w:color="auto"/>
            </w:tcBorders>
            <w:hideMark/>
          </w:tcPr>
          <w:p w14:paraId="64909B94" w14:textId="77777777" w:rsidR="000019C6" w:rsidRPr="00756D2A" w:rsidRDefault="000019C6" w:rsidP="00756D2A">
            <w:pPr>
              <w:jc w:val="both"/>
              <w:rPr>
                <w:lang w:val="vi-VN" w:bidi="hi-IN"/>
              </w:rPr>
            </w:pPr>
            <w:r>
              <w:rPr>
                <w:rFonts w:hint="cs"/>
              </w:rPr>
              <w:t xml:space="preserve">0.0001</w:t>
            </w:r>
          </w:p>
          <w:p w14:paraId="1AAD75C7" w14:textId="77777777" w:rsidR="000019C6" w:rsidRPr="00756D2A" w:rsidRDefault="000019C6" w:rsidP="00756D2A">
            <w:pPr>
              <w:suppressAutoHyphens/>
              <w:jc w:val="both"/>
              <w:rPr>
                <w:lang w:bidi="hi-IN"/>
              </w:rPr>
            </w:pPr>
            <w:r>
              <w:rPr>
                <w:rFonts w:hint="cs"/>
              </w:rPr>
              <w:t xml:space="preserve">[−0.0176, 0.0103]</w:t>
            </w:r>
          </w:p>
        </w:tc>
        <w:tc>
          <w:tcPr>
            <w:tcW w:w="2754" w:type="dxa"/>
            <w:tcBorders>
              <w:top w:val="single" w:sz="4" w:space="0" w:color="auto"/>
              <w:left w:val="single" w:sz="4" w:space="0" w:color="auto"/>
              <w:bottom w:val="single" w:sz="4" w:space="0" w:color="auto"/>
              <w:right w:val="single" w:sz="4" w:space="0" w:color="auto"/>
            </w:tcBorders>
            <w:hideMark/>
          </w:tcPr>
          <w:p w14:paraId="0B8C142F" w14:textId="77777777" w:rsidR="000019C6" w:rsidRPr="00756D2A" w:rsidRDefault="000019C6" w:rsidP="00756D2A">
            <w:pPr>
              <w:jc w:val="both"/>
              <w:rPr>
                <w:lang w:val="vi-VN" w:bidi="hi-IN"/>
              </w:rPr>
            </w:pPr>
            <w:r>
              <w:rPr>
                <w:rFonts w:hint="cs"/>
              </w:rPr>
              <w:t xml:space="preserve">−0.0020</w:t>
            </w:r>
          </w:p>
          <w:p w14:paraId="17EF0E17" w14:textId="77777777" w:rsidR="000019C6" w:rsidRPr="00756D2A" w:rsidRDefault="000019C6" w:rsidP="00756D2A">
            <w:pPr>
              <w:suppressAutoHyphens/>
              <w:jc w:val="both"/>
              <w:rPr>
                <w:lang w:bidi="hi-IN"/>
              </w:rPr>
            </w:pPr>
            <w:r>
              <w:rPr>
                <w:rFonts w:hint="cs"/>
              </w:rPr>
              <w:t xml:space="preserve">[−0.0124, 0.0067]</w:t>
            </w:r>
          </w:p>
        </w:tc>
        <w:tc>
          <w:tcPr>
            <w:tcW w:w="2093" w:type="dxa"/>
            <w:tcBorders>
              <w:top w:val="single" w:sz="4" w:space="0" w:color="auto"/>
              <w:left w:val="single" w:sz="4" w:space="0" w:color="auto"/>
              <w:bottom w:val="single" w:sz="4" w:space="0" w:color="auto"/>
              <w:right w:val="single" w:sz="4" w:space="0" w:color="auto"/>
            </w:tcBorders>
            <w:hideMark/>
          </w:tcPr>
          <w:p w14:paraId="48FC58FA" w14:textId="77777777" w:rsidR="000019C6" w:rsidRPr="00756D2A" w:rsidRDefault="000019C6" w:rsidP="00756D2A">
            <w:pPr>
              <w:jc w:val="both"/>
              <w:rPr>
                <w:lang w:bidi="hi-IN"/>
              </w:rPr>
            </w:pPr>
            <w:r>
              <w:rPr>
                <w:rFonts w:hint="cs"/>
              </w:rPr>
              <w:t xml:space="preserve">Flat</w:t>
            </w:r>
          </w:p>
        </w:tc>
      </w:tr>
    </w:tbl>
    <w:p w14:paraId="70B2B89D" w14:textId="54732994" w:rsidR="000019C6" w:rsidRPr="00756D2A" w:rsidRDefault="000019C6" w:rsidP="00756D2A">
      <w:pPr>
        <w:spacing w:line="300" w:lineRule="auto" w:before="60" w:after="200"/>
        <w:jc w:val="both"/>
        <w:rPr>
          <w:lang w:eastAsia="zh-CN"/>
        </w:rPr>
      </w:pPr>
      <w:r>
        <w:rPr>
          <w:rFonts w:hint="cs"/>
        </w:rPr>
        <w:t xml:space="preserve">Notes: Block-bootstrap 95% intervals (499 replications); reliable ranges from Table 3 (Gaussian). Source: Authors’ calculations.</w:t>
      </w:r>
    </w:p>
    <w:bookmarkEnd w:id="114"/>
    <w:p w14:paraId="13614398" w14:textId="627F6D99" w:rsidR="000019C6" w:rsidRPr="00756D2A" w:rsidRDefault="00000000" w:rsidP="00756D2A">
      <w:pPr>
        <w:jc w:val="both"/>
      </w:pPr>
      <w:r>
        <w:t xml:space="preserve">At the 1-hour frequency, VN30–VNINDEX again rises significantly within the reliable range (0.0024, [0.0006, 0.0041]), whereas at the daily and 4-hour frequencies no slope is distinguishable from zero. The P</w:t>
      </w:r>
      <w:r>
        <w:rPr>
          <w:vertAlign w:val="subscript"/>
        </w:rPr>
        <w:t xml:space="preserve">cap</w:t>
      </w:r>
      <w:r>
        <w:t xml:space="preserve">–VN30 slope is insignificant at every frequency. The horizon dependence documented in this study is therefore confined to broad-market pairs at the two shortest intraday frequencies.</w:t>
      </w:r>
    </w:p>
    <w:p w14:paraId="156AC88E" w14:textId="77777777" w:rsidR="000019C6" w:rsidRPr="00756D2A" w:rsidRDefault="000019C6" w:rsidP="00756D2A">
      <w:pPr>
        <w:pStyle w:val="heading20"/>
        <w:tabs>
          <w:tab w:val="clear" w:pos="567"/>
          <w:tab w:val="left" w:pos="720"/>
        </w:tabs>
        <w:spacing w:line="300" w:lineRule="auto"/>
        <w:ind w:left="0" w:firstLine="0"/>
        <w:rPr>
          <w:sz w:val="24"/>
          <w:szCs w:val="24"/>
        </w:rPr>
      </w:pPr>
      <w:r>
        <w:rPr>
          <w:rFonts w:hint="cs"/>
          <w:sz w:val="24"/>
          <w:szCs w:val="24"/>
        </w:rPr>
        <w:t xml:space="preserve">3.8.2 Sensitivity of P</w:t>
      </w:r>
      <w:r>
        <w:rPr>
          <w:rFonts w:hint="cs"/>
          <w:sz w:val="24"/>
          <w:szCs w:val="24"/>
          <w:vertAlign w:val="subscript"/>
        </w:rPr>
        <w:t xml:space="preserve">cap</w:t>
      </w:r>
      <w:r>
        <w:rPr>
          <w:rFonts w:hint="cs"/>
          <w:sz w:val="24"/>
          <w:szCs w:val="24"/>
        </w:rPr>
        <w:t xml:space="preserve"> to the Capitalization Weight</w:t>
      </w:r>
    </w:p>
    <w:p w14:paraId="3C9CBB1D" w14:textId="31FE055B" w:rsidR="000019C6" w:rsidRPr="00756D2A" w:rsidRDefault="000019C6" w:rsidP="00756D2A">
      <w:pPr>
        <w:jc w:val="both"/>
      </w:pPr>
      <w:r>
        <w:rPr>
          <w:rFonts w:hint="cs"/>
        </w:rPr>
        <w:t xml:space="preserve">Because constituent capitalizations drift with relative price movements and periodic rebalancing, Table 7 re-estimates the key P</w:t>
      </w:r>
      <w:r>
        <w:rPr>
          <w:rFonts w:hint="cs"/>
          <w:vertAlign w:val="subscript"/>
        </w:rPr>
        <w:t xml:space="preserve">cap</w:t>
      </w:r>
      <w:r>
        <w:rPr>
          <w:rFonts w:hint="cs"/>
        </w:rPr>
        <w:t xml:space="preserve"> statistics for large-cap weights from 0.60 to 0.75.</w:t>
      </w:r>
    </w:p>
    <w:p w14:paraId="63C324F8" w14:textId="77777777" w:rsidR="000019C6" w:rsidRPr="00756D2A" w:rsidRDefault="000019C6" w:rsidP="00756D2A">
      <w:pPr>
        <w:pStyle w:val="tablecaption0"/>
        <w:spacing w:line="300" w:lineRule="auto"/>
        <w:jc w:val="both"/>
        <w:rPr>
          <w:sz w:val="24"/>
          <w:szCs w:val="24"/>
        </w:rPr>
      </w:pPr>
      <w:r>
        <w:rPr>
          <w:rFonts w:hint="cs"/>
          <w:b/>
          <w:sz w:val="24"/>
          <w:szCs w:val="24"/>
        </w:rPr>
        <w:t xml:space="preserve">Table 7 </w:t>
      </w:r>
      <w:r>
        <w:rPr>
          <w:rFonts w:hint="cs"/>
          <w:sz w:val="24"/>
          <w:szCs w:val="24"/>
        </w:rPr>
        <w:t xml:space="preserve">Sensitivity of P</w:t>
      </w:r>
      <w:r>
        <w:rPr>
          <w:rFonts w:hint="cs"/>
          <w:sz w:val="24"/>
          <w:szCs w:val="24"/>
          <w:vertAlign w:val="subscript"/>
        </w:rPr>
        <w:t xml:space="preserve">cap</w:t>
      </w:r>
      <w:r>
        <w:rPr>
          <w:rFonts w:hint="cs"/>
          <w:sz w:val="24"/>
          <w:szCs w:val="24"/>
        </w:rPr>
        <w:t xml:space="preserve"> to the capitalization weight w</w:t>
      </w:r>
      <w:r>
        <w:rPr>
          <w:rFonts w:hint="cs"/>
          <w:sz w:val="24"/>
          <w:szCs w:val="24"/>
          <w:vertAlign w:val="subscript"/>
        </w:rPr>
        <w:t xml:space="preserve">30</w:t>
      </w:r>
    </w:p>
    <w:tbl>
      <w:tblPr>
        <w:tblStyle w:val="TableGrid"/>
        <w:tblW w:w="9268" w:type="dxa"/>
        <w:tblLayout w:type="fixed"/>
        <w:tblLook w:val="0020" w:firstRow="1" w:lastRow="0" w:firstColumn="0" w:lastColumn="0" w:noHBand="0" w:noVBand="0"/>
      </w:tblPr>
      <w:tblGrid>
        <w:gridCol w:w="1864"/>
        <w:gridCol w:w="2189"/>
        <w:gridCol w:w="2040"/>
        <w:gridCol w:w="1543"/>
        <w:gridCol w:w="1632"/>
      </w:tblGrid>
      <w:tr w:rsidR="000019C6" w:rsidRPr="00756D2A" w14:paraId="5FC35208" w14:textId="77777777" w:rsidTr="00CC7592">
        <w:trPr>
          <w:trHeight w:val="994"/>
        </w:trPr>
        <w:tc>
          <w:tcPr>
            <w:tcW w:w="1864" w:type="dxa"/>
            <w:tcBorders>
              <w:top w:val="single" w:sz="4" w:space="0" w:color="auto"/>
              <w:left w:val="single" w:sz="4" w:space="0" w:color="auto"/>
              <w:bottom w:val="single" w:sz="4" w:space="0" w:color="auto"/>
              <w:right w:val="single" w:sz="4" w:space="0" w:color="auto"/>
            </w:tcBorders>
            <w:hideMark/>
          </w:tcPr>
          <w:p w14:paraId="506E2B57" w14:textId="77777777" w:rsidR="000019C6" w:rsidRPr="00756D2A" w:rsidRDefault="000019C6" w:rsidP="00756D2A">
            <w:pPr>
              <w:pStyle w:val="p1a"/>
              <w:spacing w:line="300" w:lineRule="auto"/>
              <w:rPr>
                <w:sz w:val="24"/>
                <w:szCs w:val="24"/>
                <w:lang w:bidi="hi-IN"/>
              </w:rPr>
            </w:pPr>
            <w:r>
              <w:rPr>
                <w:rFonts w:hint="cs"/>
                <w:sz w:val="24"/>
                <w:szCs w:val="24"/>
              </w:rPr>
              <w:t xml:space="preserve">Weight (w</w:t>
            </w:r>
            <w:r>
              <w:rPr>
                <w:rFonts w:hint="cs"/>
                <w:sz w:val="24"/>
                <w:szCs w:val="24"/>
                <w:vertAlign w:val="subscript"/>
              </w:rPr>
              <w:t xml:space="preserve">30</w:t>
            </w:r>
            <w:r>
              <w:rPr>
                <w:rFonts w:hint="cs"/>
                <w:sz w:val="24"/>
                <w:szCs w:val="24"/>
              </w:rPr>
              <w:t xml:space="preserve">)</w:t>
            </w:r>
          </w:p>
        </w:tc>
        <w:tc>
          <w:tcPr>
            <w:tcW w:w="2189" w:type="dxa"/>
            <w:tcBorders>
              <w:top w:val="single" w:sz="4" w:space="0" w:color="auto"/>
              <w:left w:val="single" w:sz="4" w:space="0" w:color="auto"/>
              <w:bottom w:val="single" w:sz="4" w:space="0" w:color="auto"/>
              <w:right w:val="single" w:sz="4" w:space="0" w:color="auto"/>
            </w:tcBorders>
            <w:hideMark/>
          </w:tcPr>
          <w:p w14:paraId="2D817C01" w14:textId="77777777" w:rsidR="000019C6" w:rsidRPr="00756D2A" w:rsidRDefault="000019C6" w:rsidP="00756D2A">
            <w:pPr>
              <w:pStyle w:val="p1a"/>
              <w:spacing w:line="300" w:lineRule="auto"/>
              <w:rPr>
                <w:sz w:val="24"/>
                <w:szCs w:val="24"/>
                <w:lang w:bidi="hi-IN"/>
              </w:rPr>
            </w:pPr>
            <w:r>
              <w:rPr>
                <w:rFonts w:hint="cs"/>
                <w:sz w:val="24"/>
                <w:szCs w:val="24"/>
              </w:rPr>
              <w:t xml:space="preserve">Mean ρ</w:t>
            </w:r>
            <w:r>
              <w:rPr>
                <w:rFonts w:hint="cs"/>
                <w:sz w:val="24"/>
                <w:szCs w:val="24"/>
                <w:vertAlign w:val="subscript"/>
              </w:rPr>
              <w:t xml:space="preserve">DCCA</w:t>
            </w:r>
            <w:r>
              <w:rPr>
                <w:rFonts w:hint="cs"/>
                <w:sz w:val="24"/>
                <w:szCs w:val="24"/>
              </w:rPr>
              <w:t xml:space="preserve"> (1D)</w:t>
            </w:r>
          </w:p>
        </w:tc>
        <w:tc>
          <w:tcPr>
            <w:tcW w:w="2040" w:type="dxa"/>
            <w:tcBorders>
              <w:top w:val="single" w:sz="4" w:space="0" w:color="auto"/>
              <w:left w:val="single" w:sz="4" w:space="0" w:color="auto"/>
              <w:bottom w:val="single" w:sz="4" w:space="0" w:color="auto"/>
              <w:right w:val="single" w:sz="4" w:space="0" w:color="auto"/>
            </w:tcBorders>
            <w:hideMark/>
          </w:tcPr>
          <w:p w14:paraId="5B7EEC35" w14:textId="77777777" w:rsidR="000019C6" w:rsidRPr="00756D2A" w:rsidRDefault="000019C6" w:rsidP="00756D2A">
            <w:pPr>
              <w:pStyle w:val="p1a"/>
              <w:spacing w:line="300" w:lineRule="auto"/>
              <w:rPr>
                <w:sz w:val="24"/>
                <w:szCs w:val="24"/>
                <w:lang w:bidi="hi-IN"/>
              </w:rPr>
            </w:pPr>
            <w:r>
              <w:rPr>
                <w:rFonts w:hint="cs"/>
                <w:sz w:val="24"/>
                <w:szCs w:val="24"/>
              </w:rPr>
              <w:t xml:space="preserve">Slope β</w:t>
            </w:r>
            <w:r>
              <w:rPr>
                <w:rFonts w:hint="cs"/>
                <w:sz w:val="24"/>
                <w:szCs w:val="24"/>
                <w:vertAlign w:val="subscript"/>
              </w:rPr>
              <w:t xml:space="preserve">scale</w:t>
            </w:r>
            <w:r>
              <w:rPr>
                <w:rFonts w:hint="cs"/>
                <w:sz w:val="24"/>
                <w:szCs w:val="24"/>
              </w:rPr>
              <w:t xml:space="preserve"> (M30, full range)</w:t>
            </w:r>
          </w:p>
        </w:tc>
        <w:tc>
          <w:tcPr>
            <w:tcW w:w="1543" w:type="dxa"/>
            <w:tcBorders>
              <w:top w:val="single" w:sz="4" w:space="0" w:color="auto"/>
              <w:left w:val="single" w:sz="4" w:space="0" w:color="auto"/>
              <w:bottom w:val="single" w:sz="4" w:space="0" w:color="auto"/>
              <w:right w:val="single" w:sz="4" w:space="0" w:color="auto"/>
            </w:tcBorders>
            <w:hideMark/>
          </w:tcPr>
          <w:p w14:paraId="2F388FC9"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Calm ρ</w:t>
            </w:r>
            <w:r>
              <w:rPr>
                <w:rFonts w:hint="cs"/>
                <w:sz w:val="24"/>
                <w:szCs w:val="24"/>
                <w:vertAlign w:val="subscript"/>
              </w:rPr>
              <w:t xml:space="preserve">low</w:t>
            </w:r>
          </w:p>
        </w:tc>
        <w:tc>
          <w:tcPr>
            <w:tcW w:w="1632" w:type="dxa"/>
            <w:tcBorders>
              <w:top w:val="single" w:sz="4" w:space="0" w:color="auto"/>
              <w:left w:val="single" w:sz="4" w:space="0" w:color="auto"/>
              <w:bottom w:val="single" w:sz="4" w:space="0" w:color="auto"/>
              <w:right w:val="single" w:sz="4" w:space="0" w:color="auto"/>
            </w:tcBorders>
            <w:hideMark/>
          </w:tcPr>
          <w:p w14:paraId="27F0E664"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Crisis ρ</w:t>
            </w:r>
            <w:r>
              <w:rPr>
                <w:rFonts w:hint="cs"/>
                <w:sz w:val="24"/>
                <w:szCs w:val="24"/>
                <w:vertAlign w:val="subscript"/>
              </w:rPr>
              <w:t xml:space="preserve">high</w:t>
            </w:r>
          </w:p>
        </w:tc>
      </w:tr>
      <w:tr w:rsidR="000019C6" w:rsidRPr="00756D2A" w14:paraId="3C041B11"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632EF697"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0.6000</w:t>
            </w:r>
          </w:p>
        </w:tc>
        <w:tc>
          <w:tcPr>
            <w:tcW w:w="2189" w:type="dxa"/>
            <w:tcBorders>
              <w:top w:val="single" w:sz="4" w:space="0" w:color="auto"/>
              <w:left w:val="single" w:sz="4" w:space="0" w:color="auto"/>
              <w:bottom w:val="single" w:sz="4" w:space="0" w:color="auto"/>
              <w:right w:val="single" w:sz="4" w:space="0" w:color="auto"/>
            </w:tcBorders>
            <w:hideMark/>
          </w:tcPr>
          <w:p w14:paraId="1BB6D819" w14:textId="77777777" w:rsidR="000019C6" w:rsidRPr="00756D2A" w:rsidRDefault="000019C6" w:rsidP="00756D2A">
            <w:pPr>
              <w:pStyle w:val="p1a"/>
              <w:spacing w:line="300" w:lineRule="auto"/>
              <w:rPr>
                <w:sz w:val="24"/>
                <w:szCs w:val="24"/>
                <w:lang w:bidi="hi-IN"/>
              </w:rPr>
            </w:pPr>
            <w:r>
              <w:rPr>
                <w:rFonts w:hint="cs"/>
                <w:sz w:val="24"/>
                <w:szCs w:val="24"/>
              </w:rPr>
              <w:t xml:space="preserve">0.924</w:t>
            </w:r>
          </w:p>
        </w:tc>
        <w:tc>
          <w:tcPr>
            <w:tcW w:w="2040" w:type="dxa"/>
            <w:tcBorders>
              <w:top w:val="single" w:sz="4" w:space="0" w:color="auto"/>
              <w:left w:val="single" w:sz="4" w:space="0" w:color="auto"/>
              <w:bottom w:val="single" w:sz="4" w:space="0" w:color="auto"/>
              <w:right w:val="single" w:sz="4" w:space="0" w:color="auto"/>
            </w:tcBorders>
            <w:hideMark/>
          </w:tcPr>
          <w:p w14:paraId="508CF75F" w14:textId="77777777" w:rsidR="000019C6" w:rsidRPr="00756D2A" w:rsidRDefault="000019C6" w:rsidP="00756D2A">
            <w:pPr>
              <w:pStyle w:val="p1a"/>
              <w:spacing w:line="300" w:lineRule="auto"/>
              <w:rPr>
                <w:sz w:val="24"/>
                <w:szCs w:val="24"/>
                <w:lang w:bidi="hi-IN"/>
              </w:rPr>
            </w:pPr>
            <w:r>
              <w:rPr>
                <w:rFonts w:hint="cs"/>
                <w:sz w:val="24"/>
                <w:szCs w:val="24"/>
              </w:rPr>
              <w:t xml:space="preserve">0.0014</w:t>
            </w:r>
          </w:p>
        </w:tc>
        <w:tc>
          <w:tcPr>
            <w:tcW w:w="1543" w:type="dxa"/>
            <w:tcBorders>
              <w:top w:val="single" w:sz="4" w:space="0" w:color="auto"/>
              <w:left w:val="single" w:sz="4" w:space="0" w:color="auto"/>
              <w:bottom w:val="single" w:sz="4" w:space="0" w:color="auto"/>
              <w:right w:val="single" w:sz="4" w:space="0" w:color="auto"/>
            </w:tcBorders>
            <w:hideMark/>
          </w:tcPr>
          <w:p w14:paraId="4AFACB82" w14:textId="77777777" w:rsidR="000019C6" w:rsidRPr="00756D2A" w:rsidRDefault="000019C6" w:rsidP="00756D2A">
            <w:pPr>
              <w:pStyle w:val="p1a"/>
              <w:spacing w:line="300" w:lineRule="auto"/>
              <w:rPr>
                <w:sz w:val="24"/>
                <w:szCs w:val="24"/>
                <w:lang w:bidi="hi-IN"/>
              </w:rPr>
            </w:pPr>
            <w:r>
              <w:rPr>
                <w:rFonts w:hint="cs"/>
                <w:sz w:val="24"/>
                <w:szCs w:val="24"/>
              </w:rPr>
              <w:t xml:space="preserve">0.899</w:t>
            </w:r>
          </w:p>
        </w:tc>
        <w:tc>
          <w:tcPr>
            <w:tcW w:w="1632" w:type="dxa"/>
            <w:tcBorders>
              <w:top w:val="single" w:sz="4" w:space="0" w:color="auto"/>
              <w:left w:val="single" w:sz="4" w:space="0" w:color="auto"/>
              <w:bottom w:val="single" w:sz="4" w:space="0" w:color="auto"/>
              <w:right w:val="single" w:sz="4" w:space="0" w:color="auto"/>
            </w:tcBorders>
            <w:hideMark/>
          </w:tcPr>
          <w:p w14:paraId="125E0575" w14:textId="77777777" w:rsidR="000019C6" w:rsidRPr="00756D2A" w:rsidRDefault="000019C6" w:rsidP="00756D2A">
            <w:pPr>
              <w:pStyle w:val="p1a"/>
              <w:spacing w:line="300" w:lineRule="auto"/>
              <w:rPr>
                <w:sz w:val="24"/>
                <w:szCs w:val="24"/>
                <w:lang w:bidi="hi-IN"/>
              </w:rPr>
            </w:pPr>
            <w:r>
              <w:rPr>
                <w:rFonts w:hint="cs"/>
                <w:sz w:val="24"/>
                <w:szCs w:val="24"/>
              </w:rPr>
              <w:t xml:space="preserve">0.952</w:t>
            </w:r>
          </w:p>
        </w:tc>
      </w:tr>
      <w:tr w:rsidR="000019C6" w:rsidRPr="00756D2A" w14:paraId="786859CB" w14:textId="77777777" w:rsidTr="00CC7592">
        <w:trPr>
          <w:trHeight w:val="326"/>
        </w:trPr>
        <w:tc>
          <w:tcPr>
            <w:tcW w:w="1864" w:type="dxa"/>
            <w:tcBorders>
              <w:top w:val="single" w:sz="4" w:space="0" w:color="auto"/>
              <w:left w:val="single" w:sz="4" w:space="0" w:color="auto"/>
              <w:bottom w:val="single" w:sz="4" w:space="0" w:color="auto"/>
              <w:right w:val="single" w:sz="4" w:space="0" w:color="auto"/>
            </w:tcBorders>
            <w:hideMark/>
          </w:tcPr>
          <w:p w14:paraId="048F328C"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0.6500</w:t>
            </w:r>
          </w:p>
        </w:tc>
        <w:tc>
          <w:tcPr>
            <w:tcW w:w="2189" w:type="dxa"/>
            <w:tcBorders>
              <w:top w:val="single" w:sz="4" w:space="0" w:color="auto"/>
              <w:left w:val="single" w:sz="4" w:space="0" w:color="auto"/>
              <w:bottom w:val="single" w:sz="4" w:space="0" w:color="auto"/>
              <w:right w:val="single" w:sz="4" w:space="0" w:color="auto"/>
            </w:tcBorders>
            <w:hideMark/>
          </w:tcPr>
          <w:p w14:paraId="0492D066" w14:textId="77777777" w:rsidR="000019C6" w:rsidRPr="00756D2A" w:rsidRDefault="000019C6" w:rsidP="00756D2A">
            <w:pPr>
              <w:pStyle w:val="p1a"/>
              <w:spacing w:line="300" w:lineRule="auto"/>
              <w:rPr>
                <w:sz w:val="24"/>
                <w:szCs w:val="24"/>
                <w:lang w:bidi="hi-IN"/>
              </w:rPr>
            </w:pPr>
            <w:r>
              <w:rPr>
                <w:rFonts w:hint="cs"/>
                <w:sz w:val="24"/>
                <w:szCs w:val="24"/>
              </w:rPr>
              <w:t xml:space="preserve">0.903</w:t>
            </w:r>
          </w:p>
        </w:tc>
        <w:tc>
          <w:tcPr>
            <w:tcW w:w="2040" w:type="dxa"/>
            <w:tcBorders>
              <w:top w:val="single" w:sz="4" w:space="0" w:color="auto"/>
              <w:left w:val="single" w:sz="4" w:space="0" w:color="auto"/>
              <w:bottom w:val="single" w:sz="4" w:space="0" w:color="auto"/>
              <w:right w:val="single" w:sz="4" w:space="0" w:color="auto"/>
            </w:tcBorders>
            <w:hideMark/>
          </w:tcPr>
          <w:p w14:paraId="0F517AA0" w14:textId="77777777" w:rsidR="000019C6" w:rsidRPr="00756D2A" w:rsidRDefault="000019C6" w:rsidP="00756D2A">
            <w:pPr>
              <w:pStyle w:val="p1a"/>
              <w:spacing w:line="300" w:lineRule="auto"/>
              <w:rPr>
                <w:sz w:val="24"/>
                <w:szCs w:val="24"/>
                <w:lang w:bidi="hi-IN"/>
              </w:rPr>
            </w:pPr>
            <w:r>
              <w:rPr>
                <w:rFonts w:hint="cs"/>
                <w:sz w:val="24"/>
                <w:szCs w:val="24"/>
              </w:rPr>
              <w:t xml:space="preserve">0.0019</w:t>
            </w:r>
          </w:p>
        </w:tc>
        <w:tc>
          <w:tcPr>
            <w:tcW w:w="1543" w:type="dxa"/>
            <w:tcBorders>
              <w:top w:val="single" w:sz="4" w:space="0" w:color="auto"/>
              <w:left w:val="single" w:sz="4" w:space="0" w:color="auto"/>
              <w:bottom w:val="single" w:sz="4" w:space="0" w:color="auto"/>
              <w:right w:val="single" w:sz="4" w:space="0" w:color="auto"/>
            </w:tcBorders>
            <w:hideMark/>
          </w:tcPr>
          <w:p w14:paraId="43DA0DFD" w14:textId="77777777" w:rsidR="000019C6" w:rsidRPr="00756D2A" w:rsidRDefault="000019C6" w:rsidP="00756D2A">
            <w:pPr>
              <w:pStyle w:val="p1a"/>
              <w:spacing w:line="300" w:lineRule="auto"/>
              <w:rPr>
                <w:sz w:val="24"/>
                <w:szCs w:val="24"/>
                <w:lang w:bidi="hi-IN"/>
              </w:rPr>
            </w:pPr>
            <w:r>
              <w:rPr>
                <w:rFonts w:hint="cs"/>
                <w:sz w:val="24"/>
                <w:szCs w:val="24"/>
              </w:rPr>
              <w:t xml:space="preserve">0.871</w:t>
            </w:r>
          </w:p>
        </w:tc>
        <w:tc>
          <w:tcPr>
            <w:tcW w:w="1632" w:type="dxa"/>
            <w:tcBorders>
              <w:top w:val="single" w:sz="4" w:space="0" w:color="auto"/>
              <w:left w:val="single" w:sz="4" w:space="0" w:color="auto"/>
              <w:bottom w:val="single" w:sz="4" w:space="0" w:color="auto"/>
              <w:right w:val="single" w:sz="4" w:space="0" w:color="auto"/>
            </w:tcBorders>
            <w:hideMark/>
          </w:tcPr>
          <w:p w14:paraId="1F576FCA" w14:textId="77777777" w:rsidR="000019C6" w:rsidRPr="00756D2A" w:rsidRDefault="000019C6" w:rsidP="00756D2A">
            <w:pPr>
              <w:pStyle w:val="p1a"/>
              <w:spacing w:line="300" w:lineRule="auto"/>
              <w:rPr>
                <w:sz w:val="24"/>
                <w:szCs w:val="24"/>
                <w:lang w:bidi="hi-IN"/>
              </w:rPr>
            </w:pPr>
            <w:r>
              <w:rPr>
                <w:rFonts w:hint="cs"/>
                <w:sz w:val="24"/>
                <w:szCs w:val="24"/>
              </w:rPr>
              <w:t xml:space="preserve">0.937</w:t>
            </w:r>
          </w:p>
        </w:tc>
      </w:tr>
      <w:tr w:rsidR="000019C6" w:rsidRPr="00756D2A" w14:paraId="5204CD75" w14:textId="77777777" w:rsidTr="00CC7592">
        <w:trPr>
          <w:trHeight w:val="653"/>
        </w:trPr>
        <w:tc>
          <w:tcPr>
            <w:tcW w:w="1864" w:type="dxa"/>
            <w:tcBorders>
              <w:top w:val="single" w:sz="4" w:space="0" w:color="auto"/>
              <w:left w:val="single" w:sz="4" w:space="0" w:color="auto"/>
              <w:bottom w:val="single" w:sz="4" w:space="0" w:color="auto"/>
              <w:right w:val="single" w:sz="4" w:space="0" w:color="auto"/>
            </w:tcBorders>
            <w:hideMark/>
          </w:tcPr>
          <w:p w14:paraId="5649B08A"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0.6826 (baseline)</w:t>
            </w:r>
          </w:p>
        </w:tc>
        <w:tc>
          <w:tcPr>
            <w:tcW w:w="2189" w:type="dxa"/>
            <w:tcBorders>
              <w:top w:val="single" w:sz="4" w:space="0" w:color="auto"/>
              <w:left w:val="single" w:sz="4" w:space="0" w:color="auto"/>
              <w:bottom w:val="single" w:sz="4" w:space="0" w:color="auto"/>
              <w:right w:val="single" w:sz="4" w:space="0" w:color="auto"/>
            </w:tcBorders>
            <w:hideMark/>
          </w:tcPr>
          <w:p w14:paraId="64067845" w14:textId="77777777" w:rsidR="000019C6" w:rsidRPr="00756D2A" w:rsidRDefault="000019C6" w:rsidP="00756D2A">
            <w:pPr>
              <w:pStyle w:val="p1a"/>
              <w:spacing w:line="300" w:lineRule="auto"/>
              <w:rPr>
                <w:sz w:val="24"/>
                <w:szCs w:val="24"/>
                <w:lang w:bidi="hi-IN"/>
              </w:rPr>
            </w:pPr>
            <w:r>
              <w:rPr>
                <w:rFonts w:hint="cs"/>
                <w:sz w:val="24"/>
                <w:szCs w:val="24"/>
              </w:rPr>
              <w:t xml:space="preserve">0.884</w:t>
            </w:r>
          </w:p>
        </w:tc>
        <w:tc>
          <w:tcPr>
            <w:tcW w:w="2040" w:type="dxa"/>
            <w:tcBorders>
              <w:top w:val="single" w:sz="4" w:space="0" w:color="auto"/>
              <w:left w:val="single" w:sz="4" w:space="0" w:color="auto"/>
              <w:bottom w:val="single" w:sz="4" w:space="0" w:color="auto"/>
              <w:right w:val="single" w:sz="4" w:space="0" w:color="auto"/>
            </w:tcBorders>
            <w:hideMark/>
          </w:tcPr>
          <w:p w14:paraId="6740DC9C" w14:textId="77777777" w:rsidR="000019C6" w:rsidRPr="00756D2A" w:rsidRDefault="000019C6" w:rsidP="00756D2A">
            <w:pPr>
              <w:pStyle w:val="p1a"/>
              <w:spacing w:line="300" w:lineRule="auto"/>
              <w:rPr>
                <w:sz w:val="24"/>
                <w:szCs w:val="24"/>
                <w:lang w:bidi="hi-IN"/>
              </w:rPr>
            </w:pPr>
            <w:r>
              <w:rPr>
                <w:rFonts w:hint="cs"/>
                <w:sz w:val="24"/>
                <w:szCs w:val="24"/>
              </w:rPr>
              <w:t xml:space="preserve">0.0025</w:t>
            </w:r>
          </w:p>
        </w:tc>
        <w:tc>
          <w:tcPr>
            <w:tcW w:w="1543" w:type="dxa"/>
            <w:tcBorders>
              <w:top w:val="single" w:sz="4" w:space="0" w:color="auto"/>
              <w:left w:val="single" w:sz="4" w:space="0" w:color="auto"/>
              <w:bottom w:val="single" w:sz="4" w:space="0" w:color="auto"/>
              <w:right w:val="single" w:sz="4" w:space="0" w:color="auto"/>
            </w:tcBorders>
            <w:hideMark/>
          </w:tcPr>
          <w:p w14:paraId="3E5C3BF1" w14:textId="77777777" w:rsidR="000019C6" w:rsidRPr="00756D2A" w:rsidRDefault="000019C6" w:rsidP="00756D2A">
            <w:pPr>
              <w:pStyle w:val="p1a"/>
              <w:spacing w:line="300" w:lineRule="auto"/>
              <w:rPr>
                <w:sz w:val="24"/>
                <w:szCs w:val="24"/>
                <w:lang w:bidi="hi-IN"/>
              </w:rPr>
            </w:pPr>
            <w:r>
              <w:rPr>
                <w:rFonts w:hint="cs"/>
                <w:sz w:val="24"/>
                <w:szCs w:val="24"/>
              </w:rPr>
              <w:t xml:space="preserve">0.847</w:t>
            </w:r>
          </w:p>
        </w:tc>
        <w:tc>
          <w:tcPr>
            <w:tcW w:w="1632" w:type="dxa"/>
            <w:tcBorders>
              <w:top w:val="single" w:sz="4" w:space="0" w:color="auto"/>
              <w:left w:val="single" w:sz="4" w:space="0" w:color="auto"/>
              <w:bottom w:val="single" w:sz="4" w:space="0" w:color="auto"/>
              <w:right w:val="single" w:sz="4" w:space="0" w:color="auto"/>
            </w:tcBorders>
            <w:hideMark/>
          </w:tcPr>
          <w:p w14:paraId="73745C46" w14:textId="77777777" w:rsidR="000019C6" w:rsidRPr="00756D2A" w:rsidRDefault="000019C6" w:rsidP="00756D2A">
            <w:pPr>
              <w:pStyle w:val="p1a"/>
              <w:spacing w:line="300" w:lineRule="auto"/>
              <w:rPr>
                <w:sz w:val="24"/>
                <w:szCs w:val="24"/>
                <w:lang w:bidi="hi-IN"/>
              </w:rPr>
            </w:pPr>
            <w:r>
              <w:rPr>
                <w:rFonts w:hint="cs"/>
                <w:sz w:val="24"/>
                <w:szCs w:val="24"/>
              </w:rPr>
              <w:t xml:space="preserve">0.924</w:t>
            </w:r>
          </w:p>
        </w:tc>
      </w:tr>
      <w:tr w:rsidR="000019C6" w:rsidRPr="00756D2A" w14:paraId="273781E6" w14:textId="77777777" w:rsidTr="00CC7592">
        <w:trPr>
          <w:trHeight w:val="340"/>
        </w:trPr>
        <w:tc>
          <w:tcPr>
            <w:tcW w:w="1864" w:type="dxa"/>
            <w:tcBorders>
              <w:top w:val="single" w:sz="4" w:space="0" w:color="auto"/>
              <w:left w:val="single" w:sz="4" w:space="0" w:color="auto"/>
              <w:bottom w:val="single" w:sz="4" w:space="0" w:color="auto"/>
              <w:right w:val="single" w:sz="4" w:space="0" w:color="auto"/>
            </w:tcBorders>
            <w:hideMark/>
          </w:tcPr>
          <w:p w14:paraId="1D4AEE3A"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0.7200</w:t>
            </w:r>
          </w:p>
        </w:tc>
        <w:tc>
          <w:tcPr>
            <w:tcW w:w="2189" w:type="dxa"/>
            <w:tcBorders>
              <w:top w:val="single" w:sz="4" w:space="0" w:color="auto"/>
              <w:left w:val="single" w:sz="4" w:space="0" w:color="auto"/>
              <w:bottom w:val="single" w:sz="4" w:space="0" w:color="auto"/>
              <w:right w:val="single" w:sz="4" w:space="0" w:color="auto"/>
            </w:tcBorders>
            <w:hideMark/>
          </w:tcPr>
          <w:p w14:paraId="5EA1F00D" w14:textId="77777777" w:rsidR="000019C6" w:rsidRPr="00756D2A" w:rsidRDefault="000019C6" w:rsidP="00756D2A">
            <w:pPr>
              <w:pStyle w:val="p1a"/>
              <w:spacing w:line="300" w:lineRule="auto"/>
              <w:rPr>
                <w:sz w:val="24"/>
                <w:szCs w:val="24"/>
                <w:lang w:bidi="hi-IN"/>
              </w:rPr>
            </w:pPr>
            <w:r>
              <w:rPr>
                <w:rFonts w:hint="cs"/>
                <w:sz w:val="24"/>
                <w:szCs w:val="24"/>
              </w:rPr>
              <w:t xml:space="preserve">0.855</w:t>
            </w:r>
          </w:p>
        </w:tc>
        <w:tc>
          <w:tcPr>
            <w:tcW w:w="2040" w:type="dxa"/>
            <w:tcBorders>
              <w:top w:val="single" w:sz="4" w:space="0" w:color="auto"/>
              <w:left w:val="single" w:sz="4" w:space="0" w:color="auto"/>
              <w:bottom w:val="single" w:sz="4" w:space="0" w:color="auto"/>
              <w:right w:val="single" w:sz="4" w:space="0" w:color="auto"/>
            </w:tcBorders>
            <w:hideMark/>
          </w:tcPr>
          <w:p w14:paraId="0582F96B" w14:textId="77777777" w:rsidR="000019C6" w:rsidRPr="00756D2A" w:rsidRDefault="000019C6" w:rsidP="00756D2A">
            <w:pPr>
              <w:pStyle w:val="p1a"/>
              <w:spacing w:line="300" w:lineRule="auto"/>
              <w:rPr>
                <w:sz w:val="24"/>
                <w:szCs w:val="24"/>
                <w:lang w:bidi="hi-IN"/>
              </w:rPr>
            </w:pPr>
            <w:r>
              <w:rPr>
                <w:rFonts w:hint="cs"/>
                <w:sz w:val="24"/>
                <w:szCs w:val="24"/>
              </w:rPr>
              <w:t xml:space="preserve">0.0033</w:t>
            </w:r>
          </w:p>
        </w:tc>
        <w:tc>
          <w:tcPr>
            <w:tcW w:w="1543" w:type="dxa"/>
            <w:tcBorders>
              <w:top w:val="single" w:sz="4" w:space="0" w:color="auto"/>
              <w:left w:val="single" w:sz="4" w:space="0" w:color="auto"/>
              <w:bottom w:val="single" w:sz="4" w:space="0" w:color="auto"/>
              <w:right w:val="single" w:sz="4" w:space="0" w:color="auto"/>
            </w:tcBorders>
            <w:hideMark/>
          </w:tcPr>
          <w:p w14:paraId="0CA7376B" w14:textId="77777777" w:rsidR="000019C6" w:rsidRPr="00756D2A" w:rsidRDefault="000019C6" w:rsidP="00756D2A">
            <w:pPr>
              <w:pStyle w:val="p1a"/>
              <w:spacing w:line="300" w:lineRule="auto"/>
              <w:rPr>
                <w:sz w:val="24"/>
                <w:szCs w:val="24"/>
                <w:lang w:bidi="hi-IN"/>
              </w:rPr>
            </w:pPr>
            <w:r>
              <w:rPr>
                <w:rFonts w:hint="cs"/>
                <w:sz w:val="24"/>
                <w:szCs w:val="24"/>
              </w:rPr>
              <w:t xml:space="preserve">0.812</w:t>
            </w:r>
          </w:p>
        </w:tc>
        <w:tc>
          <w:tcPr>
            <w:tcW w:w="1632" w:type="dxa"/>
            <w:tcBorders>
              <w:top w:val="single" w:sz="4" w:space="0" w:color="auto"/>
              <w:left w:val="single" w:sz="4" w:space="0" w:color="auto"/>
              <w:bottom w:val="single" w:sz="4" w:space="0" w:color="auto"/>
              <w:right w:val="single" w:sz="4" w:space="0" w:color="auto"/>
            </w:tcBorders>
            <w:hideMark/>
          </w:tcPr>
          <w:p w14:paraId="0605CA88" w14:textId="77777777" w:rsidR="000019C6" w:rsidRPr="00756D2A" w:rsidRDefault="000019C6" w:rsidP="00756D2A">
            <w:pPr>
              <w:pStyle w:val="p1a"/>
              <w:spacing w:line="300" w:lineRule="auto"/>
              <w:rPr>
                <w:sz w:val="24"/>
                <w:szCs w:val="24"/>
                <w:lang w:bidi="hi-IN"/>
              </w:rPr>
            </w:pPr>
            <w:r>
              <w:rPr>
                <w:rFonts w:hint="cs"/>
                <w:sz w:val="24"/>
                <w:szCs w:val="24"/>
              </w:rPr>
              <w:t xml:space="preserve">0.904</w:t>
            </w:r>
          </w:p>
        </w:tc>
      </w:tr>
      <w:tr w:rsidR="000019C6" w:rsidRPr="00756D2A" w14:paraId="1C9C1352" w14:textId="77777777" w:rsidTr="00CC7592">
        <w:trPr>
          <w:trHeight w:val="313"/>
        </w:trPr>
        <w:tc>
          <w:tcPr>
            <w:tcW w:w="1864" w:type="dxa"/>
            <w:tcBorders>
              <w:top w:val="single" w:sz="4" w:space="0" w:color="auto"/>
              <w:left w:val="single" w:sz="4" w:space="0" w:color="auto"/>
              <w:bottom w:val="single" w:sz="4" w:space="0" w:color="auto"/>
              <w:right w:val="single" w:sz="4" w:space="0" w:color="auto"/>
            </w:tcBorders>
            <w:hideMark/>
          </w:tcPr>
          <w:p w14:paraId="177F1AC4" w14:textId="77777777" w:rsidR="000019C6" w:rsidRPr="00756D2A" w:rsidRDefault="000019C6" w:rsidP="00756D2A">
            <w:pPr>
              <w:pStyle w:val="p1a"/>
              <w:suppressAutoHyphens/>
              <w:spacing w:line="300" w:lineRule="auto"/>
              <w:rPr>
                <w:sz w:val="24"/>
                <w:szCs w:val="24"/>
                <w:lang w:bidi="hi-IN"/>
              </w:rPr>
            </w:pPr>
            <w:r>
              <w:rPr>
                <w:rFonts w:hint="cs"/>
                <w:sz w:val="24"/>
                <w:szCs w:val="24"/>
              </w:rPr>
              <w:t xml:space="preserve">0.7500</w:t>
            </w:r>
          </w:p>
        </w:tc>
        <w:tc>
          <w:tcPr>
            <w:tcW w:w="2189" w:type="dxa"/>
            <w:tcBorders>
              <w:top w:val="single" w:sz="4" w:space="0" w:color="auto"/>
              <w:left w:val="single" w:sz="4" w:space="0" w:color="auto"/>
              <w:bottom w:val="single" w:sz="4" w:space="0" w:color="auto"/>
              <w:right w:val="single" w:sz="4" w:space="0" w:color="auto"/>
            </w:tcBorders>
            <w:hideMark/>
          </w:tcPr>
          <w:p w14:paraId="02328C40" w14:textId="77777777" w:rsidR="000019C6" w:rsidRPr="00756D2A" w:rsidRDefault="000019C6" w:rsidP="00756D2A">
            <w:pPr>
              <w:pStyle w:val="p1a"/>
              <w:spacing w:line="300" w:lineRule="auto"/>
              <w:rPr>
                <w:sz w:val="24"/>
                <w:szCs w:val="24"/>
                <w:lang w:bidi="hi-IN"/>
              </w:rPr>
            </w:pPr>
            <w:r>
              <w:rPr>
                <w:rFonts w:hint="cs"/>
                <w:sz w:val="24"/>
                <w:szCs w:val="24"/>
              </w:rPr>
              <w:t xml:space="preserve">0.824</w:t>
            </w:r>
          </w:p>
        </w:tc>
        <w:tc>
          <w:tcPr>
            <w:tcW w:w="2040" w:type="dxa"/>
            <w:tcBorders>
              <w:top w:val="single" w:sz="4" w:space="0" w:color="auto"/>
              <w:left w:val="single" w:sz="4" w:space="0" w:color="auto"/>
              <w:bottom w:val="single" w:sz="4" w:space="0" w:color="auto"/>
              <w:right w:val="single" w:sz="4" w:space="0" w:color="auto"/>
            </w:tcBorders>
            <w:hideMark/>
          </w:tcPr>
          <w:p w14:paraId="683B2BD2" w14:textId="77777777" w:rsidR="000019C6" w:rsidRPr="00756D2A" w:rsidRDefault="000019C6" w:rsidP="00756D2A">
            <w:pPr>
              <w:pStyle w:val="p1a"/>
              <w:spacing w:line="300" w:lineRule="auto"/>
              <w:rPr>
                <w:sz w:val="24"/>
                <w:szCs w:val="24"/>
                <w:lang w:bidi="hi-IN"/>
              </w:rPr>
            </w:pPr>
            <w:r>
              <w:rPr>
                <w:rFonts w:hint="cs"/>
                <w:sz w:val="24"/>
                <w:szCs w:val="24"/>
              </w:rPr>
              <w:t xml:space="preserve">0.0043</w:t>
            </w:r>
          </w:p>
        </w:tc>
        <w:tc>
          <w:tcPr>
            <w:tcW w:w="1543" w:type="dxa"/>
            <w:tcBorders>
              <w:top w:val="single" w:sz="4" w:space="0" w:color="auto"/>
              <w:left w:val="single" w:sz="4" w:space="0" w:color="auto"/>
              <w:bottom w:val="single" w:sz="4" w:space="0" w:color="auto"/>
              <w:right w:val="single" w:sz="4" w:space="0" w:color="auto"/>
            </w:tcBorders>
            <w:hideMark/>
          </w:tcPr>
          <w:p w14:paraId="410CF673" w14:textId="77777777" w:rsidR="000019C6" w:rsidRPr="00756D2A" w:rsidRDefault="000019C6" w:rsidP="00756D2A">
            <w:pPr>
              <w:pStyle w:val="p1a"/>
              <w:spacing w:line="300" w:lineRule="auto"/>
              <w:rPr>
                <w:sz w:val="24"/>
                <w:szCs w:val="24"/>
                <w:lang w:bidi="hi-IN"/>
              </w:rPr>
            </w:pPr>
            <w:r>
              <w:rPr>
                <w:rFonts w:hint="cs"/>
                <w:sz w:val="24"/>
                <w:szCs w:val="24"/>
              </w:rPr>
              <w:t xml:space="preserve">0.775</w:t>
            </w:r>
          </w:p>
        </w:tc>
        <w:tc>
          <w:tcPr>
            <w:tcW w:w="1632" w:type="dxa"/>
            <w:tcBorders>
              <w:top w:val="single" w:sz="4" w:space="0" w:color="auto"/>
              <w:left w:val="single" w:sz="4" w:space="0" w:color="auto"/>
              <w:bottom w:val="single" w:sz="4" w:space="0" w:color="auto"/>
              <w:right w:val="single" w:sz="4" w:space="0" w:color="auto"/>
            </w:tcBorders>
            <w:hideMark/>
          </w:tcPr>
          <w:p w14:paraId="29577E7C" w14:textId="77777777" w:rsidR="000019C6" w:rsidRPr="00756D2A" w:rsidRDefault="000019C6" w:rsidP="00756D2A">
            <w:pPr>
              <w:pStyle w:val="p1a"/>
              <w:spacing w:line="300" w:lineRule="auto"/>
              <w:rPr>
                <w:sz w:val="24"/>
                <w:szCs w:val="24"/>
                <w:lang w:bidi="hi-IN"/>
              </w:rPr>
            </w:pPr>
            <w:r>
              <w:rPr>
                <w:rFonts w:hint="cs"/>
                <w:sz w:val="24"/>
                <w:szCs w:val="24"/>
              </w:rPr>
              <w:t xml:space="preserve">0.881</w:t>
            </w:r>
          </w:p>
        </w:tc>
      </w:tr>
    </w:tbl>
    <w:p w14:paraId="2A9DF414" w14:textId="77777777" w:rsidR="000019C6" w:rsidRPr="00756D2A" w:rsidRDefault="000019C6" w:rsidP="00756D2A">
      <w:pPr>
        <w:spacing w:line="300" w:lineRule="auto" w:before="60" w:after="200"/>
        <w:jc w:val="both"/>
        <w:rPr>
          <w:lang w:eastAsia="zh-CN"/>
        </w:rPr>
      </w:pPr>
      <w:r>
        <w:rPr>
          <w:rFonts w:hint="cs"/>
        </w:rPr>
        <w:t xml:space="preserve">Notes: ρ</w:t>
      </w:r>
      <w:r>
        <w:rPr>
          <w:rFonts w:hint="cs"/>
          <w:vertAlign w:val="subscript"/>
        </w:rPr>
        <w:t xml:space="preserve">low</w:t>
      </w:r>
      <w:r>
        <w:rPr>
          <w:rFonts w:hint="cs"/>
        </w:rPr>
        <w:t xml:space="preserve"> and ρ</w:t>
      </w:r>
      <w:r>
        <w:rPr>
          <w:rFonts w:hint="cs"/>
          <w:vertAlign w:val="subscript"/>
        </w:rPr>
        <w:t xml:space="preserve">high</w:t>
      </w:r>
      <w:r>
        <w:rPr>
          <w:rFonts w:hint="cs"/>
        </w:rPr>
        <w:t xml:space="preserve"> are Pearson correlations in the chronological regimes (Table 4, Panel A); slopes are point estimates (inference in Table 5). Source: Authors’ calculations.</w:t>
      </w:r>
    </w:p>
    <w:p w14:paraId="08A95B17" w14:textId="77777777" w:rsidR="000019C6" w:rsidRPr="00756D2A" w:rsidRDefault="000019C6" w:rsidP="00756D2A">
      <w:pPr>
        <w:jc w:val="both"/>
      </w:pPr>
      <w:r>
        <w:rPr>
          <w:rFonts w:hint="cs"/>
        </w:rPr>
        <w:t xml:space="preserve">Table 7 shows that a higher large-cap weight removes more of the VN30 component and therefore lowers the P</w:t>
      </w:r>
      <w:r>
        <w:rPr>
          <w:rFonts w:hint="cs"/>
          <w:vertAlign w:val="subscript"/>
        </w:rPr>
        <w:t xml:space="preserve">cap</w:t>
      </w:r>
      <w:r>
        <w:rPr>
          <w:rFonts w:hint="cs"/>
        </w:rPr>
        <w:t xml:space="preserve">–VN30 correlation (from 0.924 at a weight of 0.60 to 0.824 at 0.75). The level of the purged correlation is thus conditional on the assumed weight, but the qualitative conclusions are not: in every specification the P</w:t>
      </w:r>
      <w:r>
        <w:rPr>
          <w:rFonts w:hint="cs"/>
          <w:vertAlign w:val="subscript"/>
        </w:rPr>
        <w:t xml:space="preserve">cap</w:t>
      </w:r>
      <w:r>
        <w:rPr>
          <w:rFonts w:hint="cs"/>
        </w:rPr>
        <w:t xml:space="preserve"> correlation remains at least 0.05 below the 0.977 average of the nested daily pairs, and the raw crisis tightening (0.053–0.106) remains modest relative to the accompanying volatility expansion.</w:t>
      </w:r>
    </w:p>
    <w:p w14:paraId="1189EBB7" w14:textId="77777777" w:rsidR="000019C6" w:rsidRPr="00756D2A" w:rsidRDefault="000019C6" w:rsidP="00756D2A">
      <w:pPr>
        <w:pStyle w:val="heading1"/>
        <w:numPr>
          <w:ilvl w:val="0"/>
          <w:numId w:val="0"/>
        </w:numPr>
        <w:tabs>
          <w:tab w:val="left" w:pos="720"/>
        </w:tabs>
        <w:spacing w:line="300" w:lineRule="auto"/>
        <w:jc w:val="both"/>
        <w:rPr>
          <w:szCs w:val="24"/>
        </w:rPr>
      </w:pPr>
      <w:r>
        <w:rPr>
          <w:rFonts w:hint="cs"/>
          <w:szCs w:val="24"/>
        </w:rPr>
        <w:t xml:space="preserve">4 Discussion</w:t>
      </w: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4.1 Principal Findings</w:t>
      </w:r>
    </w:p>
    <w:p w14:paraId="5BAB5D37" w14:textId="77777777" w:rsidR="000019C6" w:rsidRPr="00756D2A" w:rsidRDefault="000019C6" w:rsidP="00756D2A">
      <w:pPr>
        <w:jc w:val="both"/>
      </w:pPr>
      <w:r>
        <w:rPr>
          <w:rFonts w:hint="cs"/>
        </w:rPr>
        <w:t xml:space="preserve">We examine multiscale cross-correlations and constituent overlap among nested equity benchmarks in Vietnam. Using DCCA and MF-DCCA on intraday and daily data, we separate the effect of shared capitalization from economic co-movement.</w:t>
      </w:r>
    </w:p>
    <w:p w14:paraId="5823F38D" w14:textId="6BDC060D" w:rsidR="000019C6" w:rsidRPr="00756D2A" w:rsidRDefault="000019C6" w:rsidP="00756D2A">
      <w:pPr>
        <w:jc w:val="both"/>
      </w:pPr>
      <w:r>
        <w:rPr>
          <w:rFonts w:hint="cs"/>
        </w:rPr>
        <w:t xml:space="preserve">Three findings stand out.</w:t>
      </w:r>
    </w:p>
    <w:p w14:paraId="764349A0" w14:textId="77777777" w:rsidR="000019C6" w:rsidRPr="00756D2A" w:rsidRDefault="000019C6" w:rsidP="00756D2A">
      <w:pPr>
        <w:jc w:val="both"/>
      </w:pPr>
    </w:p>
    <w:p w14:paraId="0E6C846D" w14:textId="77777777" w:rsidR="000019C6" w:rsidRPr="00756D2A" w:rsidRDefault="000019C6" w:rsidP="00756D2A">
      <w:pPr>
        <w:jc w:val="both"/>
      </w:pPr>
      <w:r>
        <w:rPr>
          <w:rFonts w:hint="cs"/>
        </w:rPr>
        <w:t xml:space="preserve">First, index pairs that embed large-cap constituents within broader benchmarks exhibit cross-correlations inflated by index engineering. Purging shared constituent capitalization through a market-weighted proxy lowers the correlation by about 0.09, a gap whose bootstrap intervals exclude zero, although the purged co-movement remains high. Horizon dependence is confined to broad-market pairs at the shortest intraday frequencies; the purged mid-cap correlation is statistically flat across horizons.</w:t>
      </w:r>
    </w:p>
    <w:p w14:paraId="74210277" w14:textId="77777777" w:rsidR="000019C6" w:rsidRPr="00756D2A" w:rsidRDefault="000019C6" w:rsidP="00756D2A">
      <w:pPr>
        <w:jc w:val="both"/>
      </w:pPr>
    </w:p>
    <w:p w14:paraId="31688A44" w14:textId="77777777" w:rsidR="000019C6" w:rsidRPr="00756D2A" w:rsidRDefault="000019C6" w:rsidP="00756D2A">
      <w:pPr>
        <w:jc w:val="both"/>
      </w:pPr>
      <w:r>
        <w:rPr>
          <w:rFonts w:hint="cs"/>
        </w:rPr>
        <w:t xml:space="preserve">Second, once volatility is conditioned on, there is no evidence that cross-tier co-movement rises structurally during market turmoil. Systemic stress raises volatility across capitalization tiers, so diversification benefits shrink when they are most needed even though the underlying dependence appears stable; small structural increases cannot be excluded given the power of the test.</w:t>
      </w:r>
    </w:p>
    <w:p w14:paraId="128D0FEC" w14:textId="77777777" w:rsidR="000019C6" w:rsidRPr="00756D2A" w:rsidRDefault="000019C6" w:rsidP="00756D2A">
      <w:pPr>
        <w:jc w:val="both"/>
      </w:pPr>
    </w:p>
    <w:p w14:paraId="48A89392" w14:textId="77777777" w:rsidR="000019C6" w:rsidRPr="00756D2A" w:rsidRDefault="000019C6" w:rsidP="00756D2A">
      <w:pPr>
        <w:jc w:val="both"/>
      </w:pPr>
      <w:r>
        <w:rPr>
          <w:rFonts w:hint="cs"/>
        </w:rPr>
        <w:t xml:space="preserve">Third, cash portfolios composed of nested parent–child indices experience negligible variance misstatement, whereas static correlations misstate the risk of mid-cap factor exposures: in-sample, they overstate variance by 2.2–9.4% in calm regimes and understate it by about 2% during crises.</w:t>
      </w:r>
    </w:p>
    <w:p w14:paraId="063222C8"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4.2 Implications for Capital Markets</w:t>
      </w:r>
    </w:p>
    <w:p w14:paraId="0D603A3A" w14:textId="77777777" w:rsidR="000019C6" w:rsidRPr="00756D2A" w:rsidRDefault="000019C6" w:rsidP="00756D2A">
      <w:pPr>
        <w:jc w:val="both"/>
      </w:pPr>
    </w:p>
    <w:p w14:paraId="3FA66F6E" w14:textId="77777777" w:rsidR="000019C6" w:rsidRPr="00756D2A" w:rsidRDefault="000019C6" w:rsidP="00756D2A">
      <w:pPr>
        <w:jc w:val="both"/>
      </w:pPr>
      <w:r>
        <w:rPr>
          <w:rFonts w:hint="cs"/>
        </w:rPr>
        <w:t xml:space="preserve">These findings carry implications for institutional investors, index providers and regulators in Vietnam; for other ASEAN markets with nested architectures, such as Malaysia, Thailand and Indonesia, they are hypotheses to be tested rather than established results.</w:t>
      </w:r>
    </w:p>
    <w:p w14:paraId="6F0D96D1" w14:textId="77777777" w:rsidR="000019C6" w:rsidRPr="00756D2A" w:rsidRDefault="000019C6" w:rsidP="00756D2A">
      <w:pPr>
        <w:jc w:val="both"/>
      </w:pPr>
    </w:p>
    <w:p w14:paraId="775FB12E" w14:textId="77777777" w:rsidR="000019C6" w:rsidRPr="00756D2A" w:rsidRDefault="000019C6" w:rsidP="00756D2A">
      <w:pPr>
        <w:jc w:val="both"/>
      </w:pPr>
      <w:r w:rsidRPr="00756D2A">
        <w:rPr>
          <w:rFonts w:hint="cs"/>
        </w:rPr>
        <w:t xml:space="preserve">For institutional portfolio management, allocators in Vietnam gain little diversification from blending large-cap and broad-market parent–child indices. When constructing multi-capitalization strategies, risk managers should replace static correlation assumptions with volatility-regime-conditioned covariance frameworks that recognize both overstated risk in tranquil periods and elevated co-movement during market distress.</w:t>
      </w:r>
    </w:p>
    <w:p w14:paraId="2D1D2913" w14:textId="77777777" w:rsidR="000019C6" w:rsidRPr="00756D2A" w:rsidRDefault="000019C6" w:rsidP="00756D2A">
      <w:pPr>
        <w:jc w:val="both"/>
      </w:pPr>
    </w:p>
    <w:p w14:paraId="52BD7F04" w14:textId="77777777" w:rsidR="000019C6" w:rsidRPr="00756D2A" w:rsidRDefault="000019C6" w:rsidP="00756D2A">
      <w:pPr>
        <w:jc w:val="both"/>
      </w:pPr>
      <w:r>
        <w:rPr>
          <w:rFonts w:hint="cs"/>
        </w:rPr>
        <w:t xml:space="preserve">For index design, the HOSE and index providers in Vietnam could promote standalone, non-overlapping segment benchmarks. Exchange-traded funds that track the VNMIDCAP (VN70) index would give institutional investors a mid-cap building block without the hidden overlap of headline index blends.</w:t>
      </w:r>
    </w:p>
    <w:p w14:paraId="4ABE905F" w14:textId="77777777" w:rsidR="000019C6" w:rsidRPr="00756D2A" w:rsidRDefault="000019C6" w:rsidP="00756D2A">
      <w:pPr>
        <w:jc w:val="both"/>
      </w:pPr>
    </w:p>
    <w:p w14:paraId="0BB57723" w14:textId="77777777" w:rsidR="000019C6" w:rsidRPr="00756D2A" w:rsidRDefault="000019C6" w:rsidP="00756D2A">
      <w:pPr>
        <w:jc w:val="both"/>
      </w:pPr>
      <w:r>
        <w:rPr>
          <w:rFonts w:hint="cs"/>
        </w:rPr>
        <w:t xml:space="preserve">Finally, futures on mid-cap and sector indices, in addition to the existing VN30 futures, would let institutional investors hedge cross-tier exposure without selling cash positions during market stress.</w:t>
      </w:r>
    </w:p>
    <w:p w14:paraId="4BA83F66"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4.3 Limitations and Future Research</w:t>
      </w:r>
    </w:p>
    <w:p w14:paraId="0BB57723" w14:textId="77777777" w:rsidR="000019C6" w:rsidRPr="00756D2A" w:rsidRDefault="000019C6" w:rsidP="00756D2A">
      <w:pPr>
        <w:jc w:val="both"/>
      </w:pPr>
      <w:r>
        <w:rPr>
          <w:rFonts w:hint="cs"/>
        </w:rPr>
        <w:t xml:space="preserve">This study has limitations that suggest directions for future research. First, the mid-cap segment is identified through a capitalization-weighted decomposition based on a single factsheet snapshot of free-float weights. Although Section 3.8.2 shows that the conclusions are robust to weights between 0.60 and 0.75, validating the proxy against the exchange-published VNMIDCAP (VN70) index at all four frequencies, and reconstructing the historical VN30 weight from semi-annual constituent reviews, would sharpen identification.</w:t>
      </w:r>
    </w:p>
    <w:p w14:paraId="4BA83F66" w14:textId="77777777" w:rsidR="000019C6" w:rsidRPr="00756D2A" w:rsidRDefault="000019C6" w:rsidP="00756D2A">
      <w:pPr>
        <w:jc w:val="both"/>
      </w:pPr>
    </w:p>
    <w:p w14:paraId="0BB57723" w14:textId="77777777" w:rsidR="000019C6" w:rsidRPr="00756D2A" w:rsidRDefault="000019C6" w:rsidP="00756D2A">
      <w:pPr>
        <w:jc w:val="both"/>
      </w:pPr>
      <w:r>
        <w:rPr>
          <w:rFonts w:hint="cs"/>
        </w:rPr>
        <w:t xml:space="preserve">Second, index-level closing prices cannot separate microstructure frictions (Epps 1979) from gradual information diffusion (Hong and Stein 1999); constituent-level tick data would allow these channels to be disentangled. Third, the Forbes and Rigobon (2002) adjustment assumes exogenous large-cap shocks, which forced deleveraging may weaken, and its power against small structural changes is limited; regime-switching or heteroskedasticity-based identification could provide complementary evidence. Fourth, regimes are classified ex post, so an out-of-sample evaluation of regime-conditioned risk budgets is needed before the portfolio results can guide practice. Finally, applying the framework to the nested index systems of Malaysia, Thailand and Indonesia would test the hypothesis that trading restrictions shape multiscale price synchronization.</w:t>
      </w:r>
    </w:p>
    <w:p w14:paraId="4BA83F66" w14:textId="77777777" w:rsidR="000019C6" w:rsidRPr="00756D2A" w:rsidRDefault="000019C6" w:rsidP="00756D2A">
      <w:pPr>
        <w:jc w:val="both"/>
      </w:pPr>
    </w:p>
    <w:p w14:paraId="4C6D04DC" w14:textId="77777777" w:rsidR="000019C6" w:rsidRPr="00756D2A" w:rsidRDefault="000019C6" w:rsidP="00756D2A">
      <w:pPr>
        <w:pStyle w:val="heading20"/>
        <w:tabs>
          <w:tab w:val="clear" w:pos="567"/>
          <w:tab w:val="left" w:pos="720"/>
        </w:tabs>
        <w:ind w:left="0" w:firstLine="0"/>
        <w:rPr>
          <w:sz w:val="24"/>
          <w:szCs w:val="24"/>
          <w:lang w:val="vi-VN"/>
        </w:rPr>
      </w:pPr>
      <w:r>
        <w:rPr>
          <w:rFonts w:eastAsia="null" w:hint="cs"/>
          <w:sz w:val="24"/>
          <w:szCs w:val="24"/>
        </w:rPr>
        <w:t xml:space="preserve">4.4 Conclusion</w:t>
      </w:r>
    </w:p>
    <w:p w14:paraId="0BB57723" w14:textId="77777777" w:rsidR="000019C6" w:rsidRPr="00756D2A" w:rsidRDefault="000019C6" w:rsidP="00756D2A">
      <w:pPr>
        <w:jc w:val="both"/>
      </w:pPr>
      <w:r>
        <w:rPr>
          <w:rFonts w:hint="cs"/>
        </w:rPr>
        <w:t xml:space="preserve">Nested equity indices on the HOSE overstate the co-movement between large caps and the rest of the market because they share constituents. A capitalization-weighted decomposition removes about 0.09 of correlation, the remaining cross-tier dependence shows no structural increase in crises once volatility is accounted for, and static correlations misstate the risk of mid-cap exposures by amounts that depend on the volatility regime. These results favor independent mid-cap benchmarks and risk budgets that condition on the volatility regime.</w:t>
      </w:r>
    </w:p>
    <w:p w14:paraId="4BA83F66"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Ethical standards </w:t>
      </w:r>
      <w:r>
        <w:rPr>
          <w:rFonts w:hint="cs"/>
        </w:rPr>
        <w:t xml:space="preserve">This study uses only publicly available historical index price data from the Ho Chi Minh City Stock Exchange; it involves no human participants or personal data, therefore required no ethical approval, and complies with the current laws of Vietnam.</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Data availability </w:t>
      </w:r>
      <w:r>
        <w:rPr>
          <w:rFonts w:hint="cs"/>
        </w:rPr>
        <w:t xml:space="preserve">The index price data were obtained from TradingView (exchange: HOSE) and are subject to the vendor’s terms of use; the merged dataset is available from the corresponding author upon reasonable request.</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Code availability </w:t>
      </w:r>
      <w:r>
        <w:rPr>
          <w:rFonts w:hint="cs"/>
        </w:rPr>
        <w:t xml:space="preserve">The R code that reproduces every table and figure is provided as Online Resource 1 and will be deposited in a public repository upon acceptance.</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Funding </w:t>
      </w:r>
      <w:r>
        <w:rPr>
          <w:rFonts w:hint="cs"/>
        </w:rPr>
        <w:t xml:space="preserve">Funding information is provided on the separate title page in accordance with the journal’s double-blind review policy.</w:t>
      </w:r>
    </w:p>
    <w:p w14:paraId="3FA2B8C7" w14:textId="77777777" w:rsidR="000019C6" w:rsidRPr="00756D2A" w:rsidRDefault="000019C6" w:rsidP="00756D2A">
      <w:pPr>
        <w:jc w:val="both"/>
      </w:pPr>
    </w:p>
    <w:p w14:paraId="609786D4" w14:textId="77777777" w:rsidR="000019C6" w:rsidRPr="00756D2A" w:rsidRDefault="000019C6" w:rsidP="00756D2A">
      <w:pPr>
        <w:jc w:val="both"/>
      </w:pPr>
      <w:r>
        <w:rPr>
          <w:rFonts w:hint="cs"/>
          <w:b/>
        </w:rPr>
        <w:t xml:space="preserve">Conflict of interest </w:t>
      </w:r>
      <w:r>
        <w:rPr>
          <w:rFonts w:hint="cs"/>
        </w:rPr>
        <w:t xml:space="preserve">The authors declare that they have no conflict of interest.</w:t>
      </w:r>
    </w:p>
    <w:p w14:paraId="3FA2B8C7" w14:textId="77777777" w:rsidR="000019C6" w:rsidRPr="00756D2A" w:rsidRDefault="000019C6" w:rsidP="00756D2A">
      <w:pPr>
        <w:jc w:val="both"/>
      </w:pPr>
    </w:p>
    <w:p w14:paraId="1095030D" w14:textId="77777777" w:rsidR="000019C6" w:rsidRPr="00756D2A" w:rsidRDefault="000019C6" w:rsidP="00756D2A">
      <w:pPr>
        <w:jc w:val="both"/>
      </w:pPr>
      <w:r>
        <w:rPr>
          <w:rFonts w:hint="cs"/>
          <w:b/>
        </w:rPr>
        <w:t xml:space="preserve">Declaration of generative AI use </w:t>
      </w:r>
      <w:r>
        <w:rPr>
          <w:rFonts w:hint="cs"/>
        </w:rPr>
        <w:t xml:space="preserve">During the preparation of this work, the authors used an AI assistant (Claude, Anthropic) for language editing, reference verification and translation of the analysis code into R. The authors reviewed all content and take full responsibility for the publication.</w:t>
      </w:r>
    </w:p>
    <w:p w14:paraId="301C595E" w14:textId="77777777" w:rsidR="000019C6" w:rsidRPr="00756D2A" w:rsidRDefault="000019C6" w:rsidP="00756D2A">
      <w:pPr>
        <w:pStyle w:val="heading1"/>
        <w:numPr>
          <w:ilvl w:val="0"/>
          <w:numId w:val="0"/>
        </w:numPr>
        <w:tabs>
          <w:tab w:val="left" w:pos="720"/>
        </w:tabs>
        <w:jc w:val="both"/>
        <w:rPr>
          <w:szCs w:val="24"/>
        </w:rPr>
      </w:pPr>
      <w:r w:rsidRPr="00756D2A">
        <w:rPr>
          <w:rFonts w:hint="cs"/>
          <w:szCs w:val="24"/>
        </w:rPr>
        <w:t>References</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Al Rababa’a, A. R., Alomari, M., &amp; McMillan, D. (2021). Multiscale stock-bond correlation: Implications for risk management. </w:t>
      </w:r>
      <w:r>
        <w:rPr>
          <w:rFonts w:hint="cs"/>
          <w:i/>
        </w:rPr>
        <w:t xml:space="preserve">Research in International Business and Finance, 58</w:t>
      </w:r>
      <w:r>
        <w:rPr>
          <w:rFonts w:hint="cs"/>
        </w:rPr>
        <w:t xml:space="preserve">, 101435. https://doi.org/10.1016/j.ribaf.2021.101435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Ang, A., &amp; Chen, J. (2002). Asymmetric correlations of equity portfolios. </w:t>
      </w:r>
      <w:r>
        <w:rPr>
          <w:rFonts w:hint="cs"/>
          <w:i/>
        </w:rPr>
        <w:t xml:space="preserve">Journal of Financial Economics, 63</w:t>
      </w:r>
      <w:r>
        <w:rPr>
          <w:rFonts w:hint="cs"/>
        </w:rPr>
        <w:t xml:space="preserve">(3), 443–494. https://doi.org/10.1016/S0304-405X(02)00068-5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Aslam, F., Ferreira, P., Ali, H., Arifa, &amp; Oliveira, M. (2023). Islamic vs. conventional equity markets: A multifractal cross-correlation analysis with economic policy uncertainty. </w:t>
      </w:r>
      <w:r>
        <w:rPr>
          <w:rFonts w:hint="cs"/>
          <w:i/>
        </w:rPr>
        <w:t xml:space="preserve">Economies, 11</w:t>
      </w:r>
      <w:r>
        <w:rPr>
          <w:rFonts w:hint="cs"/>
        </w:rPr>
        <w:t xml:space="preserve">(1), 16. https://doi.org/10.3390/economies11010016</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Chen, Y., Zhang, J., Lu, L., &amp; Xie, Z. (2024). Cross-correlation and multifractality analysis of the Chinese and American stock markets based on the MF-DCCA model. </w:t>
      </w:r>
      <w:r>
        <w:rPr>
          <w:rFonts w:hint="cs"/>
          <w:i/>
        </w:rPr>
        <w:t xml:space="preserve">Heliyon, 10</w:t>
      </w:r>
      <w:r>
        <w:rPr>
          <w:rFonts w:hint="cs"/>
        </w:rPr>
        <w:t xml:space="preserve">(15), e36537. https://doi.org/10.1016/j.heliyon.2024.e36537</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Epps, T. W. (1979). Comovements in stock prices in the very short run. </w:t>
      </w:r>
      <w:r>
        <w:rPr>
          <w:rFonts w:hint="cs"/>
          <w:i/>
        </w:rPr>
        <w:t xml:space="preserve">Journal of the American Statistical Association, 74</w:t>
      </w:r>
      <w:r>
        <w:rPr>
          <w:rFonts w:hint="cs"/>
        </w:rPr>
        <w:t xml:space="preserve">(366), 291–298. https://doi.org/10.1080/01621459.1979.10482508</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Forbes, K. J., &amp; Rigobon, R. (2002). No contagion, only interdependence: Measuring stock market comovements. </w:t>
      </w:r>
      <w:r>
        <w:rPr>
          <w:rFonts w:hint="cs"/>
          <w:i/>
        </w:rPr>
        <w:t xml:space="preserve">The Journal of Finance, 57</w:t>
      </w:r>
      <w:r>
        <w:rPr>
          <w:rFonts w:hint="cs"/>
        </w:rPr>
        <w:t xml:space="preserve">(5), 2223–2261. https://doi.org/10.1111/0022-1082.00494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Hong, H., &amp; Stein, J. C. (1999). A unified theory of underreaction, momentum trading, and overreaction in asset markets. </w:t>
      </w:r>
      <w:r>
        <w:rPr>
          <w:rFonts w:hint="cs"/>
          <w:i/>
        </w:rPr>
        <w:t xml:space="preserve">The Journal of Finance, 54</w:t>
      </w:r>
      <w:r>
        <w:rPr>
          <w:rFonts w:hint="cs"/>
        </w:rPr>
        <w:t xml:space="preserve">(6), 2143–2184. https://doi.org/10.1111/0022-1082.00184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Jiang, Z.-Q., &amp; Zhou, W.-X. (2011). Multifractal detrending moving-average cross-correlation analysis. </w:t>
      </w:r>
      <w:r>
        <w:rPr>
          <w:rFonts w:hint="cs"/>
          <w:i/>
        </w:rPr>
        <w:t xml:space="preserve">Physical Review E, 84</w:t>
      </w:r>
      <w:r>
        <w:rPr>
          <w:rFonts w:hint="cs"/>
        </w:rPr>
        <w:t xml:space="preserve">(1), 016106. https://doi.org/10.1103/PhysRevE.84.016106</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Kantelhardt, J. W., Zschiegner, S. A., Koscielny-Bunde, E., Havlin, S., Bunde, A., &amp; Stanley, H. E. (2002). Multifractal detrended fluctuation analysis of nonstationary time series. </w:t>
      </w:r>
      <w:r>
        <w:rPr>
          <w:rFonts w:hint="cs"/>
          <w:i/>
        </w:rPr>
        <w:t xml:space="preserve">Physica A: Statistical Mechanics and its Applications, 316</w:t>
      </w:r>
      <w:r>
        <w:rPr>
          <w:rFonts w:hint="cs"/>
        </w:rPr>
        <w:t xml:space="preserve">(1–4), 87–114. https://doi.org/10.1016/S0378-4371(02)01383-3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Karim, B. A., &amp; Ning, H. X. (2013). Driving forces of the ASEAN-5 stock markets integration. </w:t>
      </w:r>
      <w:r>
        <w:rPr>
          <w:rFonts w:hint="cs"/>
          <w:i/>
        </w:rPr>
        <w:t xml:space="preserve">Asia-Pacific Journal of Business Administration, 5</w:t>
      </w:r>
      <w:r>
        <w:rPr>
          <w:rFonts w:hint="cs"/>
        </w:rPr>
        <w:t xml:space="preserve">(3), 186–191. https://doi.org/10.1108/APJBA-07-2012-0053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 T. T. V., Dang, T. P. T., &amp; Phan, T. H. N. (2025). The nonlinear dependence of the Vietnam stock market on the Asian stock market: Evidence from a quantile-on-quantile regression. </w:t>
      </w:r>
      <w:r>
        <w:rPr>
          <w:rFonts w:hint="cs"/>
          <w:i/>
        </w:rPr>
        <w:t xml:space="preserve">International Journal of Innovative Research and Scientific Studies, 8</w:t>
      </w:r>
      <w:r>
        <w:rPr>
          <w:rFonts w:hint="cs"/>
        </w:rPr>
        <w:t xml:space="preserve">(4), 7901–7914. https://doi.org/10.53894/ijirss.v8i4.7901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Lean, H. H., &amp; Teng, K. T. (2013). Integration of world leaders and emerging powers into the Malaysian stock market: A DCC-MGARCH approach. </w:t>
      </w:r>
      <w:r>
        <w:rPr>
          <w:rFonts w:hint="cs"/>
          <w:i/>
        </w:rPr>
        <w:t xml:space="preserve">Economic Modelling, 32</w:t>
      </w:r>
      <w:r>
        <w:rPr>
          <w:rFonts w:hint="cs"/>
        </w:rPr>
        <w:t xml:space="preserve">, 333–342. https://doi.org/10.1016/j.econmod.2013.02.013</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Longin, F., &amp; Solnik, B. (2001). Extreme correlation of international equity markets. </w:t>
      </w:r>
      <w:r>
        <w:rPr>
          <w:rFonts w:hint="cs"/>
          <w:i/>
        </w:rPr>
        <w:t xml:space="preserve">The Journal of Finance, 56</w:t>
      </w:r>
      <w:r>
        <w:rPr>
          <w:rFonts w:hint="cs"/>
        </w:rPr>
        <w:t xml:space="preserve">(2), 649–676. https://doi.org/10.1111/0022-1082.00340</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Markowitz, H. (1952). Portfolio selection. </w:t>
      </w:r>
      <w:r>
        <w:rPr>
          <w:rFonts w:hint="cs"/>
          <w:i/>
        </w:rPr>
        <w:t xml:space="preserve">The Journal of Finance, 7</w:t>
      </w:r>
      <w:r>
        <w:rPr>
          <w:rFonts w:hint="cs"/>
        </w:rPr>
        <w:t xml:space="preserve">(1), 77–91. https://doi.org/10.1111/j.1540-6261.1952.tb01525.x</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Michis, A. A. (2022). Multiscale partial correlation clustering of stock market returns. </w:t>
      </w:r>
      <w:r>
        <w:rPr>
          <w:rFonts w:hint="cs"/>
          <w:i/>
        </w:rPr>
        <w:t xml:space="preserve">Journal of Risk and Financial Management, 15</w:t>
      </w:r>
      <w:r>
        <w:rPr>
          <w:rFonts w:hint="cs"/>
        </w:rPr>
        <w:t xml:space="preserve">(1), 24. https://doi.org/10.3390/jrfm15010024</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Oświęcimka, P., Drożdż, S., Forczek, M., Jadach, S., &amp; Kwapień, J. (2014). Detrended cross-correlation analysis consistently extended to multifractality. </w:t>
      </w:r>
      <w:r>
        <w:rPr>
          <w:rFonts w:hint="cs"/>
          <w:i/>
        </w:rPr>
        <w:t xml:space="preserve">Physical Review E, 89</w:t>
      </w:r>
      <w:r>
        <w:rPr>
          <w:rFonts w:hint="cs"/>
        </w:rPr>
        <w:t xml:space="preserve">(2), 022805. https://doi.org/10.1103/PhysRevE.89.022805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Peng, C.-K., Buldyrev, S. V., Havlin, S., Simons, M., Stanley, H. E., &amp; Goldberger, A. L. (1994). Mosaic organization of DNA nucleotides. </w:t>
      </w:r>
      <w:r>
        <w:rPr>
          <w:rFonts w:hint="cs"/>
          <w:i/>
        </w:rPr>
        <w:t xml:space="preserve">Physical Review E, 49</w:t>
      </w:r>
      <w:r>
        <w:rPr>
          <w:rFonts w:hint="cs"/>
        </w:rPr>
        <w:t xml:space="preserve">(2), 1685–1689. https://doi.org/10.1103/PhysRevE.49.1685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&amp; Stanley, H. E. (2008). Detrended cross-correlation analysis: A new method for analyzing two nonstationary time series. </w:t>
      </w:r>
      <w:r>
        <w:rPr>
          <w:rFonts w:hint="cs"/>
          <w:i/>
        </w:rPr>
        <w:t xml:space="preserve">Physical Review Letters, 100</w:t>
      </w:r>
      <w:r>
        <w:rPr>
          <w:rFonts w:hint="cs"/>
        </w:rPr>
        <w:t xml:space="preserve">(8), 084102. https://doi.org/10.1103/PhysRevLett.100.084102</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Podobnik, B., Jiang, Z.-Q., Zhou, W.-X., &amp; Stanley, H. E. (2011). Statistical tests for power-law cross-correlated processes. </w:t>
      </w:r>
      <w:r>
        <w:rPr>
          <w:rFonts w:hint="cs"/>
          <w:i/>
        </w:rPr>
        <w:t xml:space="preserve">Physical Review E, 84</w:t>
      </w:r>
      <w:r>
        <w:rPr>
          <w:rFonts w:hint="cs"/>
        </w:rPr>
        <w:t xml:space="preserve">(6), 066118. https://doi.org/10.1103/PhysRevE.84.066118</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Rodriguez, E., &amp; Alvarez-Ramirez, J. (2021). Time-varying cross-correlation between trading volume and returns in US stock markets. </w:t>
      </w:r>
      <w:r>
        <w:rPr>
          <w:rFonts w:hint="cs"/>
          <w:i/>
        </w:rPr>
        <w:t xml:space="preserve">Physica A: Statistical Mechanics and its Applications, 581</w:t>
      </w:r>
      <w:r>
        <w:rPr>
          <w:rFonts w:hint="cs"/>
        </w:rPr>
        <w:t xml:space="preserve">, 126211. https://doi.org/10.1016/j.physa.2021.126211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Tran, M. H., &amp; Tran, N. M. (2025). High-frequency dynamics of the Vietnam stock market. </w:t>
      </w:r>
      <w:r>
        <w:rPr>
          <w:rFonts w:hint="cs"/>
          <w:i/>
        </w:rPr>
        <w:t xml:space="preserve">VNU Journal of Economics and Business, 5</w:t>
      </w:r>
      <w:r>
        <w:rPr>
          <w:rFonts w:hint="cs"/>
        </w:rPr>
        <w:t xml:space="preserve">(2), 51–59. https://doi.org/10.57110/vnu-jeb.v5i2.395</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Zebende, G. F. (2011). DCCA cross-correlation coefficient: Quantifying level of cross-correlation. </w:t>
      </w:r>
      <w:r>
        <w:rPr>
          <w:rFonts w:hint="cs"/>
          <w:i/>
        </w:rPr>
        <w:t xml:space="preserve">Physica A: Statistical Mechanics and its Applications, 390</w:t>
      </w:r>
      <w:r>
        <w:rPr>
          <w:rFonts w:hint="cs"/>
        </w:rPr>
        <w:t xml:space="preserve">(4), 614–618. https://doi.org/10.1016/j.physa.2010.10.022</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W.-X. (2008). Multifractal detrended cross-correlation analysis for two nonstationary signals. </w:t>
      </w:r>
      <w:r>
        <w:rPr>
          <w:rFonts w:hint="cs"/>
          <w:i/>
        </w:rPr>
        <w:t xml:space="preserve">Physical Review E, 77</w:t>
      </w:r>
      <w:r>
        <w:rPr>
          <w:rFonts w:hint="cs"/>
        </w:rPr>
        <w:t xml:space="preserve">(6), 066211. https://doi.org/10.1103/PhysRevE.77.066211</w:t>
      </w:r>
    </w:p>
    <w:p w14:paraId="4A9D49A2" w14:textId="77777777" w:rsidR="000019C6" w:rsidRDefault="000019C6" w:rsidP="000019C6">
      <w:pPr>
        <w:pStyle w:val="referenceitem"/>
        <w:numPr>
          <w:ilvl w:val="0"/>
          <w:numId w:val="0"/>
        </w:numPr>
        <w:tabs>
          <w:tab w:val="left" w:pos="720"/>
        </w:tabs>
        <w:spacing w:line="300" w:lineRule="auto"/>
        <w:ind w:left="720" w:hanging="720"/>
      </w:pPr>
      <w:r>
        <w:rPr>
          <w:rFonts w:hint="cs"/>
        </w:rPr>
        <w:t xml:space="preserve">Zhou, W., Huang, J., &amp; Wang, M. (2025). Multifractal characteristics and information flow analysis of stock markets based on multifractal detrended cross-correlation analysis and transfer entropy. </w:t>
      </w:r>
      <w:r>
        <w:rPr>
          <w:rFonts w:hint="cs"/>
          <w:i/>
        </w:rPr>
        <w:t xml:space="preserve">Fractal and Fractional, 9</w:t>
      </w:r>
      <w:r>
        <w:rPr>
          <w:rFonts w:hint="cs"/>
        </w:rPr>
        <w:t xml:space="preserve">(1), 14. https://doi.org/10.3390/fractalfract9010014</w:t>
      </w:r>
    </w:p>
    <w:p w14:paraId="2CF62BDE" w14:textId="0F9CF45B" w:rsidR="0034643B" w:rsidRPr="000019C6" w:rsidRDefault="0034643B" w:rsidP="000019C6"/>
    <w:sectPr w:rsidR="0034643B" w:rsidRPr="000019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charset w:val="00"/>
    <w:family w:val="swiss"/>
    <w:pitch w:val="variable"/>
    <w:sig w:usb0="E00082FF" w:usb1="400078FF" w:usb2="08000029" w:usb3="00000000" w:csb0="0000019F" w:csb1="00000000"/>
  </w:font>
  <w:font w:name="Liberation Sans">
    <w:charset w:val="00"/>
    <w:family w:val="roman"/>
    <w:pitch w:val="default"/>
  </w:font>
  <w:font w:name="Linux Libertine G">
    <w:charset w:val="00"/>
    <w:family w:val="roman"/>
    <w:pitch w:val="default"/>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ull">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427F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A470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4A4B11"/>
    <w:multiLevelType w:val="multilevel"/>
    <w:tmpl w:val="10F4ADD0"/>
    <w:lvl w:ilvl="0">
      <w:start w:val="1"/>
      <w:numFmt w:val="bullet"/>
      <w:pStyle w:val="Aufzhlungszeichen"/>
      <w:lvlText w:val=""/>
      <w:lvlJc w:val="left"/>
      <w:pPr>
        <w:tabs>
          <w:tab w:val="num" w:pos="360"/>
        </w:tabs>
        <w:ind w:left="36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C350A71"/>
    <w:multiLevelType w:val="multilevel"/>
    <w:tmpl w:val="7A72F900"/>
    <w:lvl w:ilvl="0">
      <w:start w:val="1"/>
      <w:numFmt w:val="decimal"/>
      <w:pStyle w:val="heading1"/>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467112F0"/>
    <w:multiLevelType w:val="multilevel"/>
    <w:tmpl w:val="5836672C"/>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cs"/>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5" w15:restartNumberingAfterBreak="0">
    <w:nsid w:val="4C517F45"/>
    <w:multiLevelType w:val="multilevel"/>
    <w:tmpl w:val="7B804DE4"/>
    <w:lvl w:ilvl="0">
      <w:start w:val="1"/>
      <w:numFmt w:val="decimal"/>
      <w:pStyle w:val="Listennummer"/>
      <w:lvlText w:val="%1."/>
      <w:lvlJc w:val="left"/>
      <w:pPr>
        <w:tabs>
          <w:tab w:val="num" w:pos="227"/>
        </w:tabs>
        <w:ind w:left="227" w:hanging="227"/>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1A624D8"/>
    <w:multiLevelType w:val="multilevel"/>
    <w:tmpl w:val="7D0A74B6"/>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2010"/>
        </w:tabs>
        <w:ind w:left="2010" w:hanging="360"/>
      </w:pPr>
    </w:lvl>
    <w:lvl w:ilvl="2">
      <w:start w:val="1"/>
      <w:numFmt w:val="lowerRoman"/>
      <w:lvlText w:val="%3."/>
      <w:lvlJc w:val="right"/>
      <w:pPr>
        <w:tabs>
          <w:tab w:val="num" w:pos="2730"/>
        </w:tabs>
        <w:ind w:left="2730" w:hanging="180"/>
      </w:pPr>
    </w:lvl>
    <w:lvl w:ilvl="3">
      <w:start w:val="1"/>
      <w:numFmt w:val="decimal"/>
      <w:lvlText w:val="%4."/>
      <w:lvlJc w:val="left"/>
      <w:pPr>
        <w:tabs>
          <w:tab w:val="num" w:pos="3450"/>
        </w:tabs>
        <w:ind w:left="3450" w:hanging="360"/>
      </w:pPr>
    </w:lvl>
    <w:lvl w:ilvl="4">
      <w:start w:val="1"/>
      <w:numFmt w:val="lowerLetter"/>
      <w:lvlText w:val="%5."/>
      <w:lvlJc w:val="left"/>
      <w:pPr>
        <w:tabs>
          <w:tab w:val="num" w:pos="4170"/>
        </w:tabs>
        <w:ind w:left="4170" w:hanging="360"/>
      </w:pPr>
    </w:lvl>
    <w:lvl w:ilvl="5">
      <w:start w:val="1"/>
      <w:numFmt w:val="lowerRoman"/>
      <w:lvlText w:val="%6."/>
      <w:lvlJc w:val="right"/>
      <w:pPr>
        <w:tabs>
          <w:tab w:val="num" w:pos="4890"/>
        </w:tabs>
        <w:ind w:left="4890" w:hanging="180"/>
      </w:pPr>
    </w:lvl>
    <w:lvl w:ilvl="6">
      <w:start w:val="1"/>
      <w:numFmt w:val="decimal"/>
      <w:lvlText w:val="%7."/>
      <w:lvlJc w:val="left"/>
      <w:pPr>
        <w:tabs>
          <w:tab w:val="num" w:pos="5610"/>
        </w:tabs>
        <w:ind w:left="5610" w:hanging="360"/>
      </w:pPr>
    </w:lvl>
    <w:lvl w:ilvl="7">
      <w:start w:val="1"/>
      <w:numFmt w:val="lowerLetter"/>
      <w:lvlText w:val="%8."/>
      <w:lvlJc w:val="left"/>
      <w:pPr>
        <w:tabs>
          <w:tab w:val="num" w:pos="6330"/>
        </w:tabs>
        <w:ind w:left="6330" w:hanging="360"/>
      </w:pPr>
    </w:lvl>
    <w:lvl w:ilvl="8">
      <w:start w:val="1"/>
      <w:numFmt w:val="lowerRoman"/>
      <w:lvlText w:val="%9."/>
      <w:lvlJc w:val="right"/>
      <w:pPr>
        <w:tabs>
          <w:tab w:val="num" w:pos="7050"/>
        </w:tabs>
        <w:ind w:left="7050" w:hanging="180"/>
      </w:pPr>
    </w:lvl>
  </w:abstractNum>
  <w:abstractNum w:abstractNumId="7" w15:restartNumberingAfterBreak="0">
    <w:nsid w:val="51F6076D"/>
    <w:multiLevelType w:val="multilevel"/>
    <w:tmpl w:val="07C2DB6C"/>
    <w:lvl w:ilvl="0">
      <w:start w:val="1"/>
      <w:numFmt w:val="bullet"/>
      <w:pStyle w:val="dashitem"/>
      <w:lvlText w:val="─"/>
      <w:lvlJc w:val="left"/>
      <w:pPr>
        <w:tabs>
          <w:tab w:val="num" w:pos="227"/>
        </w:tabs>
        <w:ind w:left="227" w:hanging="227"/>
      </w:pPr>
      <w:rPr>
        <w:rFonts w:ascii="Times New Roman" w:hAnsi="Times New Roman" w:cs="Times New Roman" w:hint="cs"/>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cs"/>
      </w:rPr>
    </w:lvl>
    <w:lvl w:ilvl="3">
      <w:start w:val="1"/>
      <w:numFmt w:val="bullet"/>
      <w:lvlText w:val="■"/>
      <w:lvlJc w:val="left"/>
      <w:pPr>
        <w:tabs>
          <w:tab w:val="num" w:pos="907"/>
        </w:tabs>
        <w:ind w:left="907" w:hanging="227"/>
      </w:pPr>
      <w:rPr>
        <w:rFonts w:ascii="Times New Roman" w:hAnsi="Times New Roman" w:cs="Times New Roman" w:hint="cs"/>
      </w:rPr>
    </w:lvl>
    <w:lvl w:ilvl="4">
      <w:start w:val="1"/>
      <w:numFmt w:val="bullet"/>
      <w:lvlText w:val="○"/>
      <w:lvlJc w:val="left"/>
      <w:pPr>
        <w:tabs>
          <w:tab w:val="num" w:pos="1134"/>
        </w:tabs>
        <w:ind w:left="1134" w:hanging="227"/>
      </w:pPr>
      <w:rPr>
        <w:rFonts w:ascii="Times New Roman" w:hAnsi="Times New Roman" w:cs="Times New Roman" w:hint="cs"/>
      </w:rPr>
    </w:lvl>
    <w:lvl w:ilvl="5">
      <w:start w:val="1"/>
      <w:numFmt w:val="bullet"/>
      <w:lvlText w:val="■"/>
      <w:lvlJc w:val="left"/>
      <w:pPr>
        <w:tabs>
          <w:tab w:val="num" w:pos="1361"/>
        </w:tabs>
        <w:ind w:left="1361" w:hanging="227"/>
      </w:pPr>
      <w:rPr>
        <w:rFonts w:ascii="Times New Roman" w:hAnsi="Times New Roman" w:cs="Times New Roman" w:hint="cs"/>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cs"/>
      </w:rPr>
    </w:lvl>
    <w:lvl w:ilvl="8">
      <w:start w:val="1"/>
      <w:numFmt w:val="bullet"/>
      <w:lvlText w:val="■"/>
      <w:lvlJc w:val="left"/>
      <w:pPr>
        <w:tabs>
          <w:tab w:val="num" w:pos="2041"/>
        </w:tabs>
        <w:ind w:left="2041" w:hanging="227"/>
      </w:pPr>
      <w:rPr>
        <w:rFonts w:ascii="Times New Roman" w:hAnsi="Times New Roman" w:cs="Times New Roman" w:hint="cs"/>
      </w:rPr>
    </w:lvl>
  </w:abstractNum>
  <w:abstractNum w:abstractNumId="8" w15:restartNumberingAfterBreak="0">
    <w:nsid w:val="7E3B5E8C"/>
    <w:multiLevelType w:val="multilevel"/>
    <w:tmpl w:val="FD0C398A"/>
    <w:lvl w:ilvl="0">
      <w:start w:val="1"/>
      <w:numFmt w:val="decimal"/>
      <w:pStyle w:val="numitem"/>
      <w:lvlText w:val="%1."/>
      <w:lvlJc w:val="right"/>
      <w:pPr>
        <w:tabs>
          <w:tab w:val="num" w:pos="0"/>
        </w:tabs>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1"/>
        </w:tabs>
        <w:ind w:left="851" w:hanging="341"/>
      </w:pPr>
    </w:lvl>
    <w:lvl w:ilvl="3">
      <w:start w:val="1"/>
      <w:numFmt w:val="decimal"/>
      <w:lvlText w:val="(%4)"/>
      <w:lvlJc w:val="left"/>
      <w:pPr>
        <w:tabs>
          <w:tab w:val="num" w:pos="1191"/>
        </w:tabs>
        <w:ind w:left="1191" w:hanging="340"/>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5"/>
        </w:tabs>
        <w:ind w:left="2155" w:hanging="341"/>
      </w:pPr>
    </w:lvl>
    <w:lvl w:ilvl="7">
      <w:start w:val="1"/>
      <w:numFmt w:val="lowerLetter"/>
      <w:lvlText w:val="%8."/>
      <w:lvlJc w:val="left"/>
      <w:pPr>
        <w:tabs>
          <w:tab w:val="num" w:pos="2381"/>
        </w:tabs>
        <w:ind w:left="2381" w:hanging="226"/>
      </w:pPr>
    </w:lvl>
    <w:lvl w:ilvl="8">
      <w:start w:val="1"/>
      <w:numFmt w:val="lowerRoman"/>
      <w:lvlText w:val="%9."/>
      <w:lvlJc w:val="left"/>
      <w:pPr>
        <w:tabs>
          <w:tab w:val="num" w:pos="2722"/>
        </w:tabs>
        <w:ind w:left="2722" w:hanging="341"/>
      </w:pPr>
    </w:lvl>
  </w:abstractNum>
  <w:num w:numId="1" w16cid:durableId="1960186688">
    <w:abstractNumId w:val="0"/>
  </w:num>
  <w:num w:numId="2" w16cid:durableId="1113095680">
    <w:abstractNumId w:val="1"/>
  </w:num>
  <w:num w:numId="3" w16cid:durableId="49814577">
    <w:abstractNumId w:val="4"/>
  </w:num>
  <w:num w:numId="4" w16cid:durableId="707340148">
    <w:abstractNumId w:val="4"/>
  </w:num>
  <w:num w:numId="5" w16cid:durableId="613367619">
    <w:abstractNumId w:val="7"/>
  </w:num>
  <w:num w:numId="6" w16cid:durableId="460072155">
    <w:abstractNumId w:val="7"/>
  </w:num>
  <w:num w:numId="7" w16cid:durableId="1824420802">
    <w:abstractNumId w:val="3"/>
  </w:num>
  <w:num w:numId="8" w16cid:durableId="679044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9833279">
    <w:abstractNumId w:val="8"/>
  </w:num>
  <w:num w:numId="10" w16cid:durableId="1579755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2173230">
    <w:abstractNumId w:val="6"/>
  </w:num>
  <w:num w:numId="12" w16cid:durableId="1821381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8213398">
    <w:abstractNumId w:val="2"/>
  </w:num>
  <w:num w:numId="14" w16cid:durableId="1107194490">
    <w:abstractNumId w:val="2"/>
  </w:num>
  <w:num w:numId="15" w16cid:durableId="1330714144">
    <w:abstractNumId w:val="5"/>
  </w:num>
  <w:num w:numId="16" w16cid:durableId="1919435861">
    <w:abstractNumId w:val="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3B"/>
    <w:rsid w:val="00000550"/>
    <w:rsid w:val="00000730"/>
    <w:rsid w:val="00000891"/>
    <w:rsid w:val="000019C6"/>
    <w:rsid w:val="0000280F"/>
    <w:rsid w:val="00007EAE"/>
    <w:rsid w:val="00010916"/>
    <w:rsid w:val="00010FCF"/>
    <w:rsid w:val="000127FC"/>
    <w:rsid w:val="00014E7A"/>
    <w:rsid w:val="00020349"/>
    <w:rsid w:val="00044E4B"/>
    <w:rsid w:val="00061317"/>
    <w:rsid w:val="00063D78"/>
    <w:rsid w:val="000643E1"/>
    <w:rsid w:val="00073877"/>
    <w:rsid w:val="000754AD"/>
    <w:rsid w:val="00077E0B"/>
    <w:rsid w:val="00080B10"/>
    <w:rsid w:val="00081E67"/>
    <w:rsid w:val="000823A2"/>
    <w:rsid w:val="00090D9A"/>
    <w:rsid w:val="000A2737"/>
    <w:rsid w:val="000A2C53"/>
    <w:rsid w:val="000A4099"/>
    <w:rsid w:val="000C0C8E"/>
    <w:rsid w:val="000C2BBA"/>
    <w:rsid w:val="000C570D"/>
    <w:rsid w:val="000D0C35"/>
    <w:rsid w:val="000E008B"/>
    <w:rsid w:val="000E2C24"/>
    <w:rsid w:val="000E3FD3"/>
    <w:rsid w:val="000E64ED"/>
    <w:rsid w:val="000F1FDE"/>
    <w:rsid w:val="000F579F"/>
    <w:rsid w:val="000F5819"/>
    <w:rsid w:val="00102726"/>
    <w:rsid w:val="00107955"/>
    <w:rsid w:val="00114B73"/>
    <w:rsid w:val="00114D90"/>
    <w:rsid w:val="00120E18"/>
    <w:rsid w:val="001217C4"/>
    <w:rsid w:val="0012441E"/>
    <w:rsid w:val="001267EF"/>
    <w:rsid w:val="00127076"/>
    <w:rsid w:val="00136D1F"/>
    <w:rsid w:val="00142287"/>
    <w:rsid w:val="00151CB9"/>
    <w:rsid w:val="00152685"/>
    <w:rsid w:val="001743A5"/>
    <w:rsid w:val="001743DB"/>
    <w:rsid w:val="0018232C"/>
    <w:rsid w:val="00182665"/>
    <w:rsid w:val="0018269D"/>
    <w:rsid w:val="00183F68"/>
    <w:rsid w:val="00184488"/>
    <w:rsid w:val="00187302"/>
    <w:rsid w:val="001937D4"/>
    <w:rsid w:val="00194154"/>
    <w:rsid w:val="00196130"/>
    <w:rsid w:val="001B0A8A"/>
    <w:rsid w:val="001C4F76"/>
    <w:rsid w:val="001D7BD7"/>
    <w:rsid w:val="001E2CC5"/>
    <w:rsid w:val="001E463B"/>
    <w:rsid w:val="001E7A64"/>
    <w:rsid w:val="001F0A92"/>
    <w:rsid w:val="001F3272"/>
    <w:rsid w:val="00201A7A"/>
    <w:rsid w:val="002030AF"/>
    <w:rsid w:val="00205C4C"/>
    <w:rsid w:val="00213079"/>
    <w:rsid w:val="002220C3"/>
    <w:rsid w:val="00224920"/>
    <w:rsid w:val="00233752"/>
    <w:rsid w:val="00242464"/>
    <w:rsid w:val="0024372C"/>
    <w:rsid w:val="00251A64"/>
    <w:rsid w:val="002522E7"/>
    <w:rsid w:val="00252930"/>
    <w:rsid w:val="002578D2"/>
    <w:rsid w:val="0026334C"/>
    <w:rsid w:val="002730DC"/>
    <w:rsid w:val="00275213"/>
    <w:rsid w:val="002829FB"/>
    <w:rsid w:val="002900DE"/>
    <w:rsid w:val="00290F6C"/>
    <w:rsid w:val="0029355E"/>
    <w:rsid w:val="002A016B"/>
    <w:rsid w:val="002A12B5"/>
    <w:rsid w:val="002A7551"/>
    <w:rsid w:val="002B0A23"/>
    <w:rsid w:val="002B22CE"/>
    <w:rsid w:val="002B24EA"/>
    <w:rsid w:val="002B5CFA"/>
    <w:rsid w:val="002C3A12"/>
    <w:rsid w:val="002D39AA"/>
    <w:rsid w:val="002D5D94"/>
    <w:rsid w:val="002F0929"/>
    <w:rsid w:val="00304202"/>
    <w:rsid w:val="003138EE"/>
    <w:rsid w:val="00320E19"/>
    <w:rsid w:val="00322907"/>
    <w:rsid w:val="0032706E"/>
    <w:rsid w:val="0033222F"/>
    <w:rsid w:val="00335059"/>
    <w:rsid w:val="00343435"/>
    <w:rsid w:val="00345281"/>
    <w:rsid w:val="0034643B"/>
    <w:rsid w:val="003466C7"/>
    <w:rsid w:val="00363DE4"/>
    <w:rsid w:val="00364303"/>
    <w:rsid w:val="00367683"/>
    <w:rsid w:val="003720D4"/>
    <w:rsid w:val="003737E7"/>
    <w:rsid w:val="00373EC5"/>
    <w:rsid w:val="003771EF"/>
    <w:rsid w:val="003802F5"/>
    <w:rsid w:val="0038235D"/>
    <w:rsid w:val="00387B0F"/>
    <w:rsid w:val="003A34C7"/>
    <w:rsid w:val="003B5C9B"/>
    <w:rsid w:val="003B5CD2"/>
    <w:rsid w:val="003C00B1"/>
    <w:rsid w:val="003D6DBF"/>
    <w:rsid w:val="003F300C"/>
    <w:rsid w:val="003F39C1"/>
    <w:rsid w:val="003F71F2"/>
    <w:rsid w:val="004021E8"/>
    <w:rsid w:val="00402BAB"/>
    <w:rsid w:val="004046A1"/>
    <w:rsid w:val="00411BDA"/>
    <w:rsid w:val="00420685"/>
    <w:rsid w:val="00420B53"/>
    <w:rsid w:val="004333CD"/>
    <w:rsid w:val="00437076"/>
    <w:rsid w:val="00442A4B"/>
    <w:rsid w:val="00451E50"/>
    <w:rsid w:val="00453C2E"/>
    <w:rsid w:val="00460DAE"/>
    <w:rsid w:val="00463BCE"/>
    <w:rsid w:val="00464D6A"/>
    <w:rsid w:val="00472AC2"/>
    <w:rsid w:val="0047526C"/>
    <w:rsid w:val="00481F71"/>
    <w:rsid w:val="00483A8D"/>
    <w:rsid w:val="004A3112"/>
    <w:rsid w:val="004B1D62"/>
    <w:rsid w:val="004B306D"/>
    <w:rsid w:val="004B3416"/>
    <w:rsid w:val="004B7226"/>
    <w:rsid w:val="004C1639"/>
    <w:rsid w:val="004C78D7"/>
    <w:rsid w:val="004D17B6"/>
    <w:rsid w:val="004E2787"/>
    <w:rsid w:val="004E7DF7"/>
    <w:rsid w:val="004F179F"/>
    <w:rsid w:val="004F6CC9"/>
    <w:rsid w:val="004F6DCE"/>
    <w:rsid w:val="00513C6C"/>
    <w:rsid w:val="00516E4F"/>
    <w:rsid w:val="00521C34"/>
    <w:rsid w:val="00522B79"/>
    <w:rsid w:val="0052368C"/>
    <w:rsid w:val="00523E60"/>
    <w:rsid w:val="00527C9A"/>
    <w:rsid w:val="005351E4"/>
    <w:rsid w:val="00536964"/>
    <w:rsid w:val="00537E6F"/>
    <w:rsid w:val="00537ED6"/>
    <w:rsid w:val="0054232D"/>
    <w:rsid w:val="00546D5E"/>
    <w:rsid w:val="00550E91"/>
    <w:rsid w:val="0055303E"/>
    <w:rsid w:val="005545B0"/>
    <w:rsid w:val="00555A5B"/>
    <w:rsid w:val="00562D05"/>
    <w:rsid w:val="00573941"/>
    <w:rsid w:val="005759C7"/>
    <w:rsid w:val="00584850"/>
    <w:rsid w:val="00584EDE"/>
    <w:rsid w:val="005927ED"/>
    <w:rsid w:val="00596D20"/>
    <w:rsid w:val="005972EE"/>
    <w:rsid w:val="005B2CFD"/>
    <w:rsid w:val="005B6445"/>
    <w:rsid w:val="005B7974"/>
    <w:rsid w:val="005C1A26"/>
    <w:rsid w:val="005C6B1C"/>
    <w:rsid w:val="005D1D33"/>
    <w:rsid w:val="005D3D2A"/>
    <w:rsid w:val="005E273D"/>
    <w:rsid w:val="005E4D57"/>
    <w:rsid w:val="005F25AA"/>
    <w:rsid w:val="00600D3E"/>
    <w:rsid w:val="00602D5E"/>
    <w:rsid w:val="00604CD0"/>
    <w:rsid w:val="0060556B"/>
    <w:rsid w:val="00610521"/>
    <w:rsid w:val="00613707"/>
    <w:rsid w:val="0061428F"/>
    <w:rsid w:val="006320D2"/>
    <w:rsid w:val="00632905"/>
    <w:rsid w:val="00634484"/>
    <w:rsid w:val="00651C71"/>
    <w:rsid w:val="0065286A"/>
    <w:rsid w:val="00657849"/>
    <w:rsid w:val="006703DB"/>
    <w:rsid w:val="00671871"/>
    <w:rsid w:val="006723E6"/>
    <w:rsid w:val="0067362A"/>
    <w:rsid w:val="00676324"/>
    <w:rsid w:val="00690A50"/>
    <w:rsid w:val="00693AA7"/>
    <w:rsid w:val="006A383C"/>
    <w:rsid w:val="006A4D05"/>
    <w:rsid w:val="006A6B82"/>
    <w:rsid w:val="006B2C26"/>
    <w:rsid w:val="006B5E9E"/>
    <w:rsid w:val="006C236A"/>
    <w:rsid w:val="006C2527"/>
    <w:rsid w:val="006D11D7"/>
    <w:rsid w:val="006D3685"/>
    <w:rsid w:val="006E46C7"/>
    <w:rsid w:val="006E5B54"/>
    <w:rsid w:val="006F5C4C"/>
    <w:rsid w:val="00712725"/>
    <w:rsid w:val="00721EA0"/>
    <w:rsid w:val="00726547"/>
    <w:rsid w:val="00737D6B"/>
    <w:rsid w:val="00756D2A"/>
    <w:rsid w:val="007578EC"/>
    <w:rsid w:val="0076426A"/>
    <w:rsid w:val="00764724"/>
    <w:rsid w:val="00764CA6"/>
    <w:rsid w:val="00764E4A"/>
    <w:rsid w:val="007677A4"/>
    <w:rsid w:val="00772598"/>
    <w:rsid w:val="00776622"/>
    <w:rsid w:val="007A1359"/>
    <w:rsid w:val="007A140E"/>
    <w:rsid w:val="007A27B1"/>
    <w:rsid w:val="007B2708"/>
    <w:rsid w:val="007B68B3"/>
    <w:rsid w:val="007B7E77"/>
    <w:rsid w:val="007C3A4A"/>
    <w:rsid w:val="007D177E"/>
    <w:rsid w:val="007D69CA"/>
    <w:rsid w:val="007E68E2"/>
    <w:rsid w:val="007F3FA1"/>
    <w:rsid w:val="007F498A"/>
    <w:rsid w:val="007F60E1"/>
    <w:rsid w:val="007F6B1A"/>
    <w:rsid w:val="00802849"/>
    <w:rsid w:val="00806227"/>
    <w:rsid w:val="00816041"/>
    <w:rsid w:val="00823A33"/>
    <w:rsid w:val="008328EC"/>
    <w:rsid w:val="00842778"/>
    <w:rsid w:val="00843D0E"/>
    <w:rsid w:val="008522DF"/>
    <w:rsid w:val="008578F7"/>
    <w:rsid w:val="00860A27"/>
    <w:rsid w:val="008707AA"/>
    <w:rsid w:val="00877684"/>
    <w:rsid w:val="0088098F"/>
    <w:rsid w:val="00880FD9"/>
    <w:rsid w:val="00884B27"/>
    <w:rsid w:val="008916AD"/>
    <w:rsid w:val="0089597F"/>
    <w:rsid w:val="00895C62"/>
    <w:rsid w:val="008B000F"/>
    <w:rsid w:val="008C7061"/>
    <w:rsid w:val="008E3F38"/>
    <w:rsid w:val="008E40A7"/>
    <w:rsid w:val="008E4D3A"/>
    <w:rsid w:val="008F315F"/>
    <w:rsid w:val="00902C28"/>
    <w:rsid w:val="0090454B"/>
    <w:rsid w:val="00904889"/>
    <w:rsid w:val="00904E8B"/>
    <w:rsid w:val="009101F7"/>
    <w:rsid w:val="00922242"/>
    <w:rsid w:val="00925FC3"/>
    <w:rsid w:val="00930E2C"/>
    <w:rsid w:val="00934240"/>
    <w:rsid w:val="0093767C"/>
    <w:rsid w:val="00942CCC"/>
    <w:rsid w:val="0094455D"/>
    <w:rsid w:val="00944D9E"/>
    <w:rsid w:val="0096654F"/>
    <w:rsid w:val="009953C9"/>
    <w:rsid w:val="00996293"/>
    <w:rsid w:val="009A0666"/>
    <w:rsid w:val="009B2311"/>
    <w:rsid w:val="009B2FEE"/>
    <w:rsid w:val="009B37D2"/>
    <w:rsid w:val="009B6A67"/>
    <w:rsid w:val="009B79C1"/>
    <w:rsid w:val="009C0957"/>
    <w:rsid w:val="009D5EA2"/>
    <w:rsid w:val="009D728C"/>
    <w:rsid w:val="009E242C"/>
    <w:rsid w:val="009F0CA1"/>
    <w:rsid w:val="009F4861"/>
    <w:rsid w:val="009F78D4"/>
    <w:rsid w:val="009F7D9E"/>
    <w:rsid w:val="00A04F47"/>
    <w:rsid w:val="00A05F6D"/>
    <w:rsid w:val="00A07FF3"/>
    <w:rsid w:val="00A149F4"/>
    <w:rsid w:val="00A1580F"/>
    <w:rsid w:val="00A20458"/>
    <w:rsid w:val="00A24229"/>
    <w:rsid w:val="00A3618E"/>
    <w:rsid w:val="00A376A6"/>
    <w:rsid w:val="00A42936"/>
    <w:rsid w:val="00A44DB7"/>
    <w:rsid w:val="00A46248"/>
    <w:rsid w:val="00A47D08"/>
    <w:rsid w:val="00A509CE"/>
    <w:rsid w:val="00A50DA5"/>
    <w:rsid w:val="00A65E89"/>
    <w:rsid w:val="00A71A88"/>
    <w:rsid w:val="00A765CD"/>
    <w:rsid w:val="00A77F41"/>
    <w:rsid w:val="00A87ED2"/>
    <w:rsid w:val="00A95C5E"/>
    <w:rsid w:val="00A9620C"/>
    <w:rsid w:val="00A9630D"/>
    <w:rsid w:val="00A968B1"/>
    <w:rsid w:val="00AB20BE"/>
    <w:rsid w:val="00AB57E2"/>
    <w:rsid w:val="00AC003C"/>
    <w:rsid w:val="00AD0F3C"/>
    <w:rsid w:val="00AD2F49"/>
    <w:rsid w:val="00AD30A9"/>
    <w:rsid w:val="00AE16EB"/>
    <w:rsid w:val="00AF1610"/>
    <w:rsid w:val="00AF1DB2"/>
    <w:rsid w:val="00B00972"/>
    <w:rsid w:val="00B268B6"/>
    <w:rsid w:val="00B27F61"/>
    <w:rsid w:val="00B3060B"/>
    <w:rsid w:val="00B31EA4"/>
    <w:rsid w:val="00B4651C"/>
    <w:rsid w:val="00B5039C"/>
    <w:rsid w:val="00B54D92"/>
    <w:rsid w:val="00B570F8"/>
    <w:rsid w:val="00B5776B"/>
    <w:rsid w:val="00B67528"/>
    <w:rsid w:val="00B70E79"/>
    <w:rsid w:val="00B726DE"/>
    <w:rsid w:val="00B771F4"/>
    <w:rsid w:val="00B815C6"/>
    <w:rsid w:val="00B82366"/>
    <w:rsid w:val="00B913E2"/>
    <w:rsid w:val="00B92422"/>
    <w:rsid w:val="00B93196"/>
    <w:rsid w:val="00B94D29"/>
    <w:rsid w:val="00B95C18"/>
    <w:rsid w:val="00B97B9E"/>
    <w:rsid w:val="00BA12A8"/>
    <w:rsid w:val="00BC60F3"/>
    <w:rsid w:val="00BD1B77"/>
    <w:rsid w:val="00BD3666"/>
    <w:rsid w:val="00BD3BC7"/>
    <w:rsid w:val="00BD3D7B"/>
    <w:rsid w:val="00BD7718"/>
    <w:rsid w:val="00BE1595"/>
    <w:rsid w:val="00BE3BBE"/>
    <w:rsid w:val="00BE53C0"/>
    <w:rsid w:val="00BE6F2D"/>
    <w:rsid w:val="00BF124C"/>
    <w:rsid w:val="00BF246E"/>
    <w:rsid w:val="00C040EC"/>
    <w:rsid w:val="00C06A52"/>
    <w:rsid w:val="00C06ADA"/>
    <w:rsid w:val="00C10919"/>
    <w:rsid w:val="00C11DC1"/>
    <w:rsid w:val="00C14931"/>
    <w:rsid w:val="00C169F1"/>
    <w:rsid w:val="00C25B4B"/>
    <w:rsid w:val="00C3105F"/>
    <w:rsid w:val="00C410CA"/>
    <w:rsid w:val="00C42FE2"/>
    <w:rsid w:val="00C435A0"/>
    <w:rsid w:val="00C54FC1"/>
    <w:rsid w:val="00C56334"/>
    <w:rsid w:val="00C61BCE"/>
    <w:rsid w:val="00C62503"/>
    <w:rsid w:val="00C66F56"/>
    <w:rsid w:val="00C7390C"/>
    <w:rsid w:val="00C74DE9"/>
    <w:rsid w:val="00C75910"/>
    <w:rsid w:val="00C8284A"/>
    <w:rsid w:val="00C94FD4"/>
    <w:rsid w:val="00CA4677"/>
    <w:rsid w:val="00CA5072"/>
    <w:rsid w:val="00CB32D1"/>
    <w:rsid w:val="00CC1E29"/>
    <w:rsid w:val="00CC4322"/>
    <w:rsid w:val="00CC7402"/>
    <w:rsid w:val="00CC7423"/>
    <w:rsid w:val="00CC7592"/>
    <w:rsid w:val="00CD2BF7"/>
    <w:rsid w:val="00CE5C46"/>
    <w:rsid w:val="00CF339E"/>
    <w:rsid w:val="00CF33E4"/>
    <w:rsid w:val="00CF4935"/>
    <w:rsid w:val="00CF698B"/>
    <w:rsid w:val="00CF7E65"/>
    <w:rsid w:val="00D02D76"/>
    <w:rsid w:val="00D102E6"/>
    <w:rsid w:val="00D10E50"/>
    <w:rsid w:val="00D15890"/>
    <w:rsid w:val="00D20E48"/>
    <w:rsid w:val="00D231E9"/>
    <w:rsid w:val="00D256EE"/>
    <w:rsid w:val="00D301FC"/>
    <w:rsid w:val="00D34A3A"/>
    <w:rsid w:val="00D413AA"/>
    <w:rsid w:val="00D45947"/>
    <w:rsid w:val="00D47C97"/>
    <w:rsid w:val="00D525CB"/>
    <w:rsid w:val="00D57ADC"/>
    <w:rsid w:val="00D7656D"/>
    <w:rsid w:val="00D777D7"/>
    <w:rsid w:val="00D83E8D"/>
    <w:rsid w:val="00D8654D"/>
    <w:rsid w:val="00D91D7E"/>
    <w:rsid w:val="00D95710"/>
    <w:rsid w:val="00DA477C"/>
    <w:rsid w:val="00DA5435"/>
    <w:rsid w:val="00DA72F2"/>
    <w:rsid w:val="00DB27EA"/>
    <w:rsid w:val="00DB4888"/>
    <w:rsid w:val="00DB5334"/>
    <w:rsid w:val="00DC3CB0"/>
    <w:rsid w:val="00DC4C02"/>
    <w:rsid w:val="00DD2D56"/>
    <w:rsid w:val="00DD4921"/>
    <w:rsid w:val="00DE535F"/>
    <w:rsid w:val="00DE7BBE"/>
    <w:rsid w:val="00DF5223"/>
    <w:rsid w:val="00E00C4E"/>
    <w:rsid w:val="00E01C84"/>
    <w:rsid w:val="00E0756E"/>
    <w:rsid w:val="00E07E34"/>
    <w:rsid w:val="00E14A6A"/>
    <w:rsid w:val="00E17720"/>
    <w:rsid w:val="00E20B11"/>
    <w:rsid w:val="00E24AF1"/>
    <w:rsid w:val="00E25707"/>
    <w:rsid w:val="00E27F81"/>
    <w:rsid w:val="00E31331"/>
    <w:rsid w:val="00E325F7"/>
    <w:rsid w:val="00E3465A"/>
    <w:rsid w:val="00E400D4"/>
    <w:rsid w:val="00E54B29"/>
    <w:rsid w:val="00E570DB"/>
    <w:rsid w:val="00E5727C"/>
    <w:rsid w:val="00E60710"/>
    <w:rsid w:val="00E634FC"/>
    <w:rsid w:val="00E65A89"/>
    <w:rsid w:val="00E702AF"/>
    <w:rsid w:val="00E70D9D"/>
    <w:rsid w:val="00E737F6"/>
    <w:rsid w:val="00E74291"/>
    <w:rsid w:val="00E80EB4"/>
    <w:rsid w:val="00E83B59"/>
    <w:rsid w:val="00E90229"/>
    <w:rsid w:val="00E9479F"/>
    <w:rsid w:val="00EA2299"/>
    <w:rsid w:val="00EA400E"/>
    <w:rsid w:val="00EA6979"/>
    <w:rsid w:val="00EB31E4"/>
    <w:rsid w:val="00EB4BA8"/>
    <w:rsid w:val="00EB7599"/>
    <w:rsid w:val="00EB7DF5"/>
    <w:rsid w:val="00EC1C99"/>
    <w:rsid w:val="00EC7BF1"/>
    <w:rsid w:val="00ED10EA"/>
    <w:rsid w:val="00ED143B"/>
    <w:rsid w:val="00ED2752"/>
    <w:rsid w:val="00EE0E3E"/>
    <w:rsid w:val="00EE2C24"/>
    <w:rsid w:val="00EE4387"/>
    <w:rsid w:val="00EE4953"/>
    <w:rsid w:val="00EE4F44"/>
    <w:rsid w:val="00EF2668"/>
    <w:rsid w:val="00EF3885"/>
    <w:rsid w:val="00F0214C"/>
    <w:rsid w:val="00F22B7F"/>
    <w:rsid w:val="00F2640D"/>
    <w:rsid w:val="00F27BA1"/>
    <w:rsid w:val="00F328F7"/>
    <w:rsid w:val="00F367BE"/>
    <w:rsid w:val="00F43590"/>
    <w:rsid w:val="00F43E5E"/>
    <w:rsid w:val="00F446A7"/>
    <w:rsid w:val="00F478EE"/>
    <w:rsid w:val="00F50335"/>
    <w:rsid w:val="00F542D7"/>
    <w:rsid w:val="00F57CB5"/>
    <w:rsid w:val="00F57E64"/>
    <w:rsid w:val="00F66B04"/>
    <w:rsid w:val="00F73583"/>
    <w:rsid w:val="00FA046E"/>
    <w:rsid w:val="00FA13CD"/>
    <w:rsid w:val="00FB6FC1"/>
    <w:rsid w:val="00FC3F09"/>
    <w:rsid w:val="00FD174F"/>
    <w:rsid w:val="00FD1D83"/>
    <w:rsid w:val="00FD313A"/>
    <w:rsid w:val="00FE198E"/>
    <w:rsid w:val="00FE75B5"/>
    <w:rsid w:val="00FF11D8"/>
    <w:rsid w:val="00FF6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D861"/>
  <w15:docId w15:val="{5F415B25-0D80-F142-87BD-8C15207D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caption" w:qFormat="1"/>
    <w:lsdException w:name="Followed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3079"/>
    <w:pPr>
      <w:spacing w:after="0"/>
    </w:pPr>
    <w:rPr>
      <w:rFonts w:ascii="Times New Roman" w:eastAsia="Times New Roman" w:hAnsi="Times New Roman" w:cs="Times New Roman"/>
      <w:lang w:eastAsia="en-US"/>
    </w:rPr>
  </w:style>
  <w:style w:type="paragraph" w:styleId="Heading10">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0"/>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0"/>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823A33"/>
    <w:rPr>
      <w:color w:val="666666"/>
    </w:rPr>
  </w:style>
  <w:style w:type="table" w:styleId="TableGrid">
    <w:name w:val="Table Grid"/>
    <w:basedOn w:val="TableNormal"/>
    <w:rsid w:val="00DB48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C61BCE"/>
    <w:pPr>
      <w:ind w:left="720"/>
      <w:contextualSpacing/>
    </w:pPr>
  </w:style>
  <w:style w:type="character" w:styleId="Strong">
    <w:name w:val="Strong"/>
    <w:basedOn w:val="DefaultParagraphFont"/>
    <w:uiPriority w:val="22"/>
    <w:qFormat/>
    <w:rsid w:val="00A509CE"/>
    <w:rPr>
      <w:b/>
      <w:bCs/>
    </w:rPr>
  </w:style>
  <w:style w:type="paragraph" w:styleId="NormalWeb">
    <w:name w:val="Normal (Web)"/>
    <w:basedOn w:val="Normal"/>
    <w:uiPriority w:val="99"/>
    <w:unhideWhenUsed/>
    <w:rsid w:val="004D17B6"/>
    <w:pPr>
      <w:spacing w:before="100" w:beforeAutospacing="1" w:after="100" w:afterAutospacing="1"/>
    </w:pPr>
  </w:style>
  <w:style w:type="character" w:styleId="FollowedHyperlink">
    <w:name w:val="FollowedHyperlink"/>
    <w:basedOn w:val="DefaultParagraphFont"/>
    <w:uiPriority w:val="99"/>
    <w:unhideWhenUsed/>
    <w:rsid w:val="000019C6"/>
    <w:rPr>
      <w:color w:val="96607D" w:themeColor="followedHyperlink"/>
      <w:u w:val="single"/>
    </w:rPr>
  </w:style>
  <w:style w:type="paragraph" w:customStyle="1" w:styleId="msonormal0">
    <w:name w:val="msonormal"/>
    <w:basedOn w:val="Normal"/>
    <w:rsid w:val="000019C6"/>
    <w:pPr>
      <w:spacing w:before="100" w:beforeAutospacing="1" w:after="100" w:afterAutospacing="1"/>
    </w:pPr>
  </w:style>
  <w:style w:type="character" w:customStyle="1" w:styleId="FootnoteTextChar">
    <w:name w:val="Footnote Text Char"/>
    <w:basedOn w:val="DefaultParagraphFont"/>
    <w:link w:val="FootnoteText"/>
    <w:rsid w:val="000019C6"/>
    <w:rPr>
      <w:rFonts w:ascii="Times New Roman" w:eastAsia="Times New Roman" w:hAnsi="Times New Roman" w:cs="Times New Roman"/>
      <w:lang w:eastAsia="en-US"/>
    </w:rPr>
  </w:style>
  <w:style w:type="paragraph" w:styleId="Header">
    <w:name w:val="header"/>
    <w:basedOn w:val="Normal"/>
    <w:link w:val="HeaderChar"/>
    <w:unhideWhenUsed/>
    <w:rsid w:val="000019C6"/>
    <w:pPr>
      <w:tabs>
        <w:tab w:val="center" w:pos="4536"/>
        <w:tab w:val="right" w:pos="9072"/>
      </w:tabs>
      <w:overflowPunct w:val="0"/>
      <w:autoSpaceDE w:val="0"/>
      <w:spacing w:line="240" w:lineRule="atLeast"/>
      <w:jc w:val="both"/>
    </w:pPr>
    <w:rPr>
      <w:sz w:val="18"/>
      <w:szCs w:val="20"/>
      <w:lang w:eastAsia="zh-CN"/>
    </w:rPr>
  </w:style>
  <w:style w:type="character" w:customStyle="1" w:styleId="HeaderChar">
    <w:name w:val="Header Char"/>
    <w:basedOn w:val="DefaultParagraphFont"/>
    <w:link w:val="Header"/>
    <w:rsid w:val="000019C6"/>
    <w:rPr>
      <w:rFonts w:ascii="Times New Roman" w:eastAsia="Times New Roman" w:hAnsi="Times New Roman" w:cs="Times New Roman"/>
      <w:sz w:val="18"/>
      <w:szCs w:val="20"/>
    </w:rPr>
  </w:style>
  <w:style w:type="paragraph" w:styleId="Footer">
    <w:name w:val="footer"/>
    <w:basedOn w:val="Normal"/>
    <w:link w:val="FooterChar"/>
    <w:unhideWhenUsed/>
    <w:rsid w:val="000019C6"/>
    <w:pPr>
      <w:tabs>
        <w:tab w:val="center" w:pos="4536"/>
        <w:tab w:val="right" w:pos="9072"/>
      </w:tabs>
      <w:overflowPunct w:val="0"/>
      <w:autoSpaceDE w:val="0"/>
      <w:spacing w:line="240" w:lineRule="atLeast"/>
      <w:ind w:firstLine="227"/>
      <w:jc w:val="both"/>
    </w:pPr>
    <w:rPr>
      <w:sz w:val="20"/>
      <w:szCs w:val="20"/>
      <w:lang w:eastAsia="zh-CN"/>
    </w:rPr>
  </w:style>
  <w:style w:type="character" w:customStyle="1" w:styleId="FooterChar">
    <w:name w:val="Footer Char"/>
    <w:basedOn w:val="DefaultParagraphFont"/>
    <w:link w:val="Footer"/>
    <w:rsid w:val="000019C6"/>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0019C6"/>
    <w:rPr>
      <w:rFonts w:ascii="Times New Roman" w:eastAsia="Times New Roman" w:hAnsi="Times New Roman" w:cs="Times New Roman"/>
      <w:lang w:eastAsia="en-US"/>
    </w:rPr>
  </w:style>
  <w:style w:type="paragraph" w:styleId="List">
    <w:name w:val="List"/>
    <w:basedOn w:val="BodyText"/>
    <w:unhideWhenUsed/>
    <w:rsid w:val="000019C6"/>
    <w:pPr>
      <w:overflowPunct w:val="0"/>
      <w:autoSpaceDE w:val="0"/>
      <w:spacing w:before="0" w:after="140" w:line="276" w:lineRule="auto"/>
      <w:ind w:firstLine="227"/>
      <w:jc w:val="both"/>
    </w:pPr>
    <w:rPr>
      <w:rFonts w:cs="Noto Sans"/>
      <w:sz w:val="20"/>
      <w:szCs w:val="20"/>
      <w:lang w:eastAsia="zh-CN"/>
    </w:rPr>
  </w:style>
  <w:style w:type="paragraph" w:customStyle="1" w:styleId="author0">
    <w:name w:val="author"/>
    <w:basedOn w:val="Normal"/>
    <w:next w:val="address"/>
    <w:rsid w:val="000019C6"/>
    <w:pPr>
      <w:suppressAutoHyphens/>
      <w:overflowPunct w:val="0"/>
      <w:autoSpaceDE w:val="0"/>
      <w:spacing w:after="200" w:line="240" w:lineRule="atLeast"/>
      <w:jc w:val="center"/>
    </w:pPr>
    <w:rPr>
      <w:sz w:val="20"/>
      <w:szCs w:val="20"/>
      <w:lang w:eastAsia="zh-CN"/>
    </w:rPr>
  </w:style>
  <w:style w:type="paragraph" w:customStyle="1" w:styleId="Heading">
    <w:name w:val="Heading"/>
    <w:basedOn w:val="Normal"/>
    <w:next w:val="BodyText"/>
    <w:rsid w:val="000019C6"/>
    <w:pPr>
      <w:keepNext/>
      <w:overflowPunct w:val="0"/>
      <w:autoSpaceDE w:val="0"/>
      <w:spacing w:before="240" w:after="120" w:line="240" w:lineRule="atLeast"/>
      <w:ind w:firstLine="227"/>
      <w:jc w:val="both"/>
    </w:pPr>
    <w:rPr>
      <w:rFonts w:ascii="Liberation Sans" w:eastAsia="Linux Libertine G" w:hAnsi="Liberation Sans" w:cs="Noto Sans"/>
      <w:sz w:val="28"/>
      <w:szCs w:val="28"/>
      <w:lang w:eastAsia="zh-CN"/>
    </w:rPr>
  </w:style>
  <w:style w:type="paragraph" w:customStyle="1" w:styleId="Index">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type="paragraph" w:customStyle="1" w:styleId="abstract0">
    <w:name w:val="abstract"/>
    <w:basedOn w:val="Normal"/>
    <w:rsid w:val="000019C6"/>
    <w:pPr>
      <w:overflowPunct w:val="0"/>
      <w:autoSpaceDE w:val="0"/>
      <w:spacing w:before="600" w:after="360" w:line="220" w:lineRule="atLeast"/>
      <w:ind w:left="567" w:right="567"/>
      <w:contextualSpacing/>
      <w:jc w:val="both"/>
    </w:pPr>
    <w:rPr>
      <w:sz w:val="18"/>
      <w:szCs w:val="20"/>
      <w:lang w:eastAsia="zh-CN"/>
    </w:rPr>
  </w:style>
  <w:style w:type="paragraph" w:customStyle="1" w:styleId="address">
    <w:name w:val="address"/>
    <w:basedOn w:val="Normal"/>
    <w:rsid w:val="000019C6"/>
    <w:pPr>
      <w:suppressAutoHyphens/>
      <w:overflowPunct w:val="0"/>
      <w:autoSpaceDE w:val="0"/>
      <w:spacing w:after="200" w:line="220" w:lineRule="atLeast"/>
      <w:contextualSpacing/>
      <w:jc w:val="center"/>
    </w:pPr>
    <w:rPr>
      <w:sz w:val="18"/>
      <w:szCs w:val="20"/>
      <w:lang w:eastAsia="zh-CN"/>
    </w:rPr>
  </w:style>
  <w:style w:type="paragraph" w:customStyle="1" w:styleId="bulletitem">
    <w:name w:val="bulletitem"/>
    <w:basedOn w:val="Normal"/>
    <w:rsid w:val="000019C6"/>
    <w:pPr>
      <w:numPr>
        <w:numId w:val="3"/>
      </w:numPr>
      <w:overflowPunct w:val="0"/>
      <w:autoSpaceDE w:val="0"/>
      <w:spacing w:before="160" w:after="160" w:line="240" w:lineRule="atLeast"/>
      <w:contextualSpacing/>
      <w:jc w:val="both"/>
    </w:pPr>
    <w:rPr>
      <w:sz w:val="20"/>
      <w:szCs w:val="20"/>
      <w:lang w:eastAsia="zh-CN"/>
    </w:rPr>
  </w:style>
  <w:style w:type="paragraph" w:customStyle="1" w:styleId="dashitem">
    <w:name w:val="dashitem"/>
    <w:basedOn w:val="Normal"/>
    <w:rsid w:val="000019C6"/>
    <w:pPr>
      <w:numPr>
        <w:numId w:val="5"/>
      </w:numPr>
      <w:overflowPunct w:val="0"/>
      <w:autoSpaceDE w:val="0"/>
      <w:spacing w:before="160" w:after="160" w:line="240" w:lineRule="atLeast"/>
      <w:contextualSpacing/>
      <w:jc w:val="both"/>
    </w:pPr>
    <w:rPr>
      <w:sz w:val="20"/>
      <w:szCs w:val="20"/>
      <w:lang w:eastAsia="zh-CN"/>
    </w:rPr>
  </w:style>
  <w:style w:type="paragraph" w:customStyle="1" w:styleId="equation">
    <w:name w:val="equation"/>
    <w:basedOn w:val="Normal"/>
    <w:next w:val="Normal"/>
    <w:rsid w:val="000019C6"/>
    <w:pPr>
      <w:tabs>
        <w:tab w:val="center" w:pos="3289"/>
        <w:tab w:val="right" w:pos="6917"/>
      </w:tabs>
      <w:overflowPunct w:val="0"/>
      <w:autoSpaceDE w:val="0"/>
      <w:spacing w:before="160" w:after="160" w:line="240" w:lineRule="atLeast"/>
      <w:jc w:val="both"/>
    </w:pPr>
    <w:rPr>
      <w:sz w:val="20"/>
      <w:szCs w:val="20"/>
      <w:lang w:eastAsia="zh-CN"/>
    </w:rPr>
  </w:style>
  <w:style w:type="paragraph" w:customStyle="1" w:styleId="figurecaption">
    <w:name w:val="figurecaption"/>
    <w:basedOn w:val="Normal"/>
    <w:next w:val="Normal"/>
    <w:rsid w:val="000019C6"/>
    <w:pPr>
      <w:keepLines/>
      <w:overflowPunct w:val="0"/>
      <w:autoSpaceDE w:val="0"/>
      <w:spacing w:before="120" w:after="240" w:line="220" w:lineRule="atLeast"/>
      <w:jc w:val="center"/>
    </w:pPr>
    <w:rPr>
      <w:sz w:val="18"/>
      <w:szCs w:val="20"/>
      <w:lang w:eastAsia="zh-CN"/>
    </w:rPr>
  </w:style>
  <w:style w:type="paragraph" w:customStyle="1" w:styleId="p1a">
    <w:name w:val="p1a"/>
    <w:basedOn w:val="Normal"/>
    <w:rsid w:val="000019C6"/>
    <w:pPr>
      <w:overflowPunct w:val="0"/>
      <w:autoSpaceDE w:val="0"/>
      <w:spacing w:line="240" w:lineRule="atLeast"/>
      <w:jc w:val="both"/>
    </w:pPr>
    <w:rPr>
      <w:sz w:val="20"/>
      <w:szCs w:val="20"/>
      <w:lang w:eastAsia="zh-CN"/>
    </w:rPr>
  </w:style>
  <w:style w:type="paragraph" w:customStyle="1" w:styleId="heading1">
    <w:name w:val="heading1"/>
    <w:basedOn w:val="Heading10"/>
    <w:next w:val="Normal"/>
    <w:rsid w:val="000019C6"/>
    <w:pPr>
      <w:numPr>
        <w:numId w:val="7"/>
      </w:numPr>
      <w:tabs>
        <w:tab w:val="left" w:pos="567"/>
      </w:tabs>
      <w:suppressAutoHyphens/>
      <w:overflowPunct w:val="0"/>
      <w:autoSpaceDE w:val="0"/>
      <w:spacing w:after="240" w:line="300" w:lineRule="atLeast"/>
      <w:outlineLvl w:val="9"/>
    </w:pPr>
    <w:rPr>
      <w:rFonts w:ascii="Times New Roman" w:eastAsia="Times New Roman" w:hAnsi="Times New Roman" w:cs="Times New Roman"/>
      <w:b/>
      <w:bCs/>
      <w:color w:val="auto"/>
      <w:sz w:val="24"/>
      <w:szCs w:val="20"/>
      <w:lang w:eastAsia="zh-CN"/>
    </w:rPr>
  </w:style>
  <w:style w:type="paragraph" w:customStyle="1" w:styleId="heading20">
    <w:name w:val="heading2"/>
    <w:basedOn w:val="Heading2"/>
    <w:next w:val="Normal"/>
    <w:rsid w:val="000019C6"/>
    <w:pPr>
      <w:tabs>
        <w:tab w:val="num" w:pos="567"/>
      </w:tabs>
      <w:suppressAutoHyphens/>
      <w:overflowPunct w:val="0"/>
      <w:autoSpaceDE w:val="0"/>
      <w:spacing w:before="360" w:after="160" w:line="240" w:lineRule="atLeast"/>
      <w:ind w:left="567" w:hanging="567"/>
      <w:jc w:val="both"/>
      <w:outlineLvl w:val="9"/>
    </w:pPr>
    <w:rPr>
      <w:rFonts w:ascii="Times New Roman" w:eastAsia="Times New Roman" w:hAnsi="Times New Roman" w:cs="Times New Roman"/>
      <w:b/>
      <w:bCs/>
      <w:iCs/>
      <w:color w:val="auto"/>
      <w:sz w:val="20"/>
      <w:szCs w:val="20"/>
      <w:lang w:eastAsia="zh-CN"/>
    </w:rPr>
  </w:style>
  <w:style w:type="paragraph" w:customStyle="1" w:styleId="image">
    <w:name w:val="image"/>
    <w:basedOn w:val="Normal"/>
    <w:next w:val="Normal"/>
    <w:rsid w:val="000019C6"/>
    <w:pPr>
      <w:overflowPunct w:val="0"/>
      <w:autoSpaceDE w:val="0"/>
      <w:spacing w:before="240" w:after="120" w:line="240" w:lineRule="atLeast"/>
      <w:jc w:val="center"/>
    </w:pPr>
    <w:rPr>
      <w:sz w:val="20"/>
      <w:szCs w:val="20"/>
      <w:lang w:eastAsia="zh-CN"/>
    </w:rPr>
  </w:style>
  <w:style w:type="paragraph" w:customStyle="1" w:styleId="keywords">
    <w:name w:val="keywords"/>
    <w:basedOn w:val="abstract0"/>
    <w:next w:val="heading1"/>
    <w:rsid w:val="000019C6"/>
    <w:pPr>
      <w:spacing w:before="220"/>
      <w:contextualSpacing w:val="0"/>
    </w:pPr>
  </w:style>
  <w:style w:type="paragraph" w:customStyle="1" w:styleId="numitem">
    <w:name w:val="numitem"/>
    <w:basedOn w:val="Normal"/>
    <w:rsid w:val="000019C6"/>
    <w:pPr>
      <w:numPr>
        <w:numId w:val="9"/>
      </w:numPr>
      <w:overflowPunct w:val="0"/>
      <w:autoSpaceDE w:val="0"/>
      <w:spacing w:before="160" w:after="160" w:line="240" w:lineRule="atLeast"/>
      <w:contextualSpacing/>
      <w:jc w:val="both"/>
    </w:pPr>
    <w:rPr>
      <w:sz w:val="20"/>
      <w:szCs w:val="20"/>
      <w:lang w:eastAsia="zh-CN"/>
    </w:rPr>
  </w:style>
  <w:style w:type="paragraph" w:customStyle="1" w:styleId="programcode">
    <w:name w:val="programcode"/>
    <w:basedOn w:val="Normal"/>
    <w:rsid w:val="000019C6"/>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spacing w:before="160" w:after="160" w:line="240" w:lineRule="atLeast"/>
      <w:contextualSpacing/>
    </w:pPr>
    <w:rPr>
      <w:rFonts w:ascii="Courier" w:hAnsi="Courier" w:cs="Courier"/>
      <w:sz w:val="20"/>
      <w:szCs w:val="20"/>
      <w:lang w:eastAsia="zh-CN"/>
    </w:rPr>
  </w:style>
  <w:style w:type="paragraph" w:customStyle="1" w:styleId="referenceitem">
    <w:name w:val="referenceitem"/>
    <w:basedOn w:val="Normal"/>
    <w:rsid w:val="000019C6"/>
    <w:pPr>
      <w:numPr>
        <w:numId w:val="11"/>
      </w:numPr>
      <w:tabs>
        <w:tab w:val="left" w:pos="341"/>
      </w:tabs>
      <w:overflowPunct w:val="0"/>
      <w:autoSpaceDE w:val="0"/>
      <w:spacing w:line="220" w:lineRule="atLeast"/>
      <w:jc w:val="both"/>
    </w:pPr>
    <w:rPr>
      <w:sz w:val="18"/>
      <w:szCs w:val="20"/>
      <w:lang w:eastAsia="zh-CN"/>
    </w:rPr>
  </w:style>
  <w:style w:type="paragraph" w:customStyle="1" w:styleId="runninghead-left">
    <w:name w:val="running head - left"/>
    <w:basedOn w:val="Normal"/>
    <w:rsid w:val="000019C6"/>
    <w:pPr>
      <w:overflowPunct w:val="0"/>
      <w:autoSpaceDE w:val="0"/>
      <w:spacing w:line="240" w:lineRule="atLeast"/>
    </w:pPr>
    <w:rPr>
      <w:sz w:val="18"/>
      <w:szCs w:val="18"/>
      <w:lang w:eastAsia="zh-CN"/>
    </w:rPr>
  </w:style>
  <w:style w:type="paragraph" w:customStyle="1" w:styleId="runninghead-right">
    <w:name w:val="running head - right"/>
    <w:basedOn w:val="Normal"/>
    <w:rsid w:val="000019C6"/>
    <w:pPr>
      <w:overflowPunct w:val="0"/>
      <w:autoSpaceDE w:val="0"/>
      <w:spacing w:line="240" w:lineRule="atLeast"/>
      <w:jc w:val="right"/>
    </w:pPr>
    <w:rPr>
      <w:bCs/>
      <w:sz w:val="18"/>
      <w:szCs w:val="18"/>
      <w:lang w:eastAsia="zh-CN"/>
    </w:rPr>
  </w:style>
  <w:style w:type="paragraph" w:customStyle="1" w:styleId="tablecaption0">
    <w:name w:val="tablecaption"/>
    <w:basedOn w:val="Normal"/>
    <w:next w:val="Normal"/>
    <w:rsid w:val="000019C6"/>
    <w:pPr>
      <w:keepNext/>
      <w:keepLines/>
      <w:overflowPunct w:val="0"/>
      <w:autoSpaceDE w:val="0"/>
      <w:spacing w:before="240" w:after="120" w:line="220" w:lineRule="atLeast"/>
      <w:jc w:val="center"/>
    </w:pPr>
    <w:rPr>
      <w:sz w:val="18"/>
      <w:szCs w:val="20"/>
      <w:lang w:val="de-DE" w:eastAsia="zh-CN"/>
    </w:rPr>
  </w:style>
  <w:style w:type="paragraph" w:customStyle="1" w:styleId="HeaderandFooter">
    <w:name w:val="Header and Footer"/>
    <w:basedOn w:val="Normal"/>
    <w:rsid w:val="000019C6"/>
    <w:pPr>
      <w:suppressLineNumbers/>
      <w:tabs>
        <w:tab w:val="center" w:pos="4986"/>
        <w:tab w:val="right" w:pos="9972"/>
      </w:tabs>
      <w:overflowPunct w:val="0"/>
      <w:autoSpaceDE w:val="0"/>
      <w:spacing w:line="240" w:lineRule="atLeast"/>
      <w:ind w:firstLine="227"/>
      <w:jc w:val="both"/>
    </w:pPr>
    <w:rPr>
      <w:sz w:val="20"/>
      <w:szCs w:val="20"/>
      <w:lang w:eastAsia="zh-CN"/>
    </w:rPr>
  </w:style>
  <w:style w:type="paragraph" w:customStyle="1" w:styleId="Aufzhlungszeichen">
    <w:name w:val="Aufzählungszeichen"/>
    <w:basedOn w:val="Normal"/>
    <w:rsid w:val="000019C6"/>
    <w:pPr>
      <w:numPr>
        <w:numId w:val="13"/>
      </w:numPr>
      <w:overflowPunct w:val="0"/>
      <w:autoSpaceDE w:val="0"/>
      <w:spacing w:before="120" w:after="120" w:line="240" w:lineRule="atLeast"/>
      <w:contextualSpacing/>
      <w:jc w:val="both"/>
    </w:pPr>
    <w:rPr>
      <w:sz w:val="20"/>
      <w:szCs w:val="20"/>
      <w:lang w:eastAsia="zh-CN"/>
    </w:rPr>
  </w:style>
  <w:style w:type="paragraph" w:customStyle="1" w:styleId="Listennummer">
    <w:name w:val="Listennummer"/>
    <w:basedOn w:val="Normal"/>
    <w:rsid w:val="000019C6"/>
    <w:pPr>
      <w:numPr>
        <w:numId w:val="15"/>
      </w:numPr>
      <w:overflowPunct w:val="0"/>
      <w:autoSpaceDE w:val="0"/>
      <w:spacing w:line="240" w:lineRule="atLeast"/>
      <w:jc w:val="both"/>
    </w:pPr>
    <w:rPr>
      <w:sz w:val="20"/>
      <w:szCs w:val="20"/>
      <w:lang w:eastAsia="zh-CN"/>
    </w:rPr>
  </w:style>
  <w:style w:type="character" w:customStyle="1" w:styleId="WW8Num1z0">
    <w:name w:val="WW8Num1z0"/>
    <w:rsid w:val="000019C6"/>
    <w:rPr>
      <w:rFonts w:ascii="Symbol" w:hAnsi="Symbol" w:cs="Symbol" w:hint="default"/>
    </w:rPr>
  </w:style>
  <w:style w:type="character" w:customStyle="1" w:styleId="WW8Num2z0">
    <w:name w:val="WW8Num2z0"/>
    <w:rsid w:val="000019C6"/>
    <w:rPr>
      <w:rFonts w:ascii="Symbol" w:hAnsi="Symbol" w:cs="Symbol" w:hint="default"/>
    </w:rPr>
  </w:style>
  <w:style w:type="character" w:customStyle="1" w:styleId="WW8Num3z0">
    <w:name w:val="WW8Num3z0"/>
    <w:rsid w:val="000019C6"/>
    <w:rPr>
      <w:rFonts w:ascii="Symbol" w:hAnsi="Symbol" w:cs="Symbol" w:hint="default"/>
    </w:rPr>
  </w:style>
  <w:style w:type="character" w:customStyle="1" w:styleId="WW8Num4z0">
    <w:name w:val="WW8Num4z0"/>
    <w:rsid w:val="000019C6"/>
    <w:rPr>
      <w:rFonts w:ascii="Symbol" w:hAnsi="Symbol" w:cs="Symbol" w:hint="default"/>
    </w:rPr>
  </w:style>
  <w:style w:type="character" w:customStyle="1" w:styleId="WW8Num5z0">
    <w:name w:val="WW8Num5z0"/>
    <w:rsid w:val="000019C6"/>
  </w:style>
  <w:style w:type="character" w:customStyle="1" w:styleId="WW8Num6z0">
    <w:name w:val="WW8Num6z0"/>
    <w:rsid w:val="000019C6"/>
    <w:rPr>
      <w:rFonts w:ascii="Symbol" w:hAnsi="Symbol" w:cs="Symbol" w:hint="default"/>
    </w:rPr>
  </w:style>
  <w:style w:type="character" w:customStyle="1" w:styleId="WW8Num7z0">
    <w:name w:val="WW8Num7z0"/>
    <w:rsid w:val="000019C6"/>
  </w:style>
  <w:style w:type="character" w:customStyle="1" w:styleId="WW8Num8z0">
    <w:name w:val="WW8Num8z0"/>
    <w:rsid w:val="000019C6"/>
    <w:rPr>
      <w:rFonts w:ascii="Symbol" w:hAnsi="Symbol" w:cs="Symbol" w:hint="default"/>
    </w:rPr>
  </w:style>
  <w:style w:type="character" w:customStyle="1" w:styleId="WW8Num8z1">
    <w:name w:val="WW8Num8z1"/>
    <w:rsid w:val="000019C6"/>
    <w:rPr>
      <w:rFonts w:ascii="Times New Roman" w:hAnsi="Times New Roman" w:cs="Times New Roman" w:hint="cs"/>
    </w:rPr>
  </w:style>
  <w:style w:type="character" w:customStyle="1" w:styleId="WW8Num8z2">
    <w:name w:val="WW8Num8z2"/>
    <w:rsid w:val="000019C6"/>
    <w:rPr>
      <w:rFonts w:ascii="Courier New" w:hAnsi="Courier New" w:cs="Courier New" w:hint="default"/>
    </w:rPr>
  </w:style>
  <w:style w:type="character" w:customStyle="1" w:styleId="WW8Num8z3">
    <w:name w:val="WW8Num8z3"/>
    <w:rsid w:val="000019C6"/>
    <w:rPr>
      <w:rFonts w:ascii="Wingdings" w:hAnsi="Wingdings" w:cs="Wingdings" w:hint="default"/>
    </w:rPr>
  </w:style>
  <w:style w:type="character" w:customStyle="1" w:styleId="WW8Num9z0">
    <w:name w:val="WW8Num9z0"/>
    <w:rsid w:val="000019C6"/>
    <w:rPr>
      <w:rFonts w:ascii="Times New Roman" w:hAnsi="Times New Roman" w:cs="Times New Roman" w:hint="cs"/>
    </w:rPr>
  </w:style>
  <w:style w:type="character" w:customStyle="1" w:styleId="WW8Num9z1">
    <w:name w:val="WW8Num9z1"/>
    <w:rsid w:val="000019C6"/>
    <w:rPr>
      <w:rFonts w:ascii="Symbol" w:hAnsi="Symbol" w:cs="Symbol" w:hint="default"/>
    </w:rPr>
  </w:style>
  <w:style w:type="character" w:customStyle="1" w:styleId="WW8Num10z0">
    <w:name w:val="WW8Num10z0"/>
    <w:rsid w:val="000019C6"/>
  </w:style>
  <w:style w:type="character" w:customStyle="1" w:styleId="WW8Num10z4">
    <w:name w:val="WW8Num10z4"/>
    <w:rsid w:val="000019C6"/>
    <w:rPr>
      <w:rFonts w:ascii="Times New Roman" w:hAnsi="Times New Roman" w:cs="Times New Roman" w:hint="cs"/>
      <w:b w:val="0"/>
      <w:bCs w:val="0"/>
      <w:i/>
      <w:iCs w:val="0"/>
      <w:sz w:val="20"/>
    </w:rPr>
  </w:style>
  <w:style w:type="character" w:customStyle="1" w:styleId="WW8Num11z0">
    <w:name w:val="WW8Num11z0"/>
    <w:rsid w:val="000019C6"/>
  </w:style>
  <w:style w:type="character" w:customStyle="1" w:styleId="WW8Num12z0">
    <w:name w:val="WW8Num12z0"/>
    <w:rsid w:val="000019C6"/>
  </w:style>
  <w:style w:type="character" w:customStyle="1" w:styleId="Absatz-Standardschriftart">
    <w:name w:val="Absatz-Standardschriftart"/>
    <w:rsid w:val="000019C6"/>
  </w:style>
  <w:style w:type="character" w:customStyle="1" w:styleId="e-mail">
    <w:name w:val="e-mail"/>
    <w:basedOn w:val="Absatz-Standardschriftart"/>
    <w:rsid w:val="000019C6"/>
    <w:rPr>
      <w:rFonts w:ascii="Courier" w:hAnsi="Courier" w:cs="Courier" w:hint="default"/>
      <w:spacing w:val="-6"/>
      <w:lang w:val="en-US" w:eastAsia="en-US"/>
    </w:rPr>
  </w:style>
  <w:style w:type="character" w:customStyle="1" w:styleId="FootnoteCharacters">
    <w:name w:val="Footnote Characters"/>
    <w:basedOn w:val="Absatz-Standardschriftart"/>
    <w:rsid w:val="000019C6"/>
    <w:rPr>
      <w:vertAlign w:val="superscript"/>
    </w:rPr>
  </w:style>
  <w:style w:type="character" w:customStyle="1" w:styleId="heading30">
    <w:name w:val="heading3"/>
    <w:basedOn w:val="Absatz-Standardschriftart"/>
    <w:rsid w:val="000019C6"/>
    <w:rPr>
      <w:b/>
      <w:bCs w:val="0"/>
    </w:rPr>
  </w:style>
  <w:style w:type="character" w:customStyle="1" w:styleId="heading40">
    <w:name w:val="heading4"/>
    <w:basedOn w:val="Absatz-Standardschriftart"/>
    <w:rsid w:val="000019C6"/>
    <w:rPr>
      <w:i/>
      <w:iCs w:val="0"/>
    </w:rPr>
  </w:style>
  <w:style w:type="character" w:customStyle="1" w:styleId="url">
    <w:name w:val="url"/>
    <w:basedOn w:val="Absatz-Standardschriftart"/>
    <w:rsid w:val="000019C6"/>
    <w:rPr>
      <w:rFonts w:ascii="Courier" w:hAnsi="Courier" w:cs="Courier" w:hint="default"/>
      <w:lang w:val="en-US" w:eastAsia="en-US"/>
    </w:rPr>
  </w:style>
  <w:style w:type="character" w:styleId="PageNumber">
    <w:name w:val="page number"/>
    <w:basedOn w:val="Absatz-Standardschriftart"/>
    <w:unhideWhenUsed/>
    <w:rsid w:val="000019C6"/>
    <w:rPr>
      <w:sz w:val="18"/>
    </w:rPr>
  </w:style>
  <w:style w:type="paragraph" w:styleId="Revision">
    <w:name w:val="Revision"/>
    <w:hidden/>
    <w:rsid w:val="000F1FDE"/>
    <w:pPr>
      <w:spacing w:after="0"/>
    </w:pPr>
    <w:rPr>
      <w:rFonts w:ascii="Times New Roman" w:eastAsia="Times New Roman" w:hAnsi="Times New Roman" w:cs="Times New Roman"/>
      <w:lang w:eastAsia="en-US"/>
    </w:rPr>
  </w:style>
  <w:style w:type="character" w:styleId="CommentReference">
    <w:name w:val="annotation reference"/>
    <w:basedOn w:val="DefaultParagraphFont"/>
    <w:rsid w:val="00522B79"/>
    <w:rPr>
      <w:sz w:val="16"/>
      <w:szCs w:val="16"/>
    </w:rPr>
  </w:style>
  <w:style w:type="paragraph" w:styleId="CommentText">
    <w:name w:val="annotation text"/>
    <w:basedOn w:val="Normal"/>
    <w:link w:val="CommentTextChar"/>
    <w:rsid w:val="00522B79"/>
    <w:rPr>
      <w:sz w:val="20"/>
      <w:szCs w:val="20"/>
    </w:rPr>
  </w:style>
  <w:style w:type="character" w:customStyle="1" w:styleId="CommentTextChar">
    <w:name w:val="Comment Text Char"/>
    <w:basedOn w:val="DefaultParagraphFont"/>
    <w:link w:val="CommentText"/>
    <w:rsid w:val="00522B7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rsid w:val="00522B79"/>
    <w:rPr>
      <w:b/>
      <w:bCs/>
    </w:rPr>
  </w:style>
  <w:style w:type="character" w:customStyle="1" w:styleId="CommentSubjectChar">
    <w:name w:val="Comment Subject Char"/>
    <w:basedOn w:val="CommentTextChar"/>
    <w:link w:val="CommentSubject"/>
    <w:rsid w:val="00522B79"/>
    <w:rPr>
      <w:rFonts w:ascii="Times New Roman" w:eastAsia="Times New Roman" w:hAnsi="Times New Roman"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0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25</Pages>
  <Words>12689</Words>
  <Characters>72333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136</cp:revision>
  <cp:lastPrinted>2026-09-20T07:18:00Z</cp:lastPrinted>
  <dcterms:created xsi:type="dcterms:W3CDTF">2026-09-20T14:40:00Z</dcterms:created>
  <dcterms:modified xsi:type="dcterms:W3CDTF">2026-09-24T12:25:00Z</dcterms:modified>
</cp:coreProperties>
</file>